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1EFFC" w14:textId="77777777" w:rsidR="00881687" w:rsidRPr="008D2855" w:rsidRDefault="00881687" w:rsidP="00881687">
      <w:pPr>
        <w:suppressLineNumbers/>
        <w:tabs>
          <w:tab w:val="center" w:pos="4680"/>
        </w:tabs>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71A0892F" w14:textId="77777777" w:rsidR="00881687" w:rsidRPr="008D2855" w:rsidRDefault="00881687" w:rsidP="00881687">
      <w:pPr>
        <w:suppressLineNumbers/>
        <w:tabs>
          <w:tab w:val="center" w:pos="4680"/>
        </w:tabs>
        <w:jc w:val="center"/>
        <w:rPr>
          <w:rFonts w:ascii="Book Antiqua" w:hAnsi="Book Antiqua"/>
          <w:b/>
          <w:bCs/>
          <w:lang w:val="es-PR"/>
        </w:rPr>
      </w:pPr>
      <w:r w:rsidRPr="008D2855">
        <w:rPr>
          <w:rFonts w:ascii="Book Antiqua" w:hAnsi="Book Antiqua"/>
          <w:b/>
          <w:bCs/>
          <w:lang w:val="es-PR"/>
        </w:rPr>
        <w:t>(</w:t>
      </w:r>
      <w:r>
        <w:rPr>
          <w:rFonts w:ascii="Book Antiqua" w:hAnsi="Book Antiqua"/>
          <w:b/>
          <w:bCs/>
          <w:lang w:val="es-PR"/>
        </w:rPr>
        <w:t>14</w:t>
      </w:r>
      <w:r w:rsidRPr="008D2855">
        <w:rPr>
          <w:rFonts w:ascii="Book Antiqua" w:hAnsi="Book Antiqua"/>
          <w:b/>
          <w:bCs/>
          <w:lang w:val="es-PR"/>
        </w:rPr>
        <w:t xml:space="preserve"> DE </w:t>
      </w:r>
      <w:r>
        <w:rPr>
          <w:rFonts w:ascii="Book Antiqua" w:hAnsi="Book Antiqua"/>
          <w:b/>
          <w:bCs/>
          <w:lang w:val="es-PR"/>
        </w:rPr>
        <w:t>MAYO</w:t>
      </w:r>
      <w:r w:rsidRPr="008D2855">
        <w:rPr>
          <w:rFonts w:ascii="Book Antiqua" w:hAnsi="Book Antiqua"/>
          <w:b/>
          <w:bCs/>
          <w:lang w:val="es-PR"/>
        </w:rPr>
        <w:t xml:space="preserve"> DE 202</w:t>
      </w:r>
      <w:r>
        <w:rPr>
          <w:rFonts w:ascii="Book Antiqua" w:hAnsi="Book Antiqua"/>
          <w:b/>
          <w:bCs/>
          <w:lang w:val="es-PR"/>
        </w:rPr>
        <w:t>6</w:t>
      </w:r>
      <w:r w:rsidRPr="008D2855">
        <w:rPr>
          <w:rFonts w:ascii="Book Antiqua" w:hAnsi="Book Antiqua"/>
          <w:b/>
          <w:bCs/>
          <w:lang w:val="es-PR"/>
        </w:rPr>
        <w:t>)</w:t>
      </w:r>
    </w:p>
    <w:p w14:paraId="4645EBB2" w14:textId="6C8DEAD8" w:rsidR="00881687" w:rsidRPr="00881687" w:rsidRDefault="00881687" w:rsidP="00881687">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5DB38B3B" wp14:editId="4BF12C4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9834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6142445F" w:rsidR="00FF2214" w:rsidRPr="002E7A9F" w:rsidRDefault="00850770">
      <w:pPr>
        <w:jc w:val="center"/>
        <w:rPr>
          <w:rFonts w:ascii="Book Antiqua" w:eastAsia="Book Antiqua" w:hAnsi="Book Antiqua" w:cs="Book Antiqua"/>
          <w:bCs/>
          <w:color w:val="000000" w:themeColor="text1"/>
          <w:sz w:val="28"/>
          <w:szCs w:val="28"/>
          <w:lang w:val="es-PR"/>
        </w:rPr>
      </w:pPr>
      <w:r w:rsidRPr="002E7A9F">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2E7A9F">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37C78B5"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 xml:space="preserve">20 </w:t>
      </w:r>
      <w:r w:rsidRPr="001E649E">
        <w:rPr>
          <w:rFonts w:ascii="Book Antiqua" w:eastAsia="Book Antiqua" w:hAnsi="Book Antiqua" w:cs="Book Antiqua"/>
          <w:color w:val="000000" w:themeColor="text1"/>
          <w:vertAlign w:val="superscript"/>
          <w:lang w:val="es-PR"/>
        </w:rPr>
        <w:t>ma.</w:t>
      </w:r>
      <w:r w:rsidRPr="001E649E">
        <w:rPr>
          <w:rFonts w:ascii="Book Antiqua" w:eastAsia="Book Antiqua" w:hAnsi="Book Antiqua" w:cs="Book Antiqua"/>
          <w:color w:val="000000" w:themeColor="text1"/>
          <w:lang w:val="es-PR"/>
        </w:rPr>
        <w:tab/>
        <w:t>Asamblea</w:t>
      </w:r>
      <w:r w:rsidRPr="001E649E">
        <w:rPr>
          <w:rFonts w:ascii="Book Antiqua" w:eastAsia="Book Antiqua" w:hAnsi="Book Antiqua" w:cs="Book Antiqua"/>
          <w:color w:val="000000" w:themeColor="text1"/>
          <w:lang w:val="es-PR"/>
        </w:rPr>
        <w:tab/>
      </w:r>
      <w:r w:rsidR="00177136">
        <w:rPr>
          <w:rFonts w:ascii="Book Antiqua" w:eastAsia="Book Antiqua" w:hAnsi="Book Antiqua" w:cs="Book Antiqua"/>
          <w:color w:val="000000" w:themeColor="text1"/>
          <w:lang w:val="es-PR"/>
        </w:rPr>
        <w:t>3</w:t>
      </w:r>
      <w:r w:rsidR="00177136">
        <w:rPr>
          <w:rFonts w:ascii="Book Antiqua" w:eastAsia="Book Antiqua" w:hAnsi="Book Antiqua" w:cs="Book Antiqua"/>
          <w:color w:val="000000" w:themeColor="text1"/>
          <w:vertAlign w:val="superscript"/>
          <w:lang w:val="es-PR"/>
        </w:rPr>
        <w:t>r</w:t>
      </w:r>
      <w:r w:rsidRPr="001E649E">
        <w:rPr>
          <w:rFonts w:ascii="Book Antiqua" w:eastAsia="Book Antiqua" w:hAnsi="Book Antiqua" w:cs="Book Antiqua"/>
          <w:color w:val="000000" w:themeColor="text1"/>
          <w:vertAlign w:val="superscript"/>
          <w:lang w:val="es-PR"/>
        </w:rPr>
        <w:t>a.</w:t>
      </w:r>
      <w:r w:rsidRPr="001E649E">
        <w:rPr>
          <w:rFonts w:ascii="Book Antiqua" w:eastAsia="Book Antiqua" w:hAnsi="Book Antiqua" w:cs="Book Antiqua"/>
          <w:color w:val="000000" w:themeColor="text1"/>
          <w:vertAlign w:val="superscript"/>
          <w:lang w:val="es-PR"/>
        </w:rPr>
        <w:tab/>
      </w:r>
      <w:r w:rsidRPr="001E649E">
        <w:rPr>
          <w:rFonts w:ascii="Book Antiqua" w:eastAsia="Book Antiqua" w:hAnsi="Book Antiqua" w:cs="Book Antiqua"/>
          <w:color w:val="000000" w:themeColor="text1"/>
          <w:lang w:val="es-PR"/>
        </w:rPr>
        <w:t>Sesión</w:t>
      </w:r>
    </w:p>
    <w:p w14:paraId="79550659" w14:textId="77777777"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ab/>
        <w:t>Legislativa</w:t>
      </w:r>
      <w:r w:rsidRPr="001E649E">
        <w:rPr>
          <w:rFonts w:ascii="Book Antiqua" w:eastAsia="Book Antiqua" w:hAnsi="Book Antiqua" w:cs="Book Antiqua"/>
          <w:color w:val="000000" w:themeColor="text1"/>
          <w:lang w:val="es-PR"/>
        </w:rPr>
        <w:tab/>
      </w:r>
      <w:r w:rsidRPr="001E649E">
        <w:rPr>
          <w:rFonts w:ascii="Book Antiqua" w:eastAsia="Book Antiqua" w:hAnsi="Book Antiqua" w:cs="Book Antiqua"/>
          <w:color w:val="000000" w:themeColor="text1"/>
          <w:lang w:val="es-PR"/>
        </w:rPr>
        <w:tab/>
        <w:t>Ordinaria</w:t>
      </w:r>
    </w:p>
    <w:p w14:paraId="7955065A" w14:textId="77777777" w:rsidR="00FF2214" w:rsidRPr="001E649E"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31A9199A"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9B1BB9">
        <w:rPr>
          <w:rFonts w:ascii="Book Antiqua" w:hAnsi="Book Antiqua"/>
          <w:b/>
          <w:color w:val="000000" w:themeColor="text1"/>
          <w:sz w:val="52"/>
          <w:szCs w:val="52"/>
          <w:lang w:val="es-PR"/>
        </w:rPr>
        <w:t xml:space="preserve"> 1166</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5C6B92A3" w:rsidR="00950505" w:rsidRPr="001E649E" w:rsidRDefault="009B1BB9"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25 </w:t>
      </w:r>
      <w:r w:rsidR="002E7A9F">
        <w:rPr>
          <w:rFonts w:ascii="Book Antiqua" w:hAnsi="Book Antiqua"/>
          <w:color w:val="000000" w:themeColor="text1"/>
          <w:lang w:val="es-PR"/>
        </w:rPr>
        <w:t>DE FEBRERO</w:t>
      </w:r>
      <w:r w:rsidR="00950505" w:rsidRPr="001E649E">
        <w:rPr>
          <w:rFonts w:ascii="Book Antiqua" w:hAnsi="Book Antiqua"/>
          <w:color w:val="000000" w:themeColor="text1"/>
          <w:lang w:val="es-PR"/>
        </w:rPr>
        <w:t xml:space="preserve"> 202</w:t>
      </w:r>
      <w:r w:rsidR="00177136">
        <w:rPr>
          <w:rFonts w:ascii="Book Antiqua" w:hAnsi="Book Antiqua"/>
          <w:color w:val="000000" w:themeColor="text1"/>
          <w:lang w:val="es-PR"/>
        </w:rPr>
        <w:t>6</w:t>
      </w:r>
    </w:p>
    <w:p w14:paraId="1E7B6D3E" w14:textId="77777777" w:rsidR="00950505" w:rsidRPr="001E649E" w:rsidRDefault="00950505" w:rsidP="00950505">
      <w:pPr>
        <w:jc w:val="center"/>
        <w:rPr>
          <w:rFonts w:ascii="Book Antiqua" w:hAnsi="Book Antiqua"/>
          <w:color w:val="000000" w:themeColor="text1"/>
          <w:lang w:val="es-PR"/>
        </w:rPr>
      </w:pPr>
    </w:p>
    <w:p w14:paraId="77F64BC8" w14:textId="77777777" w:rsidR="002E7A9F" w:rsidRDefault="002E7A9F" w:rsidP="002E7A9F">
      <w:pPr>
        <w:ind w:left="810" w:hanging="810"/>
        <w:jc w:val="both"/>
        <w:rPr>
          <w:rFonts w:ascii="Book Antiqua" w:eastAsia="Aptos" w:hAnsi="Book Antiqua"/>
          <w:i/>
          <w:iCs/>
          <w:lang w:val="es-ES"/>
        </w:rPr>
      </w:pPr>
      <w:r w:rsidRPr="00C76F69">
        <w:rPr>
          <w:rFonts w:ascii="Book Antiqua" w:hAnsi="Book Antiqua"/>
          <w:color w:val="000000" w:themeColor="text1"/>
          <w:lang w:val="es-PR"/>
        </w:rPr>
        <w:t xml:space="preserve">Presentado por </w:t>
      </w:r>
      <w:r>
        <w:rPr>
          <w:rFonts w:ascii="Book Antiqua" w:hAnsi="Book Antiqua"/>
          <w:lang w:val="es-ES"/>
        </w:rPr>
        <w:t xml:space="preserve">el representante </w:t>
      </w:r>
      <w:r w:rsidRPr="007E5076">
        <w:rPr>
          <w:rFonts w:ascii="Book Antiqua" w:hAnsi="Book Antiqua"/>
          <w:i/>
          <w:iCs/>
          <w:lang w:val="es-PR"/>
        </w:rPr>
        <w:t>Méndez Núñez</w:t>
      </w:r>
      <w:r>
        <w:rPr>
          <w:rFonts w:ascii="Book Antiqua" w:hAnsi="Book Antiqua"/>
          <w:i/>
          <w:iCs/>
          <w:lang w:val="es-PR"/>
        </w:rPr>
        <w:t>;</w:t>
      </w:r>
      <w:r w:rsidRPr="007E5076">
        <w:rPr>
          <w:rFonts w:ascii="Book Antiqua" w:hAnsi="Book Antiqua"/>
          <w:i/>
          <w:iCs/>
          <w:lang w:val="es-PR"/>
        </w:rPr>
        <w:t xml:space="preserve"> </w:t>
      </w:r>
      <w:r w:rsidRPr="007E5076">
        <w:rPr>
          <w:rFonts w:ascii="Book Antiqua" w:eastAsia="Aptos" w:hAnsi="Book Antiqua"/>
          <w:lang w:val="es-ES"/>
        </w:rPr>
        <w:t>la representante</w:t>
      </w:r>
      <w:r w:rsidRPr="007E5076">
        <w:rPr>
          <w:rFonts w:ascii="Book Antiqua" w:eastAsia="Aptos" w:hAnsi="Book Antiqua"/>
          <w:i/>
          <w:iCs/>
          <w:lang w:val="es-ES"/>
        </w:rPr>
        <w:t xml:space="preserve"> Lebrón Rodríguez; </w:t>
      </w:r>
      <w:r w:rsidRPr="007E5076">
        <w:rPr>
          <w:rFonts w:ascii="Book Antiqua" w:eastAsia="Aptos" w:hAnsi="Book Antiqua"/>
          <w:lang w:val="es-ES"/>
        </w:rPr>
        <w:t>los representantes</w:t>
      </w:r>
      <w:r w:rsidRPr="007E5076">
        <w:rPr>
          <w:rFonts w:ascii="Book Antiqua" w:eastAsia="Aptos" w:hAnsi="Book Antiqua"/>
          <w:i/>
          <w:iCs/>
          <w:lang w:val="es-ES"/>
        </w:rPr>
        <w:t xml:space="preserve"> Peña Ramírez, Torres Zamora, Román López, Aponte Hernández, Carlo Acosta, Charbonier Chinea, Colón Rodríguez; </w:t>
      </w:r>
      <w:r w:rsidRPr="007E5076">
        <w:rPr>
          <w:rFonts w:ascii="Book Antiqua" w:eastAsia="Aptos" w:hAnsi="Book Antiqua"/>
          <w:lang w:val="es-ES"/>
        </w:rPr>
        <w:t>la representante</w:t>
      </w:r>
      <w:r w:rsidRPr="007E5076">
        <w:rPr>
          <w:rFonts w:ascii="Book Antiqua" w:eastAsia="Aptos" w:hAnsi="Book Antiqua"/>
          <w:i/>
          <w:iCs/>
          <w:lang w:val="es-ES"/>
        </w:rPr>
        <w:t xml:space="preserve"> del Valle Correa; </w:t>
      </w:r>
      <w:r w:rsidRPr="007E5076">
        <w:rPr>
          <w:rFonts w:ascii="Book Antiqua" w:eastAsia="Aptos" w:hAnsi="Book Antiqua"/>
          <w:lang w:val="es-ES"/>
        </w:rPr>
        <w:t>los representantes</w:t>
      </w:r>
      <w:r w:rsidRPr="007E5076">
        <w:rPr>
          <w:rFonts w:ascii="Book Antiqua" w:eastAsia="Aptos" w:hAnsi="Book Antiqua"/>
          <w:i/>
          <w:iCs/>
          <w:lang w:val="es-ES"/>
        </w:rPr>
        <w:t xml:space="preserve"> Est</w:t>
      </w:r>
      <w:r>
        <w:rPr>
          <w:rFonts w:ascii="Book Antiqua" w:eastAsia="Aptos" w:hAnsi="Book Antiqua"/>
          <w:i/>
          <w:iCs/>
          <w:lang w:val="es-ES"/>
        </w:rPr>
        <w:t>é</w:t>
      </w:r>
      <w:r w:rsidRPr="007E5076">
        <w:rPr>
          <w:rFonts w:ascii="Book Antiqua" w:eastAsia="Aptos" w:hAnsi="Book Antiqua"/>
          <w:i/>
          <w:iCs/>
          <w:lang w:val="es-ES"/>
        </w:rPr>
        <w:t>ve</w:t>
      </w:r>
      <w:r>
        <w:rPr>
          <w:rFonts w:ascii="Book Antiqua" w:eastAsia="Aptos" w:hAnsi="Book Antiqua"/>
          <w:i/>
          <w:iCs/>
          <w:lang w:val="es-ES"/>
        </w:rPr>
        <w:t>z</w:t>
      </w:r>
      <w:r w:rsidRPr="007E5076">
        <w:rPr>
          <w:rFonts w:ascii="Book Antiqua" w:eastAsia="Aptos" w:hAnsi="Book Antiqua"/>
          <w:i/>
          <w:iCs/>
          <w:lang w:val="es-ES"/>
        </w:rPr>
        <w:t xml:space="preserve"> Vélez, Franqui Atiles; </w:t>
      </w:r>
      <w:r w:rsidRPr="007E5076">
        <w:rPr>
          <w:rFonts w:ascii="Book Antiqua" w:eastAsia="Aptos" w:hAnsi="Book Antiqua"/>
          <w:lang w:val="es-ES"/>
        </w:rPr>
        <w:t>las representantes</w:t>
      </w:r>
      <w:r w:rsidRPr="007E5076">
        <w:rPr>
          <w:rFonts w:ascii="Book Antiqua" w:eastAsia="Aptos" w:hAnsi="Book Antiqua"/>
          <w:i/>
          <w:iCs/>
          <w:lang w:val="es-ES"/>
        </w:rPr>
        <w:t xml:space="preserve"> González Aguayo, González </w:t>
      </w:r>
      <w:proofErr w:type="spellStart"/>
      <w:r w:rsidRPr="007E5076">
        <w:rPr>
          <w:rFonts w:ascii="Book Antiqua" w:eastAsia="Aptos" w:hAnsi="Book Antiqua"/>
          <w:i/>
          <w:iCs/>
          <w:lang w:val="es-ES"/>
        </w:rPr>
        <w:t>González</w:t>
      </w:r>
      <w:proofErr w:type="spellEnd"/>
      <w:r w:rsidRPr="007E5076">
        <w:rPr>
          <w:rFonts w:ascii="Book Antiqua" w:eastAsia="Aptos" w:hAnsi="Book Antiqua"/>
          <w:i/>
          <w:iCs/>
          <w:lang w:val="es-ES"/>
        </w:rPr>
        <w:t xml:space="preserve">; </w:t>
      </w:r>
      <w:r w:rsidRPr="007E5076">
        <w:rPr>
          <w:rFonts w:ascii="Book Antiqua" w:eastAsia="Aptos" w:hAnsi="Book Antiqua"/>
          <w:lang w:val="es-ES"/>
        </w:rPr>
        <w:t>los representantes</w:t>
      </w:r>
      <w:r w:rsidRPr="007E5076">
        <w:rPr>
          <w:rFonts w:ascii="Book Antiqua" w:eastAsia="Aptos" w:hAnsi="Book Antiqua"/>
          <w:i/>
          <w:iCs/>
          <w:lang w:val="es-ES"/>
        </w:rPr>
        <w:t xml:space="preserve"> Hernández Concepción, Jiménez Torres</w:t>
      </w:r>
      <w:r>
        <w:rPr>
          <w:rFonts w:ascii="Book Antiqua" w:eastAsia="Aptos" w:hAnsi="Book Antiqua"/>
          <w:i/>
          <w:iCs/>
          <w:lang w:val="es-ES"/>
        </w:rPr>
        <w:t>, López Román</w:t>
      </w:r>
      <w:r w:rsidRPr="007E5076">
        <w:rPr>
          <w:rFonts w:ascii="Book Antiqua" w:eastAsia="Aptos" w:hAnsi="Book Antiqua"/>
          <w:i/>
          <w:iCs/>
          <w:lang w:val="es-ES"/>
        </w:rPr>
        <w:t xml:space="preserve">; </w:t>
      </w:r>
      <w:r w:rsidRPr="007E5076">
        <w:rPr>
          <w:rFonts w:ascii="Book Antiqua" w:eastAsia="Aptos" w:hAnsi="Book Antiqua"/>
          <w:lang w:val="es-ES"/>
        </w:rPr>
        <w:t>las representantes</w:t>
      </w:r>
      <w:r w:rsidRPr="007E5076">
        <w:rPr>
          <w:rFonts w:ascii="Book Antiqua" w:eastAsia="Aptos" w:hAnsi="Book Antiqua"/>
          <w:i/>
          <w:iCs/>
          <w:lang w:val="es-ES"/>
        </w:rPr>
        <w:t xml:space="preserve"> Martínez Vázquez, Medina Calderón; </w:t>
      </w:r>
      <w:r w:rsidRPr="007E5076">
        <w:rPr>
          <w:rFonts w:ascii="Book Antiqua" w:eastAsia="Aptos" w:hAnsi="Book Antiqua"/>
          <w:lang w:val="es-ES"/>
        </w:rPr>
        <w:t>los representantes</w:t>
      </w:r>
      <w:r w:rsidRPr="007E5076">
        <w:rPr>
          <w:rFonts w:ascii="Book Antiqua" w:eastAsia="Aptos" w:hAnsi="Book Antiqua"/>
          <w:i/>
          <w:iCs/>
          <w:lang w:val="es-ES"/>
        </w:rPr>
        <w:t xml:space="preserve"> Morey Noble, Muriel Sánchez, Navarro Suárez, Nieves Rosario, Ocasio Ramos, Pacheco Burgos, Parés Otero</w:t>
      </w:r>
      <w:r>
        <w:rPr>
          <w:rFonts w:ascii="Book Antiqua" w:eastAsia="Aptos" w:hAnsi="Book Antiqua"/>
          <w:i/>
          <w:iCs/>
          <w:lang w:val="es-ES"/>
        </w:rPr>
        <w:t>,</w:t>
      </w:r>
      <w:r w:rsidRPr="007E5076">
        <w:rPr>
          <w:rFonts w:ascii="Book Antiqua" w:eastAsia="Aptos" w:hAnsi="Book Antiqua"/>
          <w:i/>
          <w:iCs/>
          <w:lang w:val="es-ES"/>
        </w:rPr>
        <w:t xml:space="preserve"> Pérez Cordero, Pérez Ortiz; </w:t>
      </w:r>
      <w:r w:rsidRPr="007E5076">
        <w:rPr>
          <w:rFonts w:ascii="Book Antiqua" w:eastAsia="Aptos" w:hAnsi="Book Antiqua"/>
          <w:lang w:val="es-ES"/>
        </w:rPr>
        <w:t>las representantes</w:t>
      </w:r>
      <w:r w:rsidRPr="007E5076">
        <w:rPr>
          <w:rFonts w:ascii="Book Antiqua" w:eastAsia="Aptos" w:hAnsi="Book Antiqua"/>
          <w:i/>
          <w:iCs/>
          <w:lang w:val="es-ES"/>
        </w:rPr>
        <w:t xml:space="preserve"> Pérez Ramírez, Ramos Rivera; </w:t>
      </w:r>
      <w:r w:rsidRPr="007E5076">
        <w:rPr>
          <w:rFonts w:ascii="Book Antiqua" w:eastAsia="Aptos" w:hAnsi="Book Antiqua"/>
          <w:lang w:val="es-ES"/>
        </w:rPr>
        <w:t>los representantes</w:t>
      </w:r>
      <w:r w:rsidRPr="007E5076">
        <w:rPr>
          <w:rFonts w:ascii="Book Antiqua" w:eastAsia="Aptos" w:hAnsi="Book Antiqua"/>
          <w:i/>
          <w:iCs/>
          <w:lang w:val="es-ES"/>
        </w:rPr>
        <w:t xml:space="preserve"> Robles Rivera, Rodríguez Aguiló, Rodríguez Torres, Roque Gracia, Sanabria Colón y Santiago Guzmán</w:t>
      </w:r>
    </w:p>
    <w:p w14:paraId="18A0DB58" w14:textId="126486AF" w:rsidR="00950505" w:rsidRPr="002E7A9F" w:rsidRDefault="00950505" w:rsidP="002E7A9F">
      <w:pPr>
        <w:spacing w:before="120"/>
        <w:ind w:left="720" w:hanging="630"/>
        <w:jc w:val="both"/>
        <w:rPr>
          <w:rFonts w:ascii="Book Antiqua" w:hAnsi="Book Antiqua"/>
          <w:color w:val="000000" w:themeColor="text1"/>
          <w:lang w:val="es-ES"/>
        </w:rPr>
      </w:pPr>
    </w:p>
    <w:p w14:paraId="6E0B8939" w14:textId="0FDDD5A9"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2E7A9F">
        <w:rPr>
          <w:rFonts w:ascii="Book Antiqua" w:hAnsi="Book Antiqua"/>
          <w:color w:val="000000" w:themeColor="text1"/>
          <w:lang w:val="es-PR"/>
        </w:rPr>
        <w:t xml:space="preserve"> la Comisión de lo Jurídico</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1918B79E" w14:textId="191D8260" w:rsidR="00B84ABF" w:rsidRPr="00881687" w:rsidRDefault="00BA14DD" w:rsidP="00B84ABF">
      <w:pPr>
        <w:ind w:left="720" w:hanging="720"/>
        <w:jc w:val="both"/>
        <w:rPr>
          <w:rFonts w:ascii="Book Antiqua" w:hAnsi="Book Antiqua"/>
          <w:lang w:val="es-PR"/>
        </w:rPr>
      </w:pPr>
      <w:r w:rsidRPr="006944D1">
        <w:rPr>
          <w:rFonts w:ascii="Book Antiqua" w:hAnsi="Book Antiqua"/>
          <w:lang w:val="es-PR"/>
        </w:rPr>
        <w:t xml:space="preserve">Para </w:t>
      </w:r>
      <w:r w:rsidR="00B84ABF" w:rsidRPr="00457C09">
        <w:rPr>
          <w:rFonts w:ascii="Book Antiqua" w:hAnsi="Book Antiqua"/>
          <w:lang w:val="es-PR"/>
        </w:rPr>
        <w:t xml:space="preserve">enmendar el </w:t>
      </w:r>
      <w:r w:rsidR="00B84ABF" w:rsidRPr="00DD6B67">
        <w:rPr>
          <w:rFonts w:ascii="Book Antiqua" w:hAnsi="Book Antiqua"/>
          <w:lang w:val="es-ES"/>
        </w:rPr>
        <w:t>Artículo 4-A de la Ley Núm. 88</w:t>
      </w:r>
      <w:r w:rsidR="00803B5B">
        <w:rPr>
          <w:rFonts w:ascii="Book Antiqua" w:hAnsi="Book Antiqua"/>
          <w:lang w:val="es-ES"/>
        </w:rPr>
        <w:t xml:space="preserve"> de 9 de julio de </w:t>
      </w:r>
      <w:r w:rsidR="00B84ABF" w:rsidRPr="00DD6B67">
        <w:rPr>
          <w:rFonts w:ascii="Book Antiqua" w:hAnsi="Book Antiqua"/>
          <w:lang w:val="es-ES"/>
        </w:rPr>
        <w:t xml:space="preserve">1986, </w:t>
      </w:r>
      <w:r w:rsidR="00222A3B">
        <w:rPr>
          <w:rFonts w:ascii="Book Antiqua" w:hAnsi="Book Antiqua"/>
          <w:lang w:val="es-ES"/>
        </w:rPr>
        <w:t xml:space="preserve">según enmendada, </w:t>
      </w:r>
      <w:r w:rsidR="00B84ABF" w:rsidRPr="00DD6B67">
        <w:rPr>
          <w:rFonts w:ascii="Book Antiqua" w:hAnsi="Book Antiqua"/>
          <w:lang w:val="es-ES"/>
        </w:rPr>
        <w:t xml:space="preserve">conocida como </w:t>
      </w:r>
      <w:r w:rsidR="00B84ABF" w:rsidRPr="00881687">
        <w:rPr>
          <w:rFonts w:ascii="Book Antiqua" w:hAnsi="Book Antiqua"/>
          <w:lang w:val="es-ES"/>
        </w:rPr>
        <w:t xml:space="preserve">“Ley de Menores de Puerto Rico”, a los fines de establecer una excepción a la exigencia de agotar los remedios administrativos cuando el menor esté imputado de faltas clase II o clase III que representen una amenaza sustancial a la seguridad escolar o a la integridad física de otras personas; </w:t>
      </w:r>
      <w:r w:rsidR="00931496" w:rsidRPr="00881687">
        <w:rPr>
          <w:rFonts w:ascii="Book Antiqua" w:hAnsi="Book Antiqua"/>
          <w:lang w:val="es-ES"/>
        </w:rPr>
        <w:t xml:space="preserve">establecer la </w:t>
      </w:r>
      <w:r w:rsidR="00756F04" w:rsidRPr="00881687">
        <w:rPr>
          <w:rFonts w:ascii="Book Antiqua" w:hAnsi="Book Antiqua"/>
          <w:lang w:val="es-ES"/>
        </w:rPr>
        <w:t xml:space="preserve">facultad de reglamentación; </w:t>
      </w:r>
      <w:r w:rsidR="00B84ABF" w:rsidRPr="00881687">
        <w:rPr>
          <w:rFonts w:ascii="Book Antiqua" w:hAnsi="Book Antiqua"/>
          <w:lang w:val="es-ES"/>
        </w:rPr>
        <w:t>y para otros fines relacionados.</w:t>
      </w:r>
    </w:p>
    <w:p w14:paraId="0A3A32E9" w14:textId="6448D9ED" w:rsidR="000B0E9A" w:rsidRPr="00881687" w:rsidRDefault="000B0E9A" w:rsidP="00B84ABF">
      <w:pPr>
        <w:ind w:left="360" w:hanging="360"/>
        <w:jc w:val="both"/>
        <w:rPr>
          <w:rFonts w:ascii="Book Antiqua" w:hAnsi="Book Antiqua"/>
          <w:color w:val="000000" w:themeColor="text1"/>
          <w:lang w:val="es-PR"/>
        </w:rPr>
      </w:pPr>
    </w:p>
    <w:p w14:paraId="63AE53B1" w14:textId="4CB927AE" w:rsidR="00010836" w:rsidRDefault="00850770" w:rsidP="000B0E9A">
      <w:pPr>
        <w:ind w:left="540" w:hanging="540"/>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0B0E9A">
      <w:pPr>
        <w:ind w:left="540" w:hanging="540"/>
        <w:jc w:val="center"/>
        <w:rPr>
          <w:rFonts w:ascii="Book Antiqua" w:eastAsia="Book Antiqua" w:hAnsi="Book Antiqua" w:cs="Book Antiqua"/>
          <w:bCs/>
          <w:color w:val="000000" w:themeColor="text1"/>
          <w:lang w:val="es-PR"/>
        </w:rPr>
      </w:pPr>
    </w:p>
    <w:p w14:paraId="61ADD827" w14:textId="01AA6D7B" w:rsidR="00B84ABF" w:rsidRPr="00881687" w:rsidRDefault="00B84ABF" w:rsidP="00B84ABF">
      <w:pPr>
        <w:jc w:val="both"/>
        <w:rPr>
          <w:rFonts w:ascii="Book Antiqua" w:hAnsi="Book Antiqua"/>
          <w:lang w:val="es-PR"/>
        </w:rPr>
      </w:pPr>
      <w:r w:rsidRPr="00881687">
        <w:rPr>
          <w:rFonts w:ascii="Book Antiqua" w:hAnsi="Book Antiqua"/>
          <w:lang w:val="es-PR"/>
        </w:rPr>
        <w:t>La Ley Núm. 47-2022 introdujo modificaciones a la</w:t>
      </w:r>
      <w:r w:rsidR="00E272B3" w:rsidRPr="00881687">
        <w:rPr>
          <w:rFonts w:ascii="Book Antiqua" w:hAnsi="Book Antiqua"/>
          <w:lang w:val="es-ES"/>
        </w:rPr>
        <w:t xml:space="preserve"> </w:t>
      </w:r>
      <w:r w:rsidR="00222A3B" w:rsidRPr="00222A3B">
        <w:rPr>
          <w:rFonts w:ascii="Book Antiqua" w:hAnsi="Book Antiqua"/>
          <w:lang w:val="es-PR"/>
        </w:rPr>
        <w:t>Ley Núm. 88 de 9 de julio de 1986, según enmendada, conocida como “Ley de Menores de Puerto Rico”, con</w:t>
      </w:r>
      <w:r w:rsidRPr="00881687">
        <w:rPr>
          <w:rFonts w:ascii="Book Antiqua" w:hAnsi="Book Antiqua"/>
          <w:lang w:val="es-PR"/>
        </w:rPr>
        <w:t xml:space="preserve"> el propósito de </w:t>
      </w:r>
      <w:r w:rsidRPr="00881687">
        <w:rPr>
          <w:rFonts w:ascii="Book Antiqua" w:hAnsi="Book Antiqua"/>
          <w:lang w:val="es-PR"/>
        </w:rPr>
        <w:lastRenderedPageBreak/>
        <w:t>minimizar la intervención de los tribunales en aquellos asuntos que puedan resolverse mediante mecanismos administrativos internos dentro del sistema educativo. En ese contexto, se añadió el Artículo 4-A, el cual establece que el Tribunal de Menores no podrá asumir jurisdicción sobre querellas derivadas de incidentes ocurridos en el ámbito escolar sin que previamente se haya completado el procedimiento administrativo ante el Departamento de Educación.</w:t>
      </w:r>
    </w:p>
    <w:p w14:paraId="6A4C2E92" w14:textId="77777777" w:rsidR="00B84ABF" w:rsidRPr="00881687" w:rsidRDefault="00B84ABF" w:rsidP="00B84ABF">
      <w:pPr>
        <w:jc w:val="both"/>
        <w:rPr>
          <w:rFonts w:ascii="Book Antiqua" w:hAnsi="Book Antiqua"/>
          <w:lang w:val="es-PR"/>
        </w:rPr>
      </w:pPr>
    </w:p>
    <w:p w14:paraId="654A2895" w14:textId="5F4CB15E" w:rsidR="00B84ABF" w:rsidRPr="00881687" w:rsidRDefault="00B84ABF" w:rsidP="00B84ABF">
      <w:pPr>
        <w:jc w:val="both"/>
        <w:rPr>
          <w:rFonts w:ascii="Book Antiqua" w:hAnsi="Book Antiqua"/>
          <w:lang w:val="es-PR"/>
        </w:rPr>
      </w:pPr>
      <w:r w:rsidRPr="00881687">
        <w:rPr>
          <w:rFonts w:ascii="Book Antiqua" w:hAnsi="Book Antiqua"/>
          <w:lang w:val="es-PR"/>
        </w:rPr>
        <w:t>Esta disposición responde a una política pública dirigida a prevenir la innecesaria criminalización de menores por conductas escolares susceptibles de corrección a través de sanciones disciplinarias apropiadas, fomentando así su rehabilitación y evitando las consecuencias estigmatizantes de un proceso judicial. Sin embargo, la aplicación uniforme de este requisito, sin considerar la naturaleza ni la severidad de la conducta imputada, ha generado efectos negativos que impactan tanto el interés público como la seguridad en los planteles escolares.</w:t>
      </w:r>
    </w:p>
    <w:p w14:paraId="29D1387D" w14:textId="77777777" w:rsidR="00B84ABF" w:rsidRPr="00881687" w:rsidRDefault="00B84ABF" w:rsidP="00B84ABF">
      <w:pPr>
        <w:jc w:val="both"/>
        <w:rPr>
          <w:rFonts w:ascii="Book Antiqua" w:hAnsi="Book Antiqua"/>
          <w:lang w:val="es-PR"/>
        </w:rPr>
      </w:pPr>
    </w:p>
    <w:p w14:paraId="6903C2DA" w14:textId="27DC76EF" w:rsidR="00B84ABF" w:rsidRPr="00881687" w:rsidRDefault="00B84ABF" w:rsidP="00B84ABF">
      <w:pPr>
        <w:jc w:val="both"/>
        <w:rPr>
          <w:rFonts w:ascii="Book Antiqua" w:hAnsi="Book Antiqua"/>
          <w:lang w:val="es-PR"/>
        </w:rPr>
      </w:pPr>
      <w:r w:rsidRPr="00881687">
        <w:rPr>
          <w:rFonts w:ascii="Book Antiqua" w:hAnsi="Book Antiqua"/>
          <w:lang w:val="es-PR"/>
        </w:rPr>
        <w:t>En la experiencia práctica, la obligatoriedad de agotar los remedios administrativos incluso en situaciones que involucran delitos graves o riesgos significativos a la integridad física de estudiantes y personal escolar ha ocasionado demoras sustanciales. Los trámites internos del Departamento de Educación —que comprenden la radicación de querellas, la celebración de vistas administrativas y la emisión de determinaciones disciplinarias—pueden prolongarse por periodos extensos, lo que obstaculiza una intervención judicial pronta y eficaz. Estas dilaciones no solo afectan el desarrollo adecuado de los procesos judiciales, sino que también pueden desmotivar a las personas afectadas a continuar con sus reclamaciones y erosionar la confianza en el sistema de justicia y en la seguridad del entorno escolar.</w:t>
      </w:r>
    </w:p>
    <w:p w14:paraId="2FE46781" w14:textId="77777777" w:rsidR="00B84ABF" w:rsidRPr="00881687" w:rsidRDefault="00B84ABF" w:rsidP="00B84ABF">
      <w:pPr>
        <w:jc w:val="both"/>
        <w:rPr>
          <w:rFonts w:ascii="Book Antiqua" w:hAnsi="Book Antiqua"/>
          <w:lang w:val="es-PR"/>
        </w:rPr>
      </w:pPr>
    </w:p>
    <w:p w14:paraId="5A5810FA" w14:textId="77777777" w:rsidR="00B84ABF" w:rsidRPr="00881687" w:rsidRDefault="00B84ABF" w:rsidP="00B84ABF">
      <w:pPr>
        <w:jc w:val="both"/>
        <w:rPr>
          <w:rFonts w:ascii="Book Antiqua" w:hAnsi="Book Antiqua"/>
          <w:lang w:val="es-PR"/>
        </w:rPr>
      </w:pPr>
      <w:r w:rsidRPr="00881687">
        <w:rPr>
          <w:rFonts w:ascii="Book Antiqua" w:hAnsi="Book Antiqua"/>
          <w:lang w:val="es-PR"/>
        </w:rPr>
        <w:t xml:space="preserve">Asimismo, los tribunales han adoptado una interpretación rigurosa del Artículo 4-A, desestimando querellas aun cuando se alegan conductas de extrema gravedad, tales como agresiones sexuales, amenazas contra la vida, posesión de armas de fuego o tráfico de sustancias controladas. Aunque la doctrina del agotamiento de remedios administrativos contempla excepciones reconocidas por la jurisprudencia, la redacción imperativa de la Ley ha restringido el margen de discreción judicial en este tipo de controversias. </w:t>
      </w:r>
    </w:p>
    <w:p w14:paraId="570E0765" w14:textId="77777777" w:rsidR="00B84ABF" w:rsidRPr="00881687" w:rsidRDefault="00B84ABF" w:rsidP="00B84ABF">
      <w:pPr>
        <w:jc w:val="both"/>
        <w:rPr>
          <w:rFonts w:ascii="Book Antiqua" w:hAnsi="Book Antiqua"/>
          <w:lang w:val="es-PR"/>
        </w:rPr>
      </w:pPr>
    </w:p>
    <w:p w14:paraId="50572685" w14:textId="7F901F4F" w:rsidR="00B84ABF" w:rsidRPr="00881687" w:rsidRDefault="00B84ABF" w:rsidP="00B84ABF">
      <w:pPr>
        <w:jc w:val="both"/>
        <w:rPr>
          <w:rFonts w:ascii="Book Antiqua" w:hAnsi="Book Antiqua"/>
          <w:lang w:val="es-PR"/>
        </w:rPr>
      </w:pPr>
      <w:r w:rsidRPr="00881687">
        <w:rPr>
          <w:rFonts w:ascii="Book Antiqua" w:hAnsi="Book Antiqua"/>
          <w:lang w:val="es-PR"/>
        </w:rPr>
        <w:t>Ante esta realidad, se plantea la necesidad de enmendar el Artículo 4-A para incorporar una excepción expresa que autorice al tribunal a asumir jurisdicción inmediata en aquellos casos donde la conducta atribuida al menor constituya un riesgo sustancial para la seguridad escolar o la integridad física de terceros. Esta propuesta busca armonizar la protección de los derechos del menor con el deber del Estado de salvaguardar la vida, la seguridad y el bienestar de la comunidad escolar en su conjunto.</w:t>
      </w:r>
    </w:p>
    <w:p w14:paraId="17353696" w14:textId="77777777" w:rsidR="00B84ABF" w:rsidRPr="00B84ABF" w:rsidRDefault="00B84ABF" w:rsidP="00B84ABF">
      <w:pPr>
        <w:jc w:val="both"/>
        <w:rPr>
          <w:rFonts w:ascii="Book Antiqua" w:hAnsi="Book Antiqua"/>
          <w:lang w:val="es-PR"/>
        </w:rPr>
      </w:pPr>
    </w:p>
    <w:p w14:paraId="3A6DA9CA" w14:textId="77E8D0E9" w:rsidR="00B84ABF" w:rsidRPr="00881687" w:rsidRDefault="00222A3B" w:rsidP="00B84ABF">
      <w:pPr>
        <w:jc w:val="both"/>
        <w:rPr>
          <w:rFonts w:ascii="Book Antiqua" w:hAnsi="Book Antiqua"/>
          <w:lang w:val="es-PR"/>
        </w:rPr>
      </w:pPr>
      <w:r>
        <w:rPr>
          <w:rFonts w:ascii="Book Antiqua" w:hAnsi="Book Antiqua"/>
          <w:lang w:val="es-PR"/>
        </w:rPr>
        <w:lastRenderedPageBreak/>
        <w:t>Esta Ley</w:t>
      </w:r>
      <w:r w:rsidR="00B84ABF" w:rsidRPr="00881687">
        <w:rPr>
          <w:rFonts w:ascii="Book Antiqua" w:hAnsi="Book Antiqua"/>
          <w:lang w:val="es-PR"/>
        </w:rPr>
        <w:t xml:space="preserve"> no altera el propósito legislativo original de evitar la judicialización innecesaria de menores por incidentes escolares de carácter leve, como agresiones simples o disturbios menores. Por el contrario, refuerza dicha política pública al crear un mecanismo que permit</w:t>
      </w:r>
      <w:r>
        <w:rPr>
          <w:rFonts w:ascii="Book Antiqua" w:hAnsi="Book Antiqua"/>
          <w:lang w:val="es-PR"/>
        </w:rPr>
        <w:t>e</w:t>
      </w:r>
      <w:r w:rsidR="00B84ABF" w:rsidRPr="00881687">
        <w:rPr>
          <w:rFonts w:ascii="Book Antiqua" w:hAnsi="Book Antiqua"/>
          <w:lang w:val="es-PR"/>
        </w:rPr>
        <w:t xml:space="preserve"> una respuesta urgente y proporcional en aquellos escenarios donde la gravedad de los hechos así lo amerite.</w:t>
      </w:r>
    </w:p>
    <w:p w14:paraId="0FFCFB00" w14:textId="77777777" w:rsidR="00B84ABF" w:rsidRPr="00881687" w:rsidRDefault="00B84ABF" w:rsidP="00B84ABF">
      <w:pPr>
        <w:jc w:val="both"/>
        <w:rPr>
          <w:rFonts w:ascii="Book Antiqua" w:hAnsi="Book Antiqua"/>
          <w:lang w:val="es-PR"/>
        </w:rPr>
      </w:pPr>
    </w:p>
    <w:p w14:paraId="1C176C52" w14:textId="3D69FD57" w:rsidR="00B84ABF" w:rsidRPr="00881687" w:rsidRDefault="00B84ABF" w:rsidP="00B84ABF">
      <w:pPr>
        <w:jc w:val="both"/>
        <w:rPr>
          <w:rFonts w:ascii="Book Antiqua" w:hAnsi="Book Antiqua"/>
          <w:lang w:val="es-PR"/>
        </w:rPr>
      </w:pPr>
      <w:r w:rsidRPr="00881687">
        <w:rPr>
          <w:rFonts w:ascii="Book Antiqua" w:hAnsi="Book Antiqua"/>
          <w:lang w:val="es-PR"/>
        </w:rPr>
        <w:t xml:space="preserve">La educación </w:t>
      </w:r>
      <w:r w:rsidR="00C367F5" w:rsidRPr="00881687">
        <w:rPr>
          <w:rFonts w:ascii="Book Antiqua" w:hAnsi="Book Antiqua"/>
          <w:lang w:val="es-PR"/>
        </w:rPr>
        <w:t xml:space="preserve">no </w:t>
      </w:r>
      <w:r w:rsidR="0058409D" w:rsidRPr="00756C91">
        <w:rPr>
          <w:rFonts w:ascii="Book Antiqua" w:hAnsi="Book Antiqua"/>
          <w:lang w:val="es-PR"/>
        </w:rPr>
        <w:t>solo</w:t>
      </w:r>
      <w:r w:rsidR="0058409D" w:rsidRPr="00881687">
        <w:rPr>
          <w:rFonts w:ascii="Book Antiqua" w:hAnsi="Book Antiqua"/>
          <w:lang w:val="es-PR"/>
        </w:rPr>
        <w:t xml:space="preserve"> </w:t>
      </w:r>
      <w:r w:rsidR="00C367F5" w:rsidRPr="00881687">
        <w:rPr>
          <w:rFonts w:ascii="Book Antiqua" w:hAnsi="Book Antiqua"/>
          <w:lang w:val="es-PR"/>
        </w:rPr>
        <w:t>es un derecho constitucional, es también un</w:t>
      </w:r>
      <w:r w:rsidRPr="00881687">
        <w:rPr>
          <w:rFonts w:ascii="Book Antiqua" w:hAnsi="Book Antiqua"/>
          <w:lang w:val="es-PR"/>
        </w:rPr>
        <w:t xml:space="preserve"> pilar fundamental en la formación de ciudadanos responsables y comprometidos con la sociedad. No obstante, este proceso debe desarrollarse en un ambiente que garantice condiciones adecuadas de seguridad para todos </w:t>
      </w:r>
      <w:r w:rsidR="00222A3B">
        <w:rPr>
          <w:rFonts w:ascii="Book Antiqua" w:hAnsi="Book Antiqua"/>
          <w:lang w:val="es-PR"/>
        </w:rPr>
        <w:t>los integrantes de la comunidad escolar</w:t>
      </w:r>
      <w:r w:rsidRPr="00881687">
        <w:rPr>
          <w:rFonts w:ascii="Book Antiqua" w:hAnsi="Book Antiqua"/>
          <w:lang w:val="es-PR"/>
        </w:rPr>
        <w:t>. La protección de las víctimas, la restauración del orden escolar y la provisión de una respuesta estatal efectiva y proporcional no deben considerarse objetivos abstractos, sino compromisos concretos. Corresponde al Estado evaluar y ajustar el marco legal vigente para cumplir con estos fines y promover un entorno educativo que sea equitativo, seguro y restaurativo.</w:t>
      </w:r>
    </w:p>
    <w:p w14:paraId="69FAC7E7" w14:textId="77777777" w:rsidR="00B21088" w:rsidRDefault="00B21088" w:rsidP="00B21088">
      <w:pPr>
        <w:jc w:val="both"/>
        <w:rPr>
          <w:rFonts w:ascii="Book Antiqua" w:hAnsi="Book Antiqua"/>
          <w:lang w:val="es-PR"/>
        </w:rPr>
      </w:pPr>
    </w:p>
    <w:p w14:paraId="65376025" w14:textId="77777777" w:rsidR="00FF2214" w:rsidRDefault="00850770" w:rsidP="00B21088">
      <w:pPr>
        <w:jc w:val="both"/>
        <w:rPr>
          <w:rFonts w:ascii="Book Antiqua" w:eastAsia="Book Antiqua" w:hAnsi="Book Antiqua" w:cs="Book Antiqua"/>
          <w:i/>
          <w:color w:val="000000" w:themeColor="text1"/>
          <w:lang w:val="es-PR"/>
        </w:rPr>
      </w:pPr>
      <w:r w:rsidRPr="001E649E">
        <w:rPr>
          <w:rFonts w:ascii="Book Antiqua" w:eastAsia="Book Antiqua" w:hAnsi="Book Antiqua" w:cs="Book Antiqua"/>
          <w:i/>
          <w:color w:val="000000" w:themeColor="text1"/>
          <w:lang w:val="es-PR"/>
        </w:rPr>
        <w:t>DECRÉTASE POR LA ASAMBLEA LEGISLATIVA DE PUERTO RICO:</w:t>
      </w:r>
    </w:p>
    <w:p w14:paraId="159CCEB8" w14:textId="77777777" w:rsidR="00B21088" w:rsidRDefault="00B21088" w:rsidP="00B21088">
      <w:pPr>
        <w:jc w:val="both"/>
        <w:rPr>
          <w:rFonts w:ascii="Book Antiqua" w:eastAsia="Book Antiqua" w:hAnsi="Book Antiqua" w:cs="Book Antiqua"/>
          <w:i/>
          <w:color w:val="000000" w:themeColor="text1"/>
          <w:lang w:val="es-PR"/>
        </w:rPr>
      </w:pPr>
    </w:p>
    <w:p w14:paraId="7955066D" w14:textId="3F9FA146" w:rsidR="00B21088" w:rsidRPr="001E649E" w:rsidRDefault="00B21088" w:rsidP="00B21088">
      <w:pPr>
        <w:jc w:val="both"/>
        <w:rPr>
          <w:rFonts w:ascii="Book Antiqua" w:eastAsia="Book Antiqua" w:hAnsi="Book Antiqua" w:cs="Book Antiqua"/>
          <w:i/>
          <w:color w:val="000000" w:themeColor="text1"/>
          <w:lang w:val="es-PR"/>
        </w:rPr>
        <w:sectPr w:rsidR="00B21088" w:rsidRPr="001E649E">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p>
    <w:p w14:paraId="34EEFAFB" w14:textId="2628C64D" w:rsidR="00B84ABF" w:rsidRPr="00881687" w:rsidRDefault="00B84ABF" w:rsidP="00B84ABF">
      <w:pPr>
        <w:spacing w:line="480" w:lineRule="auto"/>
        <w:ind w:firstLine="360"/>
        <w:jc w:val="both"/>
        <w:rPr>
          <w:rFonts w:ascii="Book Antiqua" w:hAnsi="Book Antiqua"/>
          <w:lang w:val="es-PR"/>
        </w:rPr>
      </w:pPr>
      <w:bookmarkStart w:id="1" w:name="_Hlk133500654"/>
      <w:r w:rsidRPr="00881687">
        <w:rPr>
          <w:rFonts w:ascii="Book Antiqua" w:hAnsi="Book Antiqua"/>
          <w:lang w:val="es-PR"/>
        </w:rPr>
        <w:t xml:space="preserve">Sección 1.-Se enmienda el </w:t>
      </w:r>
      <w:r w:rsidRPr="00881687">
        <w:rPr>
          <w:rFonts w:ascii="Book Antiqua" w:hAnsi="Book Antiqua"/>
          <w:lang w:val="es-ES"/>
        </w:rPr>
        <w:t>Artículo 4-A de la Ley Núm. 88</w:t>
      </w:r>
      <w:r w:rsidR="006A65E0" w:rsidRPr="00881687">
        <w:rPr>
          <w:rFonts w:ascii="Book Antiqua" w:hAnsi="Book Antiqua"/>
          <w:lang w:val="es-ES"/>
        </w:rPr>
        <w:t xml:space="preserve"> de </w:t>
      </w:r>
      <w:r w:rsidR="00F342D9" w:rsidRPr="00756C91">
        <w:rPr>
          <w:rFonts w:ascii="Book Antiqua" w:hAnsi="Book Antiqua"/>
          <w:lang w:val="es-ES"/>
        </w:rPr>
        <w:t xml:space="preserve">9 </w:t>
      </w:r>
      <w:r w:rsidR="006A65E0" w:rsidRPr="00881687">
        <w:rPr>
          <w:rFonts w:ascii="Book Antiqua" w:hAnsi="Book Antiqua"/>
          <w:lang w:val="es-ES"/>
        </w:rPr>
        <w:t xml:space="preserve">de julio de </w:t>
      </w:r>
      <w:r w:rsidRPr="00881687">
        <w:rPr>
          <w:rFonts w:ascii="Book Antiqua" w:hAnsi="Book Antiqua"/>
          <w:lang w:val="es-ES"/>
        </w:rPr>
        <w:t>1986</w:t>
      </w:r>
      <w:r w:rsidRPr="00881687">
        <w:rPr>
          <w:rFonts w:ascii="Book Antiqua" w:hAnsi="Book Antiqua"/>
          <w:lang w:val="es-PR"/>
        </w:rPr>
        <w:t>, según enmendada</w:t>
      </w:r>
      <w:r w:rsidR="00222A3B">
        <w:rPr>
          <w:rFonts w:ascii="Book Antiqua" w:hAnsi="Book Antiqua"/>
          <w:lang w:val="es-PR"/>
        </w:rPr>
        <w:t>,</w:t>
      </w:r>
      <w:r w:rsidRPr="00881687">
        <w:rPr>
          <w:rFonts w:ascii="Book Antiqua" w:hAnsi="Book Antiqua"/>
          <w:lang w:val="es-PR"/>
        </w:rPr>
        <w:t xml:space="preserve"> </w:t>
      </w:r>
      <w:r w:rsidR="001B161D" w:rsidRPr="00881687">
        <w:rPr>
          <w:rFonts w:ascii="Book Antiqua" w:hAnsi="Book Antiqua"/>
          <w:lang w:val="es-PR"/>
        </w:rPr>
        <w:t>para que se lea como</w:t>
      </w:r>
      <w:r w:rsidRPr="00881687">
        <w:rPr>
          <w:rFonts w:ascii="Book Antiqua" w:hAnsi="Book Antiqua"/>
          <w:lang w:val="es-PR"/>
        </w:rPr>
        <w:t xml:space="preserve"> sigue: </w:t>
      </w:r>
    </w:p>
    <w:p w14:paraId="4F1F3431" w14:textId="77777777" w:rsidR="00B84ABF" w:rsidRPr="00881687" w:rsidRDefault="00B84ABF" w:rsidP="00B84ABF">
      <w:pPr>
        <w:spacing w:line="480" w:lineRule="auto"/>
        <w:ind w:firstLine="360"/>
        <w:jc w:val="both"/>
        <w:rPr>
          <w:rFonts w:ascii="Book Antiqua" w:hAnsi="Book Antiqua"/>
          <w:lang w:val="es-ES"/>
        </w:rPr>
      </w:pPr>
      <w:r w:rsidRPr="00881687">
        <w:rPr>
          <w:rFonts w:ascii="Book Antiqua" w:hAnsi="Book Antiqua"/>
          <w:lang w:val="es-ES"/>
        </w:rPr>
        <w:t xml:space="preserve">“Artículo 4-A – Agotamiento de remedios administrativos </w:t>
      </w:r>
      <w:r w:rsidRPr="00881687">
        <w:rPr>
          <w:rFonts w:ascii="Book Antiqua" w:hAnsi="Book Antiqua"/>
          <w:lang w:val="es-PR"/>
        </w:rPr>
        <w:tab/>
      </w:r>
    </w:p>
    <w:p w14:paraId="7B2220CD" w14:textId="23CB97F3" w:rsidR="00B84ABF" w:rsidRPr="00881687" w:rsidRDefault="00B84ABF" w:rsidP="00B84ABF">
      <w:pPr>
        <w:spacing w:line="480" w:lineRule="auto"/>
        <w:ind w:firstLine="360"/>
        <w:jc w:val="both"/>
        <w:rPr>
          <w:rFonts w:ascii="Book Antiqua" w:hAnsi="Book Antiqua"/>
          <w:i/>
          <w:iCs/>
          <w:lang w:val="es-PR"/>
        </w:rPr>
      </w:pPr>
      <w:r w:rsidRPr="00881687">
        <w:rPr>
          <w:rFonts w:ascii="Book Antiqua" w:hAnsi="Book Antiqua"/>
          <w:lang w:val="es-ES"/>
        </w:rPr>
        <w:t xml:space="preserve">Antes del Tribunal ejercer su jurisdicción sobre la persona menor de edad, deberá agotarse todo remedio administrativo establecido en el sistema de educación pública o privada, según sea el caso, cuando la falta que se impute </w:t>
      </w:r>
      <w:r w:rsidR="00522FA9" w:rsidRPr="00881687">
        <w:rPr>
          <w:rFonts w:ascii="Book Antiqua" w:hAnsi="Book Antiqua"/>
          <w:lang w:val="es-ES"/>
        </w:rPr>
        <w:t xml:space="preserve">tuvo </w:t>
      </w:r>
      <w:r w:rsidRPr="00881687">
        <w:rPr>
          <w:rFonts w:ascii="Book Antiqua" w:hAnsi="Book Antiqua"/>
          <w:lang w:val="es-ES"/>
        </w:rPr>
        <w:t>lugar en un plantel escolar, ya sea en las inmediaciones de la escuela, en la transportación escolar o en actividades escolares, deportivas con</w:t>
      </w:r>
      <w:r w:rsidRPr="00881687">
        <w:rPr>
          <w:lang w:val="es-ES"/>
        </w:rPr>
        <w:t xml:space="preserve"> </w:t>
      </w:r>
      <w:r w:rsidRPr="00881687">
        <w:rPr>
          <w:rFonts w:ascii="Book Antiqua" w:hAnsi="Book Antiqua"/>
          <w:lang w:val="es-ES"/>
        </w:rPr>
        <w:t>fin recreativo, cultural o académico.</w:t>
      </w:r>
      <w:r w:rsidRPr="00881687">
        <w:rPr>
          <w:rFonts w:ascii="Book Antiqua" w:hAnsi="Book Antiqua"/>
          <w:b/>
          <w:bCs/>
          <w:lang w:val="es-ES"/>
        </w:rPr>
        <w:t xml:space="preserve"> </w:t>
      </w:r>
    </w:p>
    <w:p w14:paraId="675152FA" w14:textId="2435444A" w:rsidR="00B84ABF" w:rsidRPr="00881687" w:rsidRDefault="00B84ABF" w:rsidP="00B84ABF">
      <w:pPr>
        <w:spacing w:line="480" w:lineRule="auto"/>
        <w:ind w:firstLine="360"/>
        <w:jc w:val="both"/>
        <w:rPr>
          <w:rFonts w:ascii="Book Antiqua" w:hAnsi="Book Antiqua"/>
          <w:lang w:val="es-PR"/>
        </w:rPr>
      </w:pPr>
      <w:r w:rsidRPr="00881687">
        <w:rPr>
          <w:rFonts w:ascii="Book Antiqua" w:hAnsi="Book Antiqua"/>
          <w:lang w:val="es-PR"/>
        </w:rPr>
        <w:t xml:space="preserve">No obstante, el Tribunal podrá asumir jurisdicción inmediata </w:t>
      </w:r>
      <w:r w:rsidRPr="00881687">
        <w:rPr>
          <w:rFonts w:ascii="Book Antiqua" w:hAnsi="Book Antiqua"/>
          <w:lang w:val="es-ES"/>
        </w:rPr>
        <w:t>sobre una persona menor de edad,</w:t>
      </w:r>
      <w:r w:rsidRPr="00881687">
        <w:rPr>
          <w:rFonts w:ascii="Book Antiqua" w:hAnsi="Book Antiqua"/>
          <w:lang w:val="es-PR"/>
        </w:rPr>
        <w:t xml:space="preserve"> sin requerir el agotamiento previo del procedimiento administrativo</w:t>
      </w:r>
      <w:r w:rsidR="00222A3B">
        <w:rPr>
          <w:rFonts w:ascii="Book Antiqua" w:hAnsi="Book Antiqua"/>
          <w:lang w:val="es-PR"/>
        </w:rPr>
        <w:t>,</w:t>
      </w:r>
      <w:r w:rsidRPr="00881687">
        <w:rPr>
          <w:rFonts w:ascii="Book Antiqua" w:hAnsi="Book Antiqua"/>
          <w:lang w:val="es-PR"/>
        </w:rPr>
        <w:t xml:space="preserve"> cuando los hechos alegados constituyan una falta clase II o clase III, </w:t>
      </w:r>
      <w:r w:rsidR="00462E22" w:rsidRPr="00881687">
        <w:rPr>
          <w:rFonts w:ascii="Book Antiqua" w:hAnsi="Book Antiqua"/>
          <w:lang w:val="es-PR"/>
        </w:rPr>
        <w:t xml:space="preserve">y </w:t>
      </w:r>
      <w:r w:rsidR="00D319D6" w:rsidRPr="00881687">
        <w:rPr>
          <w:rFonts w:ascii="Book Antiqua" w:hAnsi="Book Antiqua"/>
          <w:lang w:val="es-PR"/>
        </w:rPr>
        <w:t xml:space="preserve">representen </w:t>
      </w:r>
      <w:r w:rsidRPr="00881687">
        <w:rPr>
          <w:rFonts w:ascii="Book Antiqua" w:hAnsi="Book Antiqua"/>
          <w:lang w:val="es-PR"/>
        </w:rPr>
        <w:t>una amenaza sustancial a la seguridad o integridad física de los estudiantes, del personal escolar, de cualquier otra persona dentro del entorno escolar.</w:t>
      </w:r>
    </w:p>
    <w:p w14:paraId="35E9406D" w14:textId="151148DF" w:rsidR="00B84ABF" w:rsidRPr="00881687" w:rsidRDefault="00B84ABF" w:rsidP="00B84ABF">
      <w:pPr>
        <w:spacing w:line="480" w:lineRule="auto"/>
        <w:ind w:firstLine="360"/>
        <w:jc w:val="both"/>
        <w:rPr>
          <w:rFonts w:ascii="Book Antiqua" w:hAnsi="Book Antiqua"/>
          <w:lang w:val="es-PR"/>
        </w:rPr>
      </w:pPr>
      <w:proofErr w:type="gramStart"/>
      <w:r w:rsidRPr="00881687">
        <w:rPr>
          <w:rFonts w:ascii="Book Antiqua" w:hAnsi="Book Antiqua"/>
          <w:lang w:val="es-ES"/>
        </w:rPr>
        <w:lastRenderedPageBreak/>
        <w:t>En caso</w:t>
      </w:r>
      <w:r w:rsidR="00D319D6" w:rsidRPr="00881687">
        <w:rPr>
          <w:rFonts w:ascii="Book Antiqua" w:hAnsi="Book Antiqua"/>
          <w:lang w:val="es-ES"/>
        </w:rPr>
        <w:t xml:space="preserve"> que</w:t>
      </w:r>
      <w:proofErr w:type="gramEnd"/>
      <w:r w:rsidR="00D319D6" w:rsidRPr="00881687">
        <w:rPr>
          <w:rFonts w:ascii="Book Antiqua" w:hAnsi="Book Antiqua"/>
          <w:lang w:val="es-ES"/>
        </w:rPr>
        <w:t xml:space="preserve"> el </w:t>
      </w:r>
      <w:r w:rsidRPr="00881687">
        <w:rPr>
          <w:rFonts w:ascii="Book Antiqua" w:hAnsi="Book Antiqua"/>
          <w:lang w:val="es-ES"/>
        </w:rPr>
        <w:t xml:space="preserve">tribunal </w:t>
      </w:r>
      <w:r w:rsidR="0030377E" w:rsidRPr="00881687">
        <w:rPr>
          <w:rFonts w:ascii="Book Antiqua" w:hAnsi="Book Antiqua"/>
          <w:lang w:val="es-ES"/>
        </w:rPr>
        <w:t xml:space="preserve">tenga </w:t>
      </w:r>
      <w:r w:rsidRPr="00881687">
        <w:rPr>
          <w:rFonts w:ascii="Book Antiqua" w:hAnsi="Book Antiqua"/>
          <w:lang w:val="es-ES"/>
        </w:rPr>
        <w:t xml:space="preserve">que asumir su jurisdicción sobre la persona menor, nada de esto se entenderá en menoscabo del derecho </w:t>
      </w:r>
      <w:proofErr w:type="gramStart"/>
      <w:r w:rsidRPr="00881687">
        <w:rPr>
          <w:rFonts w:ascii="Book Antiqua" w:hAnsi="Book Antiqua"/>
          <w:lang w:val="es-ES"/>
        </w:rPr>
        <w:t>del(</w:t>
      </w:r>
      <w:proofErr w:type="gramEnd"/>
      <w:r w:rsidRPr="00881687">
        <w:rPr>
          <w:rFonts w:ascii="Book Antiqua" w:hAnsi="Book Antiqua"/>
          <w:lang w:val="es-ES"/>
        </w:rPr>
        <w:t>de la) menor a que su caso sea referido a mediación o desvío, si cualifica según lo establece esta Ley y las Reglas de Asuntos de Menores.”</w:t>
      </w:r>
    </w:p>
    <w:p w14:paraId="2260D7CE" w14:textId="77777777" w:rsidR="006A6811" w:rsidRDefault="00B84ABF" w:rsidP="00B84ABF">
      <w:pPr>
        <w:spacing w:line="480" w:lineRule="auto"/>
        <w:ind w:firstLine="360"/>
        <w:jc w:val="both"/>
        <w:rPr>
          <w:rFonts w:ascii="Book Antiqua" w:hAnsi="Book Antiqua"/>
          <w:lang w:val="es-PR"/>
        </w:rPr>
      </w:pPr>
      <w:r w:rsidRPr="00457C09">
        <w:rPr>
          <w:rFonts w:ascii="Book Antiqua" w:hAnsi="Book Antiqua"/>
          <w:lang w:val="es-PR"/>
        </w:rPr>
        <w:t>Sección 2.-</w:t>
      </w:r>
      <w:r w:rsidR="006A6811">
        <w:rPr>
          <w:rFonts w:ascii="Book Antiqua" w:hAnsi="Book Antiqua"/>
          <w:lang w:val="es-PR"/>
        </w:rPr>
        <w:t xml:space="preserve"> Reglamentación. </w:t>
      </w:r>
    </w:p>
    <w:p w14:paraId="505955E3" w14:textId="24D4AF8B" w:rsidR="00B84ABF" w:rsidRPr="00881687" w:rsidRDefault="00BF39E5" w:rsidP="00B84ABF">
      <w:pPr>
        <w:spacing w:line="480" w:lineRule="auto"/>
        <w:ind w:firstLine="360"/>
        <w:jc w:val="both"/>
        <w:rPr>
          <w:rFonts w:ascii="Book Antiqua" w:hAnsi="Book Antiqua"/>
          <w:lang w:val="es-PR"/>
        </w:rPr>
      </w:pPr>
      <w:r w:rsidRPr="00881687">
        <w:rPr>
          <w:rFonts w:ascii="Book Antiqua" w:hAnsi="Book Antiqua"/>
          <w:lang w:val="es-PR"/>
        </w:rPr>
        <w:t>El</w:t>
      </w:r>
      <w:r w:rsidR="00B84ABF" w:rsidRPr="00881687">
        <w:rPr>
          <w:rFonts w:ascii="Book Antiqua" w:hAnsi="Book Antiqua"/>
          <w:lang w:val="es-PR"/>
        </w:rPr>
        <w:t xml:space="preserve"> Departamento de </w:t>
      </w:r>
      <w:r w:rsidRPr="00881687">
        <w:rPr>
          <w:rFonts w:ascii="Book Antiqua" w:hAnsi="Book Antiqua"/>
          <w:lang w:val="es-PR"/>
        </w:rPr>
        <w:t xml:space="preserve">Justicia y el Departamento de </w:t>
      </w:r>
      <w:r w:rsidR="00B84ABF" w:rsidRPr="00881687">
        <w:rPr>
          <w:rFonts w:ascii="Book Antiqua" w:hAnsi="Book Antiqua"/>
          <w:lang w:val="es-PR"/>
        </w:rPr>
        <w:t>Educación adoptará</w:t>
      </w:r>
      <w:r w:rsidRPr="00881687">
        <w:rPr>
          <w:rFonts w:ascii="Book Antiqua" w:hAnsi="Book Antiqua"/>
          <w:lang w:val="es-PR"/>
        </w:rPr>
        <w:t>n</w:t>
      </w:r>
      <w:r w:rsidR="00B84ABF" w:rsidRPr="00881687">
        <w:rPr>
          <w:rFonts w:ascii="Book Antiqua" w:hAnsi="Book Antiqua"/>
          <w:lang w:val="es-PR"/>
        </w:rPr>
        <w:t xml:space="preserve"> la reglamentación necesaria y conveniente para cumplir </w:t>
      </w:r>
      <w:r w:rsidR="006A65E0" w:rsidRPr="00881687">
        <w:rPr>
          <w:rFonts w:ascii="Book Antiqua" w:hAnsi="Book Antiqua"/>
          <w:lang w:val="es-PR"/>
        </w:rPr>
        <w:t xml:space="preserve">y hacer cumplir </w:t>
      </w:r>
      <w:r w:rsidR="00B84ABF" w:rsidRPr="00881687">
        <w:rPr>
          <w:rFonts w:ascii="Book Antiqua" w:hAnsi="Book Antiqua"/>
          <w:lang w:val="es-PR"/>
        </w:rPr>
        <w:t>los propósitos de esta Ley, dentro de ciento veinte (120) días contados desde la aprobación de esta Ley.</w:t>
      </w:r>
      <w:r w:rsidRPr="00881687">
        <w:rPr>
          <w:rFonts w:ascii="Book Antiqua" w:hAnsi="Book Antiqua"/>
          <w:lang w:val="es-PR"/>
        </w:rPr>
        <w:t xml:space="preserve"> Para propósitos de cumplir y hacer cumplir esta disposición, toda reglamentación aprobada en virtud de esta Ley </w:t>
      </w:r>
      <w:r w:rsidR="00825A3C" w:rsidRPr="00881687">
        <w:rPr>
          <w:rFonts w:ascii="Book Antiqua" w:hAnsi="Book Antiqua"/>
          <w:lang w:val="es-PR"/>
        </w:rPr>
        <w:t xml:space="preserve">estará expresamente excluida de la aplicación de las disposiciones de la Ley </w:t>
      </w:r>
      <w:r w:rsidR="00E41505" w:rsidRPr="00881687">
        <w:rPr>
          <w:rFonts w:ascii="Book Antiqua" w:hAnsi="Book Antiqua"/>
          <w:lang w:val="es-PR"/>
        </w:rPr>
        <w:t xml:space="preserve">Núm. </w:t>
      </w:r>
      <w:r w:rsidR="00825A3C" w:rsidRPr="00881687">
        <w:rPr>
          <w:rFonts w:ascii="Book Antiqua" w:hAnsi="Book Antiqua"/>
          <w:lang w:val="es-PR"/>
        </w:rPr>
        <w:t>38-2017, según enmendada conocida como “Ley de Procedimiento de Administrativo Uniforme de</w:t>
      </w:r>
      <w:r w:rsidR="00D67D88" w:rsidRPr="00881687">
        <w:rPr>
          <w:rFonts w:ascii="Book Antiqua" w:hAnsi="Book Antiqua"/>
          <w:lang w:val="es-PR"/>
        </w:rPr>
        <w:t>l Gobierno de</w:t>
      </w:r>
      <w:r w:rsidR="00825A3C" w:rsidRPr="00881687">
        <w:rPr>
          <w:rFonts w:ascii="Book Antiqua" w:hAnsi="Book Antiqua"/>
          <w:lang w:val="es-PR"/>
        </w:rPr>
        <w:t xml:space="preserve"> Puerto Rico”</w:t>
      </w:r>
      <w:r w:rsidR="00E7748E" w:rsidRPr="00881687">
        <w:rPr>
          <w:rFonts w:ascii="Book Antiqua" w:hAnsi="Book Antiqua"/>
          <w:lang w:val="es-PR"/>
        </w:rPr>
        <w:t>.</w:t>
      </w:r>
    </w:p>
    <w:p w14:paraId="0E40B976" w14:textId="31B93D48" w:rsidR="00B84ABF" w:rsidRPr="00881687" w:rsidRDefault="00B84ABF" w:rsidP="00B84ABF">
      <w:pPr>
        <w:spacing w:line="480" w:lineRule="auto"/>
        <w:ind w:firstLine="360"/>
        <w:jc w:val="both"/>
        <w:rPr>
          <w:rFonts w:ascii="Book Antiqua" w:hAnsi="Book Antiqua"/>
          <w:lang w:val="es-PR"/>
        </w:rPr>
      </w:pPr>
      <w:r w:rsidRPr="00881687">
        <w:rPr>
          <w:rFonts w:ascii="Book Antiqua" w:hAnsi="Book Antiqua"/>
          <w:lang w:val="es-PR"/>
        </w:rPr>
        <w:t>Sección 3.-</w:t>
      </w:r>
      <w:r w:rsidR="00756C91">
        <w:rPr>
          <w:rFonts w:ascii="Book Antiqua" w:hAnsi="Book Antiqua"/>
          <w:lang w:val="es-PR"/>
        </w:rPr>
        <w:t xml:space="preserve"> </w:t>
      </w:r>
      <w:r w:rsidR="00AB6086" w:rsidRPr="00881687">
        <w:rPr>
          <w:rFonts w:ascii="Book Antiqua" w:hAnsi="Book Antiqua"/>
          <w:lang w:val="es-ES_tradnl"/>
        </w:rPr>
        <w:t>Cláusula</w:t>
      </w:r>
      <w:r w:rsidR="00AB6086" w:rsidRPr="00881687">
        <w:rPr>
          <w:rFonts w:ascii="Book Antiqua" w:hAnsi="Book Antiqua"/>
          <w:lang w:val="es-PR"/>
        </w:rPr>
        <w:t xml:space="preserve"> </w:t>
      </w:r>
      <w:r w:rsidRPr="00881687">
        <w:rPr>
          <w:rFonts w:ascii="Book Antiqua" w:hAnsi="Book Antiqua"/>
          <w:lang w:val="es-PR"/>
        </w:rPr>
        <w:t>de Supremacía</w:t>
      </w:r>
      <w:r w:rsidR="006A6811" w:rsidRPr="00881687">
        <w:rPr>
          <w:rFonts w:ascii="Book Antiqua" w:hAnsi="Book Antiqua"/>
          <w:lang w:val="es-PR"/>
        </w:rPr>
        <w:t>.</w:t>
      </w:r>
    </w:p>
    <w:p w14:paraId="6417AF18" w14:textId="49E851A9" w:rsidR="00B84ABF" w:rsidRPr="00881687" w:rsidRDefault="00B84ABF" w:rsidP="00B84ABF">
      <w:pPr>
        <w:spacing w:line="480" w:lineRule="auto"/>
        <w:ind w:firstLine="360"/>
        <w:jc w:val="both"/>
        <w:rPr>
          <w:rFonts w:ascii="Book Antiqua" w:hAnsi="Book Antiqua"/>
          <w:lang w:val="es-PR"/>
        </w:rPr>
      </w:pPr>
      <w:r w:rsidRPr="00881687">
        <w:rPr>
          <w:rFonts w:ascii="Book Antiqua" w:hAnsi="Book Antiqua"/>
          <w:lang w:val="es-PR"/>
        </w:rPr>
        <w:t>Las disposiciones de esta Ley prevalecerán sobre cualquier otra disposición</w:t>
      </w:r>
      <w:r w:rsidR="00690259" w:rsidRPr="00881687">
        <w:rPr>
          <w:rFonts w:ascii="Book Antiqua" w:hAnsi="Book Antiqua"/>
          <w:lang w:val="es-PR"/>
        </w:rPr>
        <w:t>,</w:t>
      </w:r>
      <w:r w:rsidRPr="00881687">
        <w:rPr>
          <w:rFonts w:ascii="Book Antiqua" w:hAnsi="Book Antiqua"/>
          <w:lang w:val="es-PR"/>
        </w:rPr>
        <w:t xml:space="preserve"> de cualquier otra ley o reglamento del Gobierno de Puerto Rico que sea inconsistente con esta Ley.</w:t>
      </w:r>
    </w:p>
    <w:p w14:paraId="7BA513A4" w14:textId="13455350" w:rsidR="00B84ABF" w:rsidRPr="00881687" w:rsidRDefault="00B84ABF" w:rsidP="00B84ABF">
      <w:pPr>
        <w:spacing w:line="480" w:lineRule="auto"/>
        <w:ind w:firstLine="360"/>
        <w:jc w:val="both"/>
        <w:rPr>
          <w:rFonts w:ascii="Book Antiqua" w:hAnsi="Book Antiqua"/>
          <w:lang w:val="es-ES_tradnl"/>
        </w:rPr>
      </w:pPr>
      <w:r w:rsidRPr="00881687">
        <w:rPr>
          <w:rFonts w:ascii="Book Antiqua" w:hAnsi="Book Antiqua"/>
          <w:lang w:val="es-ES_tradnl"/>
        </w:rPr>
        <w:t>Sección 4.-</w:t>
      </w:r>
      <w:r w:rsidR="00756C91">
        <w:rPr>
          <w:rFonts w:ascii="Book Antiqua" w:hAnsi="Book Antiqua"/>
          <w:lang w:val="es-ES_tradnl"/>
        </w:rPr>
        <w:t xml:space="preserve"> </w:t>
      </w:r>
      <w:r w:rsidR="00AB6086" w:rsidRPr="00881687">
        <w:rPr>
          <w:rFonts w:ascii="Book Antiqua" w:hAnsi="Book Antiqua"/>
          <w:lang w:val="es-ES_tradnl"/>
        </w:rPr>
        <w:t xml:space="preserve">Cláusula </w:t>
      </w:r>
      <w:r w:rsidRPr="00881687">
        <w:rPr>
          <w:rFonts w:ascii="Book Antiqua" w:hAnsi="Book Antiqua"/>
          <w:lang w:val="es-ES_tradnl"/>
        </w:rPr>
        <w:t>de Separabilidad</w:t>
      </w:r>
      <w:r w:rsidR="006A6811" w:rsidRPr="00881687">
        <w:rPr>
          <w:rFonts w:ascii="Book Antiqua" w:hAnsi="Book Antiqua"/>
          <w:lang w:val="es-ES_tradnl"/>
        </w:rPr>
        <w:t>.</w:t>
      </w:r>
    </w:p>
    <w:p w14:paraId="06EF7850" w14:textId="77777777" w:rsidR="00B84ABF" w:rsidRPr="00881687" w:rsidRDefault="00B84ABF" w:rsidP="00B84ABF">
      <w:pPr>
        <w:spacing w:line="480" w:lineRule="auto"/>
        <w:ind w:firstLine="360"/>
        <w:jc w:val="both"/>
        <w:rPr>
          <w:rFonts w:ascii="Book Antiqua" w:hAnsi="Book Antiqua"/>
          <w:lang w:val="es-ES_tradnl"/>
        </w:rPr>
      </w:pPr>
      <w:r w:rsidRPr="00881687">
        <w:rPr>
          <w:rFonts w:ascii="Book Antiqua" w:hAnsi="Book Antiqua"/>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2BE740BF" w14:textId="6ACDCBEB" w:rsidR="00B84ABF" w:rsidRPr="00881687" w:rsidRDefault="00B84ABF" w:rsidP="00B84ABF">
      <w:pPr>
        <w:spacing w:line="480" w:lineRule="auto"/>
        <w:ind w:firstLine="360"/>
        <w:jc w:val="both"/>
        <w:rPr>
          <w:rFonts w:ascii="Book Antiqua" w:hAnsi="Book Antiqua"/>
          <w:lang w:val="es-PR"/>
        </w:rPr>
      </w:pPr>
      <w:r w:rsidRPr="00881687">
        <w:rPr>
          <w:rFonts w:ascii="Book Antiqua" w:hAnsi="Book Antiqua"/>
          <w:lang w:val="es-PR"/>
        </w:rPr>
        <w:t>Sección 5.-Vigencia</w:t>
      </w:r>
      <w:r w:rsidR="006A6811" w:rsidRPr="00881687">
        <w:rPr>
          <w:rFonts w:ascii="Book Antiqua" w:hAnsi="Book Antiqua"/>
          <w:lang w:val="es-PR"/>
        </w:rPr>
        <w:t>.</w:t>
      </w:r>
    </w:p>
    <w:p w14:paraId="02E9089C" w14:textId="1844BA27" w:rsidR="008622F9" w:rsidRPr="00744FAA" w:rsidRDefault="00B84ABF" w:rsidP="00B84ABF">
      <w:pPr>
        <w:spacing w:line="480" w:lineRule="auto"/>
        <w:ind w:firstLine="360"/>
        <w:jc w:val="both"/>
        <w:rPr>
          <w:rFonts w:ascii="Book Antiqua" w:hAnsi="Book Antiqua"/>
          <w:lang w:val="es-PR"/>
        </w:rPr>
      </w:pPr>
      <w:r w:rsidRPr="00457C09">
        <w:rPr>
          <w:rFonts w:ascii="Book Antiqua" w:hAnsi="Book Antiqua"/>
          <w:lang w:val="es-PR"/>
        </w:rPr>
        <w:lastRenderedPageBreak/>
        <w:t xml:space="preserve">Esta Ley comenzará a regir inmediatamente luego de su aprobación. </w:t>
      </w:r>
      <w:bookmarkEnd w:id="1"/>
    </w:p>
    <w:sectPr w:rsidR="008622F9" w:rsidRPr="00744FAA"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6F9FA" w14:textId="77777777" w:rsidR="00221C52" w:rsidRDefault="00221C52">
      <w:r>
        <w:separator/>
      </w:r>
    </w:p>
  </w:endnote>
  <w:endnote w:type="continuationSeparator" w:id="0">
    <w:p w14:paraId="6AF208E4" w14:textId="77777777" w:rsidR="00221C52" w:rsidRDefault="00221C52">
      <w:r>
        <w:continuationSeparator/>
      </w:r>
    </w:p>
  </w:endnote>
  <w:endnote w:type="continuationNotice" w:id="1">
    <w:p w14:paraId="16F10037" w14:textId="77777777" w:rsidR="00221C52" w:rsidRDefault="00221C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38BB3663-38A6-4C7C-AD0E-E64C0F3264A6}"/>
    <w:embedBold r:id="rId2" w:fontKey="{2ACCD167-C350-4875-8A1C-E6DB8110F68F}"/>
    <w:embedItalic r:id="rId3" w:fontKey="{06485A20-CA72-40F0-A850-32ABAEEA974A}"/>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A506D1EF-4E31-46CF-A9DB-525A871B1EF8}"/>
  </w:font>
  <w:font w:name="Georgia">
    <w:panose1 w:val="02040502050405020303"/>
    <w:charset w:val="00"/>
    <w:family w:val="roman"/>
    <w:pitch w:val="variable"/>
    <w:sig w:usb0="00000287" w:usb1="00000000" w:usb2="00000000" w:usb3="00000000" w:csb0="0000009F" w:csb1="00000000"/>
    <w:embedRegular r:id="rId5" w:fontKey="{08048AB7-80B0-4E12-935C-355BED26942A}"/>
    <w:embedItalic r:id="rId6" w:fontKey="{482DDF4E-15FD-44E9-838A-FB2453D82FED}"/>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422CA868-7900-4C7A-9925-37D94448B821}"/>
    <w:embedItalic r:id="rId8" w:fontKey="{B2194948-DB35-4395-AA65-920D9D402BD9}"/>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F8539468-A9F2-422F-9A39-B5F229C21562}"/>
  </w:font>
  <w:font w:name="Calibri">
    <w:panose1 w:val="020F0502020204030204"/>
    <w:charset w:val="00"/>
    <w:family w:val="swiss"/>
    <w:pitch w:val="variable"/>
    <w:sig w:usb0="E4002EFF" w:usb1="C000247B" w:usb2="00000009" w:usb3="00000000" w:csb0="000001FF" w:csb1="00000000"/>
    <w:embedRegular r:id="rId10" w:fontKey="{F6EAD715-82B6-49E5-857D-E62A4D95D52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1BECD" w14:textId="77777777" w:rsidR="00221C52" w:rsidRDefault="00221C52">
      <w:r>
        <w:separator/>
      </w:r>
    </w:p>
  </w:footnote>
  <w:footnote w:type="continuationSeparator" w:id="0">
    <w:p w14:paraId="608FE69A" w14:textId="77777777" w:rsidR="00221C52" w:rsidRDefault="00221C52">
      <w:r>
        <w:continuationSeparator/>
      </w:r>
    </w:p>
  </w:footnote>
  <w:footnote w:type="continuationNotice" w:id="1">
    <w:p w14:paraId="7940055D" w14:textId="77777777" w:rsidR="00221C52" w:rsidRDefault="00221C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B457ADB" w:rsidR="00FF2214" w:rsidRDefault="00850770">
    <w:pPr>
      <w:tabs>
        <w:tab w:val="center" w:pos="4320"/>
        <w:tab w:val="right" w:pos="8640"/>
      </w:tabs>
      <w:jc w:val="right"/>
      <w:rPr>
        <w:color w:val="000000"/>
      </w:rPr>
    </w:pPr>
    <w:r w:rsidRPr="00876144">
      <w:rPr>
        <w:color w:val="000000"/>
      </w:rPr>
      <w:t>A-</w:t>
    </w:r>
    <w:r w:rsidR="00A05E1C">
      <w:rPr>
        <w:color w:val="000000"/>
      </w:rPr>
      <w:t>110</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BAA0CE7"/>
    <w:multiLevelType w:val="hybridMultilevel"/>
    <w:tmpl w:val="5B9CC46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2"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2101758488">
    <w:abstractNumId w:val="12"/>
  </w:num>
  <w:num w:numId="2" w16cid:durableId="2075622238">
    <w:abstractNumId w:val="4"/>
  </w:num>
  <w:num w:numId="3" w16cid:durableId="1287395166">
    <w:abstractNumId w:val="23"/>
  </w:num>
  <w:num w:numId="4" w16cid:durableId="113211384">
    <w:abstractNumId w:val="17"/>
  </w:num>
  <w:num w:numId="5" w16cid:durableId="412777449">
    <w:abstractNumId w:val="15"/>
  </w:num>
  <w:num w:numId="6" w16cid:durableId="1987857740">
    <w:abstractNumId w:val="1"/>
  </w:num>
  <w:num w:numId="7" w16cid:durableId="1105152541">
    <w:abstractNumId w:val="18"/>
  </w:num>
  <w:num w:numId="8" w16cid:durableId="589124084">
    <w:abstractNumId w:val="0"/>
  </w:num>
  <w:num w:numId="9" w16cid:durableId="1019090440">
    <w:abstractNumId w:val="3"/>
  </w:num>
  <w:num w:numId="10" w16cid:durableId="491219989">
    <w:abstractNumId w:val="7"/>
  </w:num>
  <w:num w:numId="11" w16cid:durableId="1317101226">
    <w:abstractNumId w:val="8"/>
  </w:num>
  <w:num w:numId="12" w16cid:durableId="1895846432">
    <w:abstractNumId w:val="13"/>
  </w:num>
  <w:num w:numId="13" w16cid:durableId="1892232250">
    <w:abstractNumId w:val="10"/>
  </w:num>
  <w:num w:numId="14" w16cid:durableId="964310690">
    <w:abstractNumId w:val="19"/>
  </w:num>
  <w:num w:numId="15" w16cid:durableId="213466612">
    <w:abstractNumId w:val="9"/>
  </w:num>
  <w:num w:numId="16" w16cid:durableId="66003497">
    <w:abstractNumId w:val="22"/>
  </w:num>
  <w:num w:numId="17" w16cid:durableId="1653950897">
    <w:abstractNumId w:val="2"/>
  </w:num>
  <w:num w:numId="18" w16cid:durableId="443815667">
    <w:abstractNumId w:val="6"/>
  </w:num>
  <w:num w:numId="19" w16cid:durableId="214051803">
    <w:abstractNumId w:val="14"/>
  </w:num>
  <w:num w:numId="20" w16cid:durableId="157766550">
    <w:abstractNumId w:val="16"/>
  </w:num>
  <w:num w:numId="21" w16cid:durableId="122309668">
    <w:abstractNumId w:val="20"/>
  </w:num>
  <w:num w:numId="22" w16cid:durableId="1990740938">
    <w:abstractNumId w:val="21"/>
  </w:num>
  <w:num w:numId="23" w16cid:durableId="793520927">
    <w:abstractNumId w:val="24"/>
  </w:num>
  <w:num w:numId="24" w16cid:durableId="1336037844">
    <w:abstractNumId w:val="11"/>
  </w:num>
  <w:num w:numId="25" w16cid:durableId="14299313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40DF"/>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A75A5"/>
    <w:rsid w:val="000B0E9A"/>
    <w:rsid w:val="000B33EC"/>
    <w:rsid w:val="000B757B"/>
    <w:rsid w:val="000B77A8"/>
    <w:rsid w:val="000C0F6A"/>
    <w:rsid w:val="000C5223"/>
    <w:rsid w:val="000C58FF"/>
    <w:rsid w:val="000C68E5"/>
    <w:rsid w:val="000C7E45"/>
    <w:rsid w:val="000D2EB5"/>
    <w:rsid w:val="000D30A4"/>
    <w:rsid w:val="000D5020"/>
    <w:rsid w:val="000D5037"/>
    <w:rsid w:val="000D7909"/>
    <w:rsid w:val="000E1B9F"/>
    <w:rsid w:val="000E515E"/>
    <w:rsid w:val="000E6633"/>
    <w:rsid w:val="000E6BEA"/>
    <w:rsid w:val="000F222B"/>
    <w:rsid w:val="000F22CC"/>
    <w:rsid w:val="000F4244"/>
    <w:rsid w:val="00113415"/>
    <w:rsid w:val="001150B3"/>
    <w:rsid w:val="00115129"/>
    <w:rsid w:val="00115AD8"/>
    <w:rsid w:val="001216F2"/>
    <w:rsid w:val="0012419B"/>
    <w:rsid w:val="001255FB"/>
    <w:rsid w:val="001275A9"/>
    <w:rsid w:val="001336EE"/>
    <w:rsid w:val="00133D83"/>
    <w:rsid w:val="00133DFE"/>
    <w:rsid w:val="0013436E"/>
    <w:rsid w:val="001430FF"/>
    <w:rsid w:val="001433C2"/>
    <w:rsid w:val="00150C87"/>
    <w:rsid w:val="00152B9A"/>
    <w:rsid w:val="00157BB5"/>
    <w:rsid w:val="001613A5"/>
    <w:rsid w:val="001633E0"/>
    <w:rsid w:val="00164E97"/>
    <w:rsid w:val="001677A8"/>
    <w:rsid w:val="0017200D"/>
    <w:rsid w:val="00177136"/>
    <w:rsid w:val="0017795B"/>
    <w:rsid w:val="00185EA9"/>
    <w:rsid w:val="00191362"/>
    <w:rsid w:val="001930DD"/>
    <w:rsid w:val="00194A5E"/>
    <w:rsid w:val="00194D59"/>
    <w:rsid w:val="0019674C"/>
    <w:rsid w:val="001969E8"/>
    <w:rsid w:val="001A1EA2"/>
    <w:rsid w:val="001B161D"/>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203B18"/>
    <w:rsid w:val="00205A4A"/>
    <w:rsid w:val="00205B94"/>
    <w:rsid w:val="0021009A"/>
    <w:rsid w:val="002121D5"/>
    <w:rsid w:val="002138BE"/>
    <w:rsid w:val="00215C12"/>
    <w:rsid w:val="00221C52"/>
    <w:rsid w:val="00222A3B"/>
    <w:rsid w:val="00230215"/>
    <w:rsid w:val="002304C5"/>
    <w:rsid w:val="002318F0"/>
    <w:rsid w:val="00231C2C"/>
    <w:rsid w:val="00233635"/>
    <w:rsid w:val="0023393F"/>
    <w:rsid w:val="00237F92"/>
    <w:rsid w:val="002429DB"/>
    <w:rsid w:val="00242E97"/>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A797E"/>
    <w:rsid w:val="002B181B"/>
    <w:rsid w:val="002B2FBB"/>
    <w:rsid w:val="002B5618"/>
    <w:rsid w:val="002B62EE"/>
    <w:rsid w:val="002B7906"/>
    <w:rsid w:val="002C1726"/>
    <w:rsid w:val="002D6159"/>
    <w:rsid w:val="002D75E1"/>
    <w:rsid w:val="002D7EFD"/>
    <w:rsid w:val="002E26F2"/>
    <w:rsid w:val="002E6D1F"/>
    <w:rsid w:val="002E7A9F"/>
    <w:rsid w:val="002F21CF"/>
    <w:rsid w:val="002F48BA"/>
    <w:rsid w:val="002F5B16"/>
    <w:rsid w:val="00300479"/>
    <w:rsid w:val="00302F90"/>
    <w:rsid w:val="0030308D"/>
    <w:rsid w:val="0030377E"/>
    <w:rsid w:val="003042C0"/>
    <w:rsid w:val="00310744"/>
    <w:rsid w:val="00310FDD"/>
    <w:rsid w:val="00312234"/>
    <w:rsid w:val="0031323F"/>
    <w:rsid w:val="00313C97"/>
    <w:rsid w:val="00314E6B"/>
    <w:rsid w:val="00321AB7"/>
    <w:rsid w:val="003224BD"/>
    <w:rsid w:val="0032794E"/>
    <w:rsid w:val="0033128E"/>
    <w:rsid w:val="00332E7A"/>
    <w:rsid w:val="00340015"/>
    <w:rsid w:val="00343CBC"/>
    <w:rsid w:val="00343DCA"/>
    <w:rsid w:val="0034626A"/>
    <w:rsid w:val="00346582"/>
    <w:rsid w:val="003524D5"/>
    <w:rsid w:val="00356264"/>
    <w:rsid w:val="00356E97"/>
    <w:rsid w:val="00365FFA"/>
    <w:rsid w:val="00371D68"/>
    <w:rsid w:val="00372E7F"/>
    <w:rsid w:val="0037751A"/>
    <w:rsid w:val="00381E1D"/>
    <w:rsid w:val="00391B13"/>
    <w:rsid w:val="00396D46"/>
    <w:rsid w:val="003A2100"/>
    <w:rsid w:val="003B17EE"/>
    <w:rsid w:val="003B2357"/>
    <w:rsid w:val="003B23AF"/>
    <w:rsid w:val="003B6F6C"/>
    <w:rsid w:val="003C0451"/>
    <w:rsid w:val="003C53DB"/>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65F"/>
    <w:rsid w:val="00444257"/>
    <w:rsid w:val="00447BC0"/>
    <w:rsid w:val="00452649"/>
    <w:rsid w:val="004576E9"/>
    <w:rsid w:val="00461FBD"/>
    <w:rsid w:val="00462353"/>
    <w:rsid w:val="00462BEA"/>
    <w:rsid w:val="00462E22"/>
    <w:rsid w:val="0046344B"/>
    <w:rsid w:val="00465256"/>
    <w:rsid w:val="004674AD"/>
    <w:rsid w:val="00475DF2"/>
    <w:rsid w:val="0048210C"/>
    <w:rsid w:val="00490CD1"/>
    <w:rsid w:val="0049425A"/>
    <w:rsid w:val="004A02A7"/>
    <w:rsid w:val="004A0EAF"/>
    <w:rsid w:val="004A5974"/>
    <w:rsid w:val="004A63FB"/>
    <w:rsid w:val="004A75CA"/>
    <w:rsid w:val="004A763E"/>
    <w:rsid w:val="004A79BC"/>
    <w:rsid w:val="004B290C"/>
    <w:rsid w:val="004B357F"/>
    <w:rsid w:val="004B3861"/>
    <w:rsid w:val="004C1C7C"/>
    <w:rsid w:val="004C411D"/>
    <w:rsid w:val="004C41AE"/>
    <w:rsid w:val="004C6236"/>
    <w:rsid w:val="004D03F5"/>
    <w:rsid w:val="004D0CDB"/>
    <w:rsid w:val="004D26B1"/>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1E8"/>
    <w:rsid w:val="00521CE8"/>
    <w:rsid w:val="005229AD"/>
    <w:rsid w:val="00522CA1"/>
    <w:rsid w:val="00522FA9"/>
    <w:rsid w:val="00524FBA"/>
    <w:rsid w:val="00526AC9"/>
    <w:rsid w:val="00526EFD"/>
    <w:rsid w:val="00527B13"/>
    <w:rsid w:val="00534596"/>
    <w:rsid w:val="005427F8"/>
    <w:rsid w:val="00543529"/>
    <w:rsid w:val="00543B6B"/>
    <w:rsid w:val="00545120"/>
    <w:rsid w:val="00546040"/>
    <w:rsid w:val="00550344"/>
    <w:rsid w:val="00552C7A"/>
    <w:rsid w:val="0055681C"/>
    <w:rsid w:val="00556C43"/>
    <w:rsid w:val="00561BA3"/>
    <w:rsid w:val="005640D7"/>
    <w:rsid w:val="0056577A"/>
    <w:rsid w:val="0057325F"/>
    <w:rsid w:val="00573345"/>
    <w:rsid w:val="0057336F"/>
    <w:rsid w:val="00573C36"/>
    <w:rsid w:val="0057614A"/>
    <w:rsid w:val="00576725"/>
    <w:rsid w:val="00576F23"/>
    <w:rsid w:val="00576F8E"/>
    <w:rsid w:val="00577130"/>
    <w:rsid w:val="00580739"/>
    <w:rsid w:val="0058409D"/>
    <w:rsid w:val="00585854"/>
    <w:rsid w:val="00585D7F"/>
    <w:rsid w:val="00591957"/>
    <w:rsid w:val="00591C09"/>
    <w:rsid w:val="00596E79"/>
    <w:rsid w:val="005A3527"/>
    <w:rsid w:val="005A5C2E"/>
    <w:rsid w:val="005B3512"/>
    <w:rsid w:val="005B3BBD"/>
    <w:rsid w:val="005B429E"/>
    <w:rsid w:val="005C3826"/>
    <w:rsid w:val="005C3AFC"/>
    <w:rsid w:val="005C7524"/>
    <w:rsid w:val="005C7ECE"/>
    <w:rsid w:val="005D0B8A"/>
    <w:rsid w:val="005D3EB3"/>
    <w:rsid w:val="005D5738"/>
    <w:rsid w:val="005E3602"/>
    <w:rsid w:val="005E3680"/>
    <w:rsid w:val="005E4152"/>
    <w:rsid w:val="005E63C3"/>
    <w:rsid w:val="005E7EC5"/>
    <w:rsid w:val="005F0A2C"/>
    <w:rsid w:val="005F265C"/>
    <w:rsid w:val="005F2872"/>
    <w:rsid w:val="005F486E"/>
    <w:rsid w:val="006023F4"/>
    <w:rsid w:val="0060246B"/>
    <w:rsid w:val="00604DA6"/>
    <w:rsid w:val="006124AC"/>
    <w:rsid w:val="006156E3"/>
    <w:rsid w:val="00615B4D"/>
    <w:rsid w:val="0061628B"/>
    <w:rsid w:val="00617DE6"/>
    <w:rsid w:val="0062471D"/>
    <w:rsid w:val="006414C7"/>
    <w:rsid w:val="00642C79"/>
    <w:rsid w:val="006430D0"/>
    <w:rsid w:val="00643733"/>
    <w:rsid w:val="00643F93"/>
    <w:rsid w:val="0064494E"/>
    <w:rsid w:val="006465F6"/>
    <w:rsid w:val="006473E3"/>
    <w:rsid w:val="00647846"/>
    <w:rsid w:val="00654571"/>
    <w:rsid w:val="00657A02"/>
    <w:rsid w:val="0066013A"/>
    <w:rsid w:val="00663D06"/>
    <w:rsid w:val="00670249"/>
    <w:rsid w:val="0067040F"/>
    <w:rsid w:val="00670CA7"/>
    <w:rsid w:val="006730F1"/>
    <w:rsid w:val="0068065A"/>
    <w:rsid w:val="006819FE"/>
    <w:rsid w:val="006872C0"/>
    <w:rsid w:val="00690259"/>
    <w:rsid w:val="00694E17"/>
    <w:rsid w:val="006A05F0"/>
    <w:rsid w:val="006A1488"/>
    <w:rsid w:val="006A65E0"/>
    <w:rsid w:val="006A6811"/>
    <w:rsid w:val="006B03E4"/>
    <w:rsid w:val="006B17C2"/>
    <w:rsid w:val="006B1B1F"/>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7D4F"/>
    <w:rsid w:val="00753E10"/>
    <w:rsid w:val="00755AEC"/>
    <w:rsid w:val="00755DDC"/>
    <w:rsid w:val="00756C91"/>
    <w:rsid w:val="00756F04"/>
    <w:rsid w:val="00756F9A"/>
    <w:rsid w:val="00760792"/>
    <w:rsid w:val="00763CE6"/>
    <w:rsid w:val="0077017C"/>
    <w:rsid w:val="00773ABA"/>
    <w:rsid w:val="0078017D"/>
    <w:rsid w:val="00781480"/>
    <w:rsid w:val="00791FA9"/>
    <w:rsid w:val="00792BC1"/>
    <w:rsid w:val="00795BD6"/>
    <w:rsid w:val="00795E56"/>
    <w:rsid w:val="007A1A7B"/>
    <w:rsid w:val="007A346E"/>
    <w:rsid w:val="007A4745"/>
    <w:rsid w:val="007A5875"/>
    <w:rsid w:val="007A5D66"/>
    <w:rsid w:val="007B090C"/>
    <w:rsid w:val="007B6B38"/>
    <w:rsid w:val="007C7157"/>
    <w:rsid w:val="007D76E0"/>
    <w:rsid w:val="007E368D"/>
    <w:rsid w:val="007E4C22"/>
    <w:rsid w:val="007E64C0"/>
    <w:rsid w:val="007F1D2B"/>
    <w:rsid w:val="008005A4"/>
    <w:rsid w:val="00803B5B"/>
    <w:rsid w:val="00804D98"/>
    <w:rsid w:val="00805B64"/>
    <w:rsid w:val="00807CED"/>
    <w:rsid w:val="00812840"/>
    <w:rsid w:val="008206C5"/>
    <w:rsid w:val="00825A3C"/>
    <w:rsid w:val="008316F2"/>
    <w:rsid w:val="00831773"/>
    <w:rsid w:val="008337A4"/>
    <w:rsid w:val="00834801"/>
    <w:rsid w:val="00836115"/>
    <w:rsid w:val="00836710"/>
    <w:rsid w:val="008402C1"/>
    <w:rsid w:val="008450D8"/>
    <w:rsid w:val="00850770"/>
    <w:rsid w:val="00853ED6"/>
    <w:rsid w:val="008542F2"/>
    <w:rsid w:val="008574AE"/>
    <w:rsid w:val="008622F9"/>
    <w:rsid w:val="00866B43"/>
    <w:rsid w:val="008670BC"/>
    <w:rsid w:val="00876144"/>
    <w:rsid w:val="00881687"/>
    <w:rsid w:val="008863D7"/>
    <w:rsid w:val="0088798F"/>
    <w:rsid w:val="0089008A"/>
    <w:rsid w:val="00890C4D"/>
    <w:rsid w:val="00891773"/>
    <w:rsid w:val="008925BB"/>
    <w:rsid w:val="008A1828"/>
    <w:rsid w:val="008A1F5E"/>
    <w:rsid w:val="008A5641"/>
    <w:rsid w:val="008A78B2"/>
    <w:rsid w:val="008B3680"/>
    <w:rsid w:val="008C0934"/>
    <w:rsid w:val="008C2B44"/>
    <w:rsid w:val="008C4F17"/>
    <w:rsid w:val="008C5B57"/>
    <w:rsid w:val="008C7F05"/>
    <w:rsid w:val="008D172D"/>
    <w:rsid w:val="008D2008"/>
    <w:rsid w:val="008D5A27"/>
    <w:rsid w:val="008D5B00"/>
    <w:rsid w:val="008E23CC"/>
    <w:rsid w:val="008E3484"/>
    <w:rsid w:val="008E3AED"/>
    <w:rsid w:val="008E5542"/>
    <w:rsid w:val="008E5DA2"/>
    <w:rsid w:val="008F27E4"/>
    <w:rsid w:val="008F6FF2"/>
    <w:rsid w:val="008F7FC7"/>
    <w:rsid w:val="0090179D"/>
    <w:rsid w:val="00903D07"/>
    <w:rsid w:val="009061B2"/>
    <w:rsid w:val="009063F6"/>
    <w:rsid w:val="00910CF1"/>
    <w:rsid w:val="009140BD"/>
    <w:rsid w:val="00916051"/>
    <w:rsid w:val="0091725F"/>
    <w:rsid w:val="00922818"/>
    <w:rsid w:val="00930E48"/>
    <w:rsid w:val="00931496"/>
    <w:rsid w:val="00932D39"/>
    <w:rsid w:val="0093314A"/>
    <w:rsid w:val="0093744C"/>
    <w:rsid w:val="00942E06"/>
    <w:rsid w:val="00950505"/>
    <w:rsid w:val="00950A46"/>
    <w:rsid w:val="009511D6"/>
    <w:rsid w:val="00952875"/>
    <w:rsid w:val="00954675"/>
    <w:rsid w:val="00955EB4"/>
    <w:rsid w:val="00961B21"/>
    <w:rsid w:val="00962C3E"/>
    <w:rsid w:val="00963E17"/>
    <w:rsid w:val="00965195"/>
    <w:rsid w:val="00966350"/>
    <w:rsid w:val="00970540"/>
    <w:rsid w:val="00975D82"/>
    <w:rsid w:val="009833D3"/>
    <w:rsid w:val="0098573C"/>
    <w:rsid w:val="009927E5"/>
    <w:rsid w:val="009A0ED5"/>
    <w:rsid w:val="009B1BB9"/>
    <w:rsid w:val="009B47BF"/>
    <w:rsid w:val="009D1C75"/>
    <w:rsid w:val="009D5726"/>
    <w:rsid w:val="009D61E3"/>
    <w:rsid w:val="009D7450"/>
    <w:rsid w:val="009D79EC"/>
    <w:rsid w:val="009E36AA"/>
    <w:rsid w:val="009F15AE"/>
    <w:rsid w:val="009F5E7C"/>
    <w:rsid w:val="00A02203"/>
    <w:rsid w:val="00A04577"/>
    <w:rsid w:val="00A05E1C"/>
    <w:rsid w:val="00A10C87"/>
    <w:rsid w:val="00A11BAB"/>
    <w:rsid w:val="00A1720E"/>
    <w:rsid w:val="00A22039"/>
    <w:rsid w:val="00A23051"/>
    <w:rsid w:val="00A23CBE"/>
    <w:rsid w:val="00A26252"/>
    <w:rsid w:val="00A26489"/>
    <w:rsid w:val="00A30925"/>
    <w:rsid w:val="00A3392B"/>
    <w:rsid w:val="00A41F69"/>
    <w:rsid w:val="00A44362"/>
    <w:rsid w:val="00A46088"/>
    <w:rsid w:val="00A4728D"/>
    <w:rsid w:val="00A47378"/>
    <w:rsid w:val="00A47BDC"/>
    <w:rsid w:val="00A52322"/>
    <w:rsid w:val="00A52F9B"/>
    <w:rsid w:val="00A5416B"/>
    <w:rsid w:val="00A60426"/>
    <w:rsid w:val="00A62528"/>
    <w:rsid w:val="00A625D1"/>
    <w:rsid w:val="00A62ABA"/>
    <w:rsid w:val="00A646FD"/>
    <w:rsid w:val="00A67A3A"/>
    <w:rsid w:val="00A7289B"/>
    <w:rsid w:val="00A73425"/>
    <w:rsid w:val="00A748F4"/>
    <w:rsid w:val="00A770A7"/>
    <w:rsid w:val="00A7759E"/>
    <w:rsid w:val="00A8093F"/>
    <w:rsid w:val="00A8137D"/>
    <w:rsid w:val="00A860DC"/>
    <w:rsid w:val="00A92D34"/>
    <w:rsid w:val="00A94A37"/>
    <w:rsid w:val="00A9567F"/>
    <w:rsid w:val="00AA1BAB"/>
    <w:rsid w:val="00AB417C"/>
    <w:rsid w:val="00AB6086"/>
    <w:rsid w:val="00AB635B"/>
    <w:rsid w:val="00AB6B2F"/>
    <w:rsid w:val="00AC4491"/>
    <w:rsid w:val="00AC7A4D"/>
    <w:rsid w:val="00AD173C"/>
    <w:rsid w:val="00AD1CE3"/>
    <w:rsid w:val="00AD2586"/>
    <w:rsid w:val="00AD2768"/>
    <w:rsid w:val="00AD3CF8"/>
    <w:rsid w:val="00AD473B"/>
    <w:rsid w:val="00AD4C7D"/>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1088"/>
    <w:rsid w:val="00B231AC"/>
    <w:rsid w:val="00B23F46"/>
    <w:rsid w:val="00B24BAA"/>
    <w:rsid w:val="00B34886"/>
    <w:rsid w:val="00B34B9F"/>
    <w:rsid w:val="00B4099C"/>
    <w:rsid w:val="00B41851"/>
    <w:rsid w:val="00B4369C"/>
    <w:rsid w:val="00B51DBD"/>
    <w:rsid w:val="00B5375E"/>
    <w:rsid w:val="00B57F92"/>
    <w:rsid w:val="00B60014"/>
    <w:rsid w:val="00B60332"/>
    <w:rsid w:val="00B70822"/>
    <w:rsid w:val="00B70B63"/>
    <w:rsid w:val="00B71E07"/>
    <w:rsid w:val="00B72A6A"/>
    <w:rsid w:val="00B74EC0"/>
    <w:rsid w:val="00B81DD3"/>
    <w:rsid w:val="00B81E44"/>
    <w:rsid w:val="00B8278F"/>
    <w:rsid w:val="00B84666"/>
    <w:rsid w:val="00B84ABF"/>
    <w:rsid w:val="00B84B1D"/>
    <w:rsid w:val="00B87A1C"/>
    <w:rsid w:val="00B87D3C"/>
    <w:rsid w:val="00B950B6"/>
    <w:rsid w:val="00BA14DD"/>
    <w:rsid w:val="00BA3CB8"/>
    <w:rsid w:val="00BA70CD"/>
    <w:rsid w:val="00BB3314"/>
    <w:rsid w:val="00BB3C4F"/>
    <w:rsid w:val="00BB48CC"/>
    <w:rsid w:val="00BB4F4D"/>
    <w:rsid w:val="00BC1AD6"/>
    <w:rsid w:val="00BD11DE"/>
    <w:rsid w:val="00BD4F99"/>
    <w:rsid w:val="00BE4BBF"/>
    <w:rsid w:val="00BE55AC"/>
    <w:rsid w:val="00BE6A63"/>
    <w:rsid w:val="00BE7D02"/>
    <w:rsid w:val="00BE7F70"/>
    <w:rsid w:val="00BF39E5"/>
    <w:rsid w:val="00BF5673"/>
    <w:rsid w:val="00BF5A14"/>
    <w:rsid w:val="00BF5DE6"/>
    <w:rsid w:val="00C004A4"/>
    <w:rsid w:val="00C05E49"/>
    <w:rsid w:val="00C05E9D"/>
    <w:rsid w:val="00C06126"/>
    <w:rsid w:val="00C066AA"/>
    <w:rsid w:val="00C13DC9"/>
    <w:rsid w:val="00C14F76"/>
    <w:rsid w:val="00C2331C"/>
    <w:rsid w:val="00C25487"/>
    <w:rsid w:val="00C32AB8"/>
    <w:rsid w:val="00C32AF1"/>
    <w:rsid w:val="00C33CEB"/>
    <w:rsid w:val="00C361CD"/>
    <w:rsid w:val="00C367F5"/>
    <w:rsid w:val="00C400A1"/>
    <w:rsid w:val="00C42450"/>
    <w:rsid w:val="00C47E72"/>
    <w:rsid w:val="00C53079"/>
    <w:rsid w:val="00C56E4D"/>
    <w:rsid w:val="00C57448"/>
    <w:rsid w:val="00C635EB"/>
    <w:rsid w:val="00C6494E"/>
    <w:rsid w:val="00C71782"/>
    <w:rsid w:val="00C7694F"/>
    <w:rsid w:val="00C8076C"/>
    <w:rsid w:val="00C81B02"/>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C6A59"/>
    <w:rsid w:val="00CD0E6C"/>
    <w:rsid w:val="00CD7B56"/>
    <w:rsid w:val="00CE36C8"/>
    <w:rsid w:val="00CE4C51"/>
    <w:rsid w:val="00CF3010"/>
    <w:rsid w:val="00CF4242"/>
    <w:rsid w:val="00CF70FE"/>
    <w:rsid w:val="00D00EE1"/>
    <w:rsid w:val="00D21E5F"/>
    <w:rsid w:val="00D24065"/>
    <w:rsid w:val="00D307AB"/>
    <w:rsid w:val="00D312C4"/>
    <w:rsid w:val="00D319D6"/>
    <w:rsid w:val="00D32989"/>
    <w:rsid w:val="00D32EB3"/>
    <w:rsid w:val="00D42696"/>
    <w:rsid w:val="00D43503"/>
    <w:rsid w:val="00D43E19"/>
    <w:rsid w:val="00D50765"/>
    <w:rsid w:val="00D50CD3"/>
    <w:rsid w:val="00D5113C"/>
    <w:rsid w:val="00D67CEE"/>
    <w:rsid w:val="00D67D88"/>
    <w:rsid w:val="00D814BA"/>
    <w:rsid w:val="00D81859"/>
    <w:rsid w:val="00D82600"/>
    <w:rsid w:val="00D840F6"/>
    <w:rsid w:val="00D84992"/>
    <w:rsid w:val="00D92BAE"/>
    <w:rsid w:val="00D937E3"/>
    <w:rsid w:val="00D938F9"/>
    <w:rsid w:val="00D95879"/>
    <w:rsid w:val="00D95E89"/>
    <w:rsid w:val="00D962FB"/>
    <w:rsid w:val="00DA5EB9"/>
    <w:rsid w:val="00DB21F6"/>
    <w:rsid w:val="00DC23C3"/>
    <w:rsid w:val="00DD10B2"/>
    <w:rsid w:val="00DD225A"/>
    <w:rsid w:val="00DD4DFA"/>
    <w:rsid w:val="00DD4EC2"/>
    <w:rsid w:val="00DD633A"/>
    <w:rsid w:val="00DD6D60"/>
    <w:rsid w:val="00DE4C0D"/>
    <w:rsid w:val="00DF4DB8"/>
    <w:rsid w:val="00DF5718"/>
    <w:rsid w:val="00DF5E51"/>
    <w:rsid w:val="00DF7351"/>
    <w:rsid w:val="00E03053"/>
    <w:rsid w:val="00E05064"/>
    <w:rsid w:val="00E079B9"/>
    <w:rsid w:val="00E07C3B"/>
    <w:rsid w:val="00E138E0"/>
    <w:rsid w:val="00E142DA"/>
    <w:rsid w:val="00E22AE3"/>
    <w:rsid w:val="00E22CE1"/>
    <w:rsid w:val="00E272B3"/>
    <w:rsid w:val="00E2741C"/>
    <w:rsid w:val="00E30811"/>
    <w:rsid w:val="00E31356"/>
    <w:rsid w:val="00E3223D"/>
    <w:rsid w:val="00E41505"/>
    <w:rsid w:val="00E45E9B"/>
    <w:rsid w:val="00E64141"/>
    <w:rsid w:val="00E65583"/>
    <w:rsid w:val="00E67017"/>
    <w:rsid w:val="00E673B7"/>
    <w:rsid w:val="00E7117D"/>
    <w:rsid w:val="00E71396"/>
    <w:rsid w:val="00E73B27"/>
    <w:rsid w:val="00E75D0B"/>
    <w:rsid w:val="00E7748E"/>
    <w:rsid w:val="00E83E85"/>
    <w:rsid w:val="00E8449E"/>
    <w:rsid w:val="00E87812"/>
    <w:rsid w:val="00E90225"/>
    <w:rsid w:val="00E93811"/>
    <w:rsid w:val="00E97260"/>
    <w:rsid w:val="00EA175C"/>
    <w:rsid w:val="00EA178E"/>
    <w:rsid w:val="00EA2A7E"/>
    <w:rsid w:val="00EA3595"/>
    <w:rsid w:val="00EA5801"/>
    <w:rsid w:val="00EA6377"/>
    <w:rsid w:val="00EB087E"/>
    <w:rsid w:val="00EB506F"/>
    <w:rsid w:val="00EC2169"/>
    <w:rsid w:val="00EC31D3"/>
    <w:rsid w:val="00EC69F6"/>
    <w:rsid w:val="00ED3996"/>
    <w:rsid w:val="00ED3D87"/>
    <w:rsid w:val="00ED5A58"/>
    <w:rsid w:val="00ED7B08"/>
    <w:rsid w:val="00EE009B"/>
    <w:rsid w:val="00EE58A4"/>
    <w:rsid w:val="00EE7FDF"/>
    <w:rsid w:val="00EF2711"/>
    <w:rsid w:val="00EF2D8D"/>
    <w:rsid w:val="00F026C9"/>
    <w:rsid w:val="00F16B71"/>
    <w:rsid w:val="00F245C1"/>
    <w:rsid w:val="00F27415"/>
    <w:rsid w:val="00F3308A"/>
    <w:rsid w:val="00F342D9"/>
    <w:rsid w:val="00F36138"/>
    <w:rsid w:val="00F373F2"/>
    <w:rsid w:val="00F37EC1"/>
    <w:rsid w:val="00F42967"/>
    <w:rsid w:val="00F44B1E"/>
    <w:rsid w:val="00F519A3"/>
    <w:rsid w:val="00F55BC6"/>
    <w:rsid w:val="00F57042"/>
    <w:rsid w:val="00F571EB"/>
    <w:rsid w:val="00F578F9"/>
    <w:rsid w:val="00F65464"/>
    <w:rsid w:val="00F70223"/>
    <w:rsid w:val="00F70BEF"/>
    <w:rsid w:val="00F70D38"/>
    <w:rsid w:val="00F739FE"/>
    <w:rsid w:val="00F81A70"/>
    <w:rsid w:val="00F81E58"/>
    <w:rsid w:val="00F84204"/>
    <w:rsid w:val="00F858BD"/>
    <w:rsid w:val="00F96E52"/>
    <w:rsid w:val="00FA0CB1"/>
    <w:rsid w:val="00FA11F4"/>
    <w:rsid w:val="00FA78C0"/>
    <w:rsid w:val="00FB470E"/>
    <w:rsid w:val="00FB77D5"/>
    <w:rsid w:val="00FC1D99"/>
    <w:rsid w:val="00FC2737"/>
    <w:rsid w:val="00FC62A0"/>
    <w:rsid w:val="00FC671D"/>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BodyTextIndent">
    <w:name w:val="Body Text Indent"/>
    <w:basedOn w:val="Normal"/>
    <w:link w:val="BodyTextIndentChar"/>
    <w:uiPriority w:val="99"/>
    <w:unhideWhenUsed/>
    <w:rsid w:val="008622F9"/>
    <w:pPr>
      <w:spacing w:after="120"/>
      <w:ind w:left="360"/>
    </w:pPr>
  </w:style>
  <w:style w:type="character" w:customStyle="1" w:styleId="BodyTextIndentChar">
    <w:name w:val="Body Text Indent Char"/>
    <w:basedOn w:val="DefaultParagraphFont"/>
    <w:link w:val="BodyTextIndent"/>
    <w:uiPriority w:val="99"/>
    <w:rsid w:val="008622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c17e7af-3bbc-4db8-8428-848df389c307">
      <Terms xmlns="http://schemas.microsoft.com/office/infopath/2007/PartnerControls"/>
    </lcf76f155ced4ddcb4097134ff3c332f>
    <TaxCatchAll xmlns="430ff082-7be9-46c9-8b5c-63c967f66c1f" xsi:nil="true"/>
  </documentManagement>
</p:properties>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2.xml><?xml version="1.0" encoding="utf-8"?>
<ds:datastoreItem xmlns:ds="http://schemas.openxmlformats.org/officeDocument/2006/customXml" ds:itemID="{D2B9A806-38F3-446C-BE3D-671F5615A55B}">
  <ds:schemaRefs>
    <ds:schemaRef ds:uri="http://schemas.microsoft.com/sharepoint/v3/contenttype/forms"/>
  </ds:schemaRefs>
</ds:datastoreItem>
</file>

<file path=customXml/itemProps3.xml><?xml version="1.0" encoding="utf-8"?>
<ds:datastoreItem xmlns:ds="http://schemas.openxmlformats.org/officeDocument/2006/customXml" ds:itemID="{EB22F85D-AE5F-4808-91EB-E9DED5E63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CE1632-43B1-4B4A-9522-479C4D255BDE}">
  <ds:schemaRefs>
    <ds:schemaRef ds:uri="http://schemas.microsoft.com/office/2006/metadata/properties"/>
    <ds:schemaRef ds:uri="http://schemas.microsoft.com/office/infopath/2007/PartnerControls"/>
    <ds:schemaRef ds:uri="9c17e7af-3bbc-4db8-8428-848df389c307"/>
    <ds:schemaRef ds:uri="430ff082-7be9-46c9-8b5c-63c967f66c1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1252</Words>
  <Characters>6889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Gloria de Jesús Maldonado</cp:lastModifiedBy>
  <cp:revision>2</cp:revision>
  <cp:lastPrinted>2025-03-26T20:40:00Z</cp:lastPrinted>
  <dcterms:created xsi:type="dcterms:W3CDTF">2026-05-14T21:21:00Z</dcterms:created>
  <dcterms:modified xsi:type="dcterms:W3CDTF">2026-05-14T21:21:00Z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MediaServiceImageTags">
    <vt:lpwstr/>
  </property>
  <property fmtid="{D5CDD505-2E9C-101B-9397-08002B2CF9AE}" pid="5" name="ContentTypeId">
    <vt:lpwstr>0x010100831C0761637D684EABBCE64BDDA1E45F</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