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6D2B" w14:textId="6552CEF3" w:rsidR="00323DE4" w:rsidRPr="00757C17" w:rsidRDefault="00E666ED" w:rsidP="00323DE4">
      <w:pPr>
        <w:jc w:val="center"/>
        <w:rPr>
          <w:rFonts w:ascii="Book Antiqua" w:hAnsi="Book Antiqua"/>
          <w:sz w:val="28"/>
          <w:szCs w:val="28"/>
          <w:lang w:val="es-ES_tradnl"/>
        </w:rPr>
      </w:pPr>
      <w:r>
        <w:rPr>
          <w:rFonts w:ascii="Book Antiqua" w:hAnsi="Book Antiqua"/>
          <w:sz w:val="28"/>
          <w:szCs w:val="28"/>
          <w:lang w:val="es-ES_tradnl"/>
        </w:rPr>
        <w:t>GOBIERNO</w:t>
      </w:r>
      <w:r w:rsidR="00323DE4" w:rsidRPr="00055726">
        <w:rPr>
          <w:rFonts w:ascii="Book Antiqua" w:hAnsi="Book Antiqua"/>
          <w:sz w:val="28"/>
          <w:szCs w:val="28"/>
          <w:lang w:val="es-ES_tradnl"/>
        </w:rPr>
        <w:t xml:space="preserve"> </w:t>
      </w:r>
      <w:r w:rsidR="00323DE4" w:rsidRPr="00757C17">
        <w:rPr>
          <w:rFonts w:ascii="Book Antiqua" w:hAnsi="Book Antiqua"/>
          <w:sz w:val="28"/>
          <w:szCs w:val="28"/>
          <w:lang w:val="es-ES_tradnl"/>
        </w:rPr>
        <w:t>DE PUERTO RICO</w:t>
      </w:r>
    </w:p>
    <w:p w14:paraId="1131F88B" w14:textId="77777777" w:rsidR="00323DE4" w:rsidRPr="00757C17" w:rsidRDefault="00323DE4" w:rsidP="00323DE4">
      <w:pPr>
        <w:jc w:val="center"/>
        <w:rPr>
          <w:rFonts w:ascii="Book Antiqua" w:hAnsi="Book Antiqua"/>
          <w:lang w:val="es-ES_tradnl"/>
        </w:rPr>
      </w:pPr>
    </w:p>
    <w:p w14:paraId="4518B1F4" w14:textId="4C38EC0A" w:rsidR="00323DE4" w:rsidRPr="00757C17" w:rsidRDefault="00E666ED" w:rsidP="00323DE4">
      <w:pPr>
        <w:pStyle w:val="Title2"/>
        <w:rPr>
          <w:rFonts w:ascii="Book Antiqua" w:hAnsi="Book Antiqua"/>
          <w:lang w:val="es-ES_tradnl"/>
        </w:rPr>
      </w:pPr>
      <w:r>
        <w:rPr>
          <w:rFonts w:ascii="Book Antiqua" w:hAnsi="Book Antiqua"/>
          <w:lang w:val="es-ES_tradnl"/>
        </w:rPr>
        <w:t>20m</w:t>
      </w:r>
      <w:r w:rsidR="00FF1DDB">
        <w:rPr>
          <w:rFonts w:ascii="Book Antiqua" w:hAnsi="Book Antiqua"/>
          <w:lang w:val="es-ES_tradnl"/>
        </w:rPr>
        <w:t>a.</w:t>
      </w:r>
      <w:r w:rsidR="00323DE4" w:rsidRPr="00757C17">
        <w:rPr>
          <w:rFonts w:ascii="Book Antiqua" w:hAnsi="Book Antiqua"/>
          <w:lang w:val="es-ES_tradnl"/>
        </w:rPr>
        <w:tab/>
        <w:t>Asamblea</w:t>
      </w:r>
      <w:r w:rsidR="00323DE4" w:rsidRPr="00757C17">
        <w:rPr>
          <w:rFonts w:ascii="Book Antiqua" w:hAnsi="Book Antiqua"/>
          <w:lang w:val="es-ES_tradnl"/>
        </w:rPr>
        <w:tab/>
      </w:r>
      <w:r>
        <w:rPr>
          <w:rFonts w:ascii="Book Antiqua" w:hAnsi="Book Antiqua"/>
          <w:lang w:val="es-ES_tradnl"/>
        </w:rPr>
        <w:t>3</w:t>
      </w:r>
      <w:r w:rsidR="00FF1DDB">
        <w:rPr>
          <w:rFonts w:ascii="Book Antiqua" w:hAnsi="Book Antiqua"/>
          <w:lang w:val="es-ES_tradnl"/>
        </w:rPr>
        <w:t>ra.</w:t>
      </w:r>
      <w:r w:rsidR="00323DE4" w:rsidRPr="00757C17">
        <w:rPr>
          <w:rFonts w:ascii="Book Antiqua" w:hAnsi="Book Antiqua"/>
          <w:lang w:val="es-ES_tradnl"/>
        </w:rPr>
        <w:tab/>
        <w:t>Sesión</w:t>
      </w:r>
    </w:p>
    <w:p w14:paraId="5F6FC617" w14:textId="77777777" w:rsidR="00323DE4" w:rsidRPr="00757C17" w:rsidRDefault="00323DE4" w:rsidP="00323DE4">
      <w:pPr>
        <w:pStyle w:val="Title2"/>
        <w:rPr>
          <w:rFonts w:ascii="Book Antiqua" w:hAnsi="Book Antiqua"/>
          <w:lang w:val="es-ES_tradnl"/>
        </w:rPr>
      </w:pPr>
      <w:r w:rsidRPr="00757C17">
        <w:rPr>
          <w:rFonts w:ascii="Book Antiqua" w:hAnsi="Book Antiqua"/>
          <w:lang w:val="es-ES_tradnl"/>
        </w:rPr>
        <w:tab/>
        <w:t>Legislativa</w:t>
      </w:r>
      <w:r w:rsidRPr="00757C17">
        <w:rPr>
          <w:rFonts w:ascii="Book Antiqua" w:hAnsi="Book Antiqua"/>
          <w:lang w:val="es-ES_tradnl"/>
        </w:rPr>
        <w:tab/>
      </w:r>
      <w:r w:rsidRPr="00757C17">
        <w:rPr>
          <w:rFonts w:ascii="Book Antiqua" w:hAnsi="Book Antiqua"/>
          <w:lang w:val="es-ES_tradnl"/>
        </w:rPr>
        <w:tab/>
        <w:t>Ordinaria</w:t>
      </w:r>
    </w:p>
    <w:p w14:paraId="5E0F4223" w14:textId="77777777" w:rsidR="00323DE4" w:rsidRPr="00757C17" w:rsidRDefault="00323DE4" w:rsidP="00323DE4">
      <w:pPr>
        <w:rPr>
          <w:rFonts w:ascii="Book Antiqua" w:hAnsi="Book Antiqua"/>
          <w:lang w:val="es-ES_tradnl"/>
        </w:rPr>
      </w:pPr>
    </w:p>
    <w:p w14:paraId="0A691422" w14:textId="77777777" w:rsidR="00323DE4" w:rsidRPr="00500352" w:rsidRDefault="00634442" w:rsidP="00384564">
      <w:pPr>
        <w:jc w:val="center"/>
        <w:rPr>
          <w:rFonts w:ascii="Book Antiqua" w:hAnsi="Book Antiqua"/>
          <w:b/>
          <w:sz w:val="36"/>
          <w:szCs w:val="36"/>
          <w:lang w:val="es-ES_tradnl"/>
        </w:rPr>
      </w:pPr>
      <w:r w:rsidRPr="00500352">
        <w:rPr>
          <w:rFonts w:ascii="Book Antiqua" w:hAnsi="Book Antiqua"/>
          <w:b/>
          <w:sz w:val="36"/>
          <w:szCs w:val="36"/>
          <w:lang w:val="es-ES_tradnl"/>
        </w:rPr>
        <w:t>CÁMARA DE REPRESENTANTES</w:t>
      </w:r>
    </w:p>
    <w:p w14:paraId="4F7B3ECA" w14:textId="77777777" w:rsidR="00384564" w:rsidRPr="00384564" w:rsidRDefault="00384564" w:rsidP="00384564">
      <w:pPr>
        <w:jc w:val="center"/>
        <w:rPr>
          <w:rFonts w:ascii="Book Antiqua" w:hAnsi="Book Antiqua"/>
          <w:b/>
          <w:szCs w:val="24"/>
          <w:lang w:val="es-ES_tradnl"/>
        </w:rPr>
      </w:pPr>
    </w:p>
    <w:p w14:paraId="7C36008A" w14:textId="12869127" w:rsidR="00323DE4" w:rsidRPr="00500352" w:rsidRDefault="00323DE4" w:rsidP="00384564">
      <w:pPr>
        <w:jc w:val="center"/>
        <w:rPr>
          <w:rFonts w:ascii="Book Antiqua" w:hAnsi="Book Antiqua"/>
          <w:b/>
          <w:sz w:val="52"/>
          <w:szCs w:val="52"/>
          <w:lang w:val="es-ES_tradnl"/>
        </w:rPr>
      </w:pPr>
      <w:r w:rsidRPr="00500352">
        <w:rPr>
          <w:rFonts w:ascii="Book Antiqua" w:hAnsi="Book Antiqua"/>
          <w:b/>
          <w:sz w:val="52"/>
          <w:szCs w:val="52"/>
          <w:lang w:val="es-ES_tradnl"/>
        </w:rPr>
        <w:t>R. de</w:t>
      </w:r>
      <w:r w:rsidR="00634442" w:rsidRPr="00500352">
        <w:rPr>
          <w:rFonts w:ascii="Book Antiqua" w:hAnsi="Book Antiqua"/>
          <w:b/>
          <w:sz w:val="52"/>
          <w:szCs w:val="52"/>
          <w:lang w:val="es-ES_tradnl"/>
        </w:rPr>
        <w:t xml:space="preserve"> </w:t>
      </w:r>
      <w:r w:rsidRPr="00500352">
        <w:rPr>
          <w:rFonts w:ascii="Book Antiqua" w:hAnsi="Book Antiqua"/>
          <w:b/>
          <w:sz w:val="52"/>
          <w:szCs w:val="52"/>
          <w:lang w:val="es-ES_tradnl"/>
        </w:rPr>
        <w:t>l</w:t>
      </w:r>
      <w:r w:rsidR="00634442" w:rsidRPr="00500352">
        <w:rPr>
          <w:rFonts w:ascii="Book Antiqua" w:hAnsi="Book Antiqua"/>
          <w:b/>
          <w:sz w:val="52"/>
          <w:szCs w:val="52"/>
          <w:lang w:val="es-ES_tradnl"/>
        </w:rPr>
        <w:t>a C</w:t>
      </w:r>
      <w:r w:rsidRPr="00500352">
        <w:rPr>
          <w:rFonts w:ascii="Book Antiqua" w:hAnsi="Book Antiqua"/>
          <w:b/>
          <w:sz w:val="52"/>
          <w:szCs w:val="52"/>
          <w:lang w:val="es-ES_tradnl"/>
        </w:rPr>
        <w:t xml:space="preserve">. </w:t>
      </w:r>
      <w:r w:rsidR="002347B2">
        <w:rPr>
          <w:rFonts w:ascii="Book Antiqua" w:hAnsi="Book Antiqua"/>
          <w:b/>
          <w:sz w:val="52"/>
          <w:szCs w:val="52"/>
          <w:lang w:val="es-ES_tradnl"/>
        </w:rPr>
        <w:t>632</w:t>
      </w:r>
    </w:p>
    <w:p w14:paraId="5A484624" w14:textId="77777777" w:rsidR="00384564" w:rsidRDefault="00384564" w:rsidP="00384564">
      <w:pPr>
        <w:jc w:val="center"/>
        <w:rPr>
          <w:rFonts w:ascii="Book Antiqua" w:hAnsi="Book Antiqua"/>
          <w:lang w:val="es-ES_tradnl"/>
        </w:rPr>
      </w:pPr>
    </w:p>
    <w:p w14:paraId="3EBFA412" w14:textId="01CAC084" w:rsidR="00323DE4" w:rsidRDefault="002347B2" w:rsidP="00384564">
      <w:pPr>
        <w:jc w:val="center"/>
        <w:rPr>
          <w:rFonts w:ascii="Book Antiqua" w:hAnsi="Book Antiqua"/>
          <w:lang w:val="es-ES_tradnl"/>
        </w:rPr>
      </w:pPr>
      <w:r>
        <w:rPr>
          <w:rFonts w:ascii="Book Antiqua" w:hAnsi="Book Antiqua"/>
          <w:lang w:val="es-ES_tradnl"/>
        </w:rPr>
        <w:t>25</w:t>
      </w:r>
      <w:r w:rsidR="00B44A57">
        <w:rPr>
          <w:rFonts w:ascii="Book Antiqua" w:hAnsi="Book Antiqua"/>
          <w:lang w:val="es-ES_tradnl"/>
        </w:rPr>
        <w:t xml:space="preserve"> </w:t>
      </w:r>
      <w:r w:rsidR="0019521F" w:rsidRPr="00757C17">
        <w:rPr>
          <w:rFonts w:ascii="Book Antiqua" w:hAnsi="Book Antiqua"/>
          <w:lang w:val="es-ES_tradnl"/>
        </w:rPr>
        <w:t xml:space="preserve">DE </w:t>
      </w:r>
      <w:r w:rsidR="00E666ED">
        <w:rPr>
          <w:rFonts w:ascii="Book Antiqua" w:hAnsi="Book Antiqua"/>
          <w:lang w:val="es-ES_tradnl"/>
        </w:rPr>
        <w:t>FEBRERO</w:t>
      </w:r>
      <w:r w:rsidR="0019521F" w:rsidRPr="00757C17">
        <w:rPr>
          <w:rFonts w:ascii="Book Antiqua" w:hAnsi="Book Antiqua"/>
          <w:lang w:val="es-ES_tradnl"/>
        </w:rPr>
        <w:t xml:space="preserve"> DE 20</w:t>
      </w:r>
      <w:r w:rsidR="0019521F">
        <w:rPr>
          <w:rFonts w:ascii="Book Antiqua" w:hAnsi="Book Antiqua"/>
          <w:lang w:val="es-ES_tradnl"/>
        </w:rPr>
        <w:t>2</w:t>
      </w:r>
      <w:r w:rsidR="00E666ED">
        <w:rPr>
          <w:rFonts w:ascii="Book Antiqua" w:hAnsi="Book Antiqua"/>
          <w:lang w:val="es-ES_tradnl"/>
        </w:rPr>
        <w:t>6</w:t>
      </w:r>
    </w:p>
    <w:p w14:paraId="2B32A3FD" w14:textId="77777777" w:rsidR="00EC1852" w:rsidRPr="00757C17" w:rsidRDefault="00EC1852" w:rsidP="00384564">
      <w:pPr>
        <w:jc w:val="center"/>
        <w:rPr>
          <w:rFonts w:ascii="Book Antiqua" w:hAnsi="Book Antiqua"/>
          <w:szCs w:val="24"/>
          <w:lang w:val="es-ES_tradnl"/>
        </w:rPr>
      </w:pPr>
    </w:p>
    <w:p w14:paraId="175E3B44" w14:textId="77777777" w:rsidR="00D06094" w:rsidRDefault="00D06094" w:rsidP="00384564">
      <w:pPr>
        <w:ind w:left="720" w:hanging="720"/>
        <w:jc w:val="both"/>
        <w:rPr>
          <w:rFonts w:ascii="Book Antiqua" w:hAnsi="Book Antiqua"/>
          <w:i/>
          <w:iCs/>
          <w:lang w:val="es-ES_tradnl"/>
        </w:rPr>
      </w:pPr>
      <w:r w:rsidRPr="00431C6E">
        <w:rPr>
          <w:rFonts w:ascii="Book Antiqua" w:hAnsi="Book Antiqua"/>
          <w:lang w:val="es-ES_tradnl"/>
        </w:rPr>
        <w:t xml:space="preserve">Presentada por </w:t>
      </w:r>
      <w:r w:rsidRPr="00204916">
        <w:rPr>
          <w:rFonts w:ascii="Book Antiqua" w:hAnsi="Book Antiqua"/>
          <w:lang w:val="es-ES_tradnl"/>
        </w:rPr>
        <w:t>el representante</w:t>
      </w:r>
      <w:r w:rsidRPr="00E6074D">
        <w:rPr>
          <w:rFonts w:ascii="Book Antiqua" w:hAnsi="Book Antiqua"/>
          <w:i/>
          <w:iCs/>
          <w:lang w:val="es-ES_tradnl"/>
        </w:rPr>
        <w:t xml:space="preserve"> </w:t>
      </w:r>
      <w:r>
        <w:rPr>
          <w:rFonts w:ascii="Book Antiqua" w:hAnsi="Book Antiqua"/>
          <w:i/>
          <w:iCs/>
          <w:lang w:val="es-ES_tradnl"/>
        </w:rPr>
        <w:t xml:space="preserve">Ferrer Santiago; </w:t>
      </w:r>
      <w:r w:rsidRPr="00431C6E">
        <w:rPr>
          <w:rFonts w:ascii="Book Antiqua" w:hAnsi="Book Antiqua"/>
          <w:lang w:val="es-ES_tradnl"/>
        </w:rPr>
        <w:t>l</w:t>
      </w:r>
      <w:r>
        <w:rPr>
          <w:rFonts w:ascii="Book Antiqua" w:hAnsi="Book Antiqua"/>
          <w:lang w:val="es-ES_tradnl"/>
        </w:rPr>
        <w:t>a representante</w:t>
      </w:r>
      <w:r w:rsidRPr="00431C6E">
        <w:rPr>
          <w:rFonts w:ascii="Book Antiqua" w:hAnsi="Book Antiqua"/>
          <w:lang w:val="es-ES_tradnl"/>
        </w:rPr>
        <w:t xml:space="preserve"> </w:t>
      </w:r>
      <w:r>
        <w:rPr>
          <w:rFonts w:ascii="Book Antiqua" w:hAnsi="Book Antiqua"/>
          <w:i/>
          <w:iCs/>
          <w:lang w:val="es-ES_tradnl"/>
        </w:rPr>
        <w:t xml:space="preserve">Vargas Laureano; </w:t>
      </w:r>
      <w:r>
        <w:rPr>
          <w:rFonts w:ascii="Book Antiqua" w:hAnsi="Book Antiqua"/>
          <w:lang w:val="es-ES_tradnl"/>
        </w:rPr>
        <w:t>los</w:t>
      </w:r>
      <w:r w:rsidRPr="00204916">
        <w:rPr>
          <w:rFonts w:ascii="Book Antiqua" w:hAnsi="Book Antiqua"/>
          <w:lang w:val="es-ES_tradnl"/>
        </w:rPr>
        <w:t xml:space="preserve"> representante</w:t>
      </w:r>
      <w:r>
        <w:rPr>
          <w:rFonts w:ascii="Book Antiqua" w:hAnsi="Book Antiqua"/>
          <w:lang w:val="es-ES_tradnl"/>
        </w:rPr>
        <w:t>s</w:t>
      </w:r>
      <w:r w:rsidRPr="00204916">
        <w:rPr>
          <w:rFonts w:ascii="Book Antiqua" w:hAnsi="Book Antiqua"/>
          <w:lang w:val="es-ES_tradnl"/>
        </w:rPr>
        <w:t xml:space="preserve"> </w:t>
      </w:r>
      <w:r>
        <w:rPr>
          <w:rFonts w:ascii="Book Antiqua" w:hAnsi="Book Antiqua"/>
          <w:i/>
          <w:iCs/>
          <w:lang w:val="es-ES_tradnl"/>
        </w:rPr>
        <w:t xml:space="preserve">Torres Cruz, Torres García; </w:t>
      </w:r>
      <w:r w:rsidRPr="009B37A9">
        <w:rPr>
          <w:rFonts w:ascii="Book Antiqua" w:hAnsi="Book Antiqua"/>
          <w:lang w:val="es-ES_tradnl"/>
        </w:rPr>
        <w:t>las</w:t>
      </w:r>
      <w:r>
        <w:rPr>
          <w:rFonts w:ascii="Book Antiqua" w:hAnsi="Book Antiqua"/>
          <w:i/>
          <w:iCs/>
          <w:lang w:val="es-ES_tradnl"/>
        </w:rPr>
        <w:t xml:space="preserve"> </w:t>
      </w:r>
      <w:r w:rsidRPr="00A15903">
        <w:rPr>
          <w:rFonts w:ascii="Book Antiqua" w:hAnsi="Book Antiqua"/>
          <w:lang w:val="es-ES_tradnl"/>
        </w:rPr>
        <w:t>representantes</w:t>
      </w:r>
      <w:r>
        <w:rPr>
          <w:rFonts w:ascii="Book Antiqua" w:hAnsi="Book Antiqua"/>
          <w:i/>
          <w:iCs/>
          <w:lang w:val="es-ES_tradnl"/>
        </w:rPr>
        <w:t xml:space="preserve"> Rosas Vargas, Martínez Soto, Hau, Higgins Cuadrado; </w:t>
      </w:r>
      <w:r w:rsidRPr="004D35B5">
        <w:rPr>
          <w:rFonts w:ascii="Book Antiqua" w:hAnsi="Book Antiqua"/>
          <w:lang w:val="es-ES_tradnl"/>
        </w:rPr>
        <w:t xml:space="preserve">y </w:t>
      </w:r>
      <w:r w:rsidRPr="009B37A9">
        <w:rPr>
          <w:rFonts w:ascii="Book Antiqua" w:hAnsi="Book Antiqua"/>
          <w:lang w:val="es-ES_tradnl"/>
        </w:rPr>
        <w:t xml:space="preserve">los representantes </w:t>
      </w:r>
      <w:r>
        <w:rPr>
          <w:rFonts w:ascii="Book Antiqua" w:hAnsi="Book Antiqua"/>
          <w:i/>
          <w:iCs/>
          <w:lang w:val="es-ES_tradnl"/>
        </w:rPr>
        <w:t>Feliciano Sánchez, Figueroa Acevedo, Fourquet Cordero, Varela Fernández</w:t>
      </w:r>
      <w:r w:rsidRPr="009B37A9">
        <w:rPr>
          <w:rFonts w:ascii="Book Antiqua" w:hAnsi="Book Antiqua"/>
          <w:lang w:val="es-ES_tradnl"/>
        </w:rPr>
        <w:t xml:space="preserve"> y </w:t>
      </w:r>
      <w:r>
        <w:rPr>
          <w:rFonts w:ascii="Book Antiqua" w:hAnsi="Book Antiqua"/>
          <w:i/>
          <w:iCs/>
          <w:lang w:val="es-ES_tradnl"/>
        </w:rPr>
        <w:t xml:space="preserve">Rivera Ruiz de Porras </w:t>
      </w:r>
    </w:p>
    <w:p w14:paraId="6CF887A1" w14:textId="77777777" w:rsidR="001D6833" w:rsidRDefault="001D6833" w:rsidP="00384564">
      <w:pPr>
        <w:ind w:left="720"/>
        <w:jc w:val="both"/>
        <w:rPr>
          <w:rFonts w:ascii="Book Antiqua" w:hAnsi="Book Antiqua"/>
          <w:lang w:val="es-ES_tradnl"/>
        </w:rPr>
      </w:pPr>
    </w:p>
    <w:p w14:paraId="01DEDE99" w14:textId="43E4519B" w:rsidR="00EC1852" w:rsidRDefault="00EC1852" w:rsidP="00384564">
      <w:pPr>
        <w:jc w:val="center"/>
        <w:rPr>
          <w:rFonts w:ascii="Book Antiqua" w:hAnsi="Book Antiqua"/>
          <w:lang w:val="es-ES_tradnl"/>
        </w:rPr>
      </w:pPr>
      <w:r>
        <w:rPr>
          <w:rFonts w:ascii="Book Antiqua" w:hAnsi="Book Antiqua"/>
          <w:lang w:val="es-ES_tradnl"/>
        </w:rPr>
        <w:t xml:space="preserve">Referida a </w:t>
      </w:r>
      <w:r w:rsidR="00384564">
        <w:rPr>
          <w:rFonts w:ascii="Book Antiqua" w:hAnsi="Book Antiqua"/>
          <w:lang w:val="es-ES_tradnl"/>
        </w:rPr>
        <w:t>la Comisión de Asuntos Internos</w:t>
      </w:r>
    </w:p>
    <w:p w14:paraId="5A8B011E" w14:textId="5E0E5225" w:rsidR="00BC0805" w:rsidRPr="00D350F9" w:rsidRDefault="00D350F9" w:rsidP="00384564">
      <w:pPr>
        <w:jc w:val="center"/>
        <w:rPr>
          <w:rFonts w:ascii="Book Antiqua" w:hAnsi="Book Antiqua"/>
          <w:lang w:val="es-ES_tradnl"/>
        </w:rPr>
      </w:pPr>
      <w:r>
        <w:rPr>
          <w:rFonts w:ascii="Book Antiqua" w:hAnsi="Book Antiqua"/>
          <w:szCs w:val="24"/>
          <w:lang w:val="es-ES"/>
        </w:rPr>
        <w:t xml:space="preserve"> </w:t>
      </w:r>
    </w:p>
    <w:p w14:paraId="21B6BB49" w14:textId="77777777" w:rsidR="00BC0805" w:rsidRPr="00EC1852" w:rsidRDefault="00333E5F" w:rsidP="00384564">
      <w:pPr>
        <w:jc w:val="center"/>
        <w:rPr>
          <w:rFonts w:ascii="Book Antiqua" w:hAnsi="Book Antiqua"/>
          <w:b/>
          <w:sz w:val="28"/>
          <w:szCs w:val="24"/>
          <w:lang w:val="es-ES_tradnl"/>
        </w:rPr>
      </w:pPr>
      <w:r w:rsidRPr="00EC1852">
        <w:rPr>
          <w:rFonts w:ascii="Book Antiqua" w:hAnsi="Book Antiqua"/>
          <w:b/>
          <w:sz w:val="28"/>
          <w:szCs w:val="24"/>
          <w:lang w:val="es-ES_tradnl"/>
        </w:rPr>
        <w:t>RESOLUCIÓ</w:t>
      </w:r>
      <w:r w:rsidR="00BC0805" w:rsidRPr="00EC1852">
        <w:rPr>
          <w:rFonts w:ascii="Book Antiqua" w:hAnsi="Book Antiqua"/>
          <w:b/>
          <w:sz w:val="28"/>
          <w:szCs w:val="24"/>
          <w:lang w:val="es-ES_tradnl"/>
        </w:rPr>
        <w:t>N</w:t>
      </w:r>
    </w:p>
    <w:p w14:paraId="7A3B9BC2" w14:textId="77777777" w:rsidR="00BC0805" w:rsidRPr="00757C17" w:rsidRDefault="00BC0805" w:rsidP="001D6833">
      <w:pPr>
        <w:jc w:val="both"/>
        <w:rPr>
          <w:rFonts w:ascii="Book Antiqua" w:hAnsi="Book Antiqua"/>
          <w:lang w:val="es-ES_tradnl"/>
        </w:rPr>
      </w:pPr>
    </w:p>
    <w:p w14:paraId="5BD3632D" w14:textId="5E2D4696" w:rsidR="00487D59" w:rsidRPr="00055726" w:rsidRDefault="00161619" w:rsidP="00384564">
      <w:pPr>
        <w:ind w:left="720" w:hanging="720"/>
        <w:jc w:val="both"/>
        <w:rPr>
          <w:rFonts w:ascii="Book Antiqua" w:hAnsi="Book Antiqua"/>
          <w:lang w:val="es-ES_tradnl"/>
        </w:rPr>
      </w:pPr>
      <w:r w:rsidRPr="00161619">
        <w:rPr>
          <w:rFonts w:ascii="Book Antiqua" w:hAnsi="Book Antiqua"/>
          <w:lang w:val="es-ES_tradnl"/>
        </w:rPr>
        <w:t xml:space="preserve">Para ordenar a la Cámara </w:t>
      </w:r>
      <w:r w:rsidRPr="00055726">
        <w:rPr>
          <w:rFonts w:ascii="Book Antiqua" w:hAnsi="Book Antiqua"/>
          <w:lang w:val="es-ES_tradnl"/>
        </w:rPr>
        <w:t>de Representantes</w:t>
      </w:r>
      <w:r w:rsidR="007E5F97" w:rsidRPr="00055726">
        <w:rPr>
          <w:rFonts w:ascii="Book Antiqua" w:hAnsi="Book Antiqua"/>
          <w:lang w:val="es-ES_tradnl"/>
        </w:rPr>
        <w:t xml:space="preserve"> de</w:t>
      </w:r>
      <w:r w:rsidRPr="00055726">
        <w:rPr>
          <w:rFonts w:ascii="Book Antiqua" w:hAnsi="Book Antiqua"/>
          <w:lang w:val="es-ES_tradnl"/>
        </w:rPr>
        <w:t xml:space="preserve"> Puerto Rico, reunida en Comisión Total y a tenor con las disposiciones de la Regla 18.5 del Reglamento de la Cámara de Representantes</w:t>
      </w:r>
      <w:r w:rsidR="007E5F97" w:rsidRPr="00055726">
        <w:rPr>
          <w:rFonts w:ascii="Book Antiqua" w:hAnsi="Book Antiqua"/>
          <w:lang w:val="es-ES_tradnl"/>
        </w:rPr>
        <w:t xml:space="preserve"> de Puerto Rico</w:t>
      </w:r>
      <w:r w:rsidRPr="00055726">
        <w:rPr>
          <w:rFonts w:ascii="Book Antiqua" w:hAnsi="Book Antiqua"/>
          <w:lang w:val="es-ES_tradnl"/>
        </w:rPr>
        <w:t>, realizar una Sesión Especial de Interpelación a</w:t>
      </w:r>
      <w:r w:rsidR="00145939">
        <w:rPr>
          <w:rFonts w:ascii="Book Antiqua" w:hAnsi="Book Antiqua"/>
          <w:lang w:val="es-ES_tradnl"/>
        </w:rPr>
        <w:t xml:space="preserve">l </w:t>
      </w:r>
      <w:r w:rsidR="00DB0CAE">
        <w:rPr>
          <w:rFonts w:ascii="Book Antiqua" w:hAnsi="Book Antiqua"/>
          <w:lang w:val="es-ES_tradnl"/>
        </w:rPr>
        <w:t>S</w:t>
      </w:r>
      <w:r w:rsidR="00145939">
        <w:rPr>
          <w:rFonts w:ascii="Book Antiqua" w:hAnsi="Book Antiqua"/>
          <w:lang w:val="es-ES_tradnl"/>
        </w:rPr>
        <w:t>ecretario del Departamento de Transportación y Obras Públicas de Puerto Rico</w:t>
      </w:r>
      <w:r w:rsidRPr="00055726">
        <w:rPr>
          <w:rFonts w:ascii="Book Antiqua" w:hAnsi="Book Antiqua"/>
          <w:lang w:val="es-ES_tradnl"/>
        </w:rPr>
        <w:t xml:space="preserve">, </w:t>
      </w:r>
      <w:r w:rsidR="00603AF4">
        <w:rPr>
          <w:rFonts w:ascii="Book Antiqua" w:hAnsi="Book Antiqua"/>
          <w:lang w:val="es-ES_tradnl"/>
        </w:rPr>
        <w:t>Edwin González Montalvo</w:t>
      </w:r>
      <w:r w:rsidRPr="00055726">
        <w:rPr>
          <w:rFonts w:ascii="Book Antiqua" w:hAnsi="Book Antiqua"/>
          <w:lang w:val="es-ES_tradnl"/>
        </w:rPr>
        <w:t xml:space="preserve">, a los efectos de requerir información relativa </w:t>
      </w:r>
      <w:r w:rsidR="0019521F" w:rsidRPr="00055726">
        <w:rPr>
          <w:rFonts w:ascii="Book Antiqua" w:hAnsi="Book Antiqua"/>
          <w:lang w:val="es-ES_tradnl"/>
        </w:rPr>
        <w:t>a</w:t>
      </w:r>
      <w:r w:rsidR="00544A0A">
        <w:rPr>
          <w:rFonts w:ascii="Book Antiqua" w:hAnsi="Book Antiqua"/>
          <w:lang w:val="es-ES_tradnl"/>
        </w:rPr>
        <w:t xml:space="preserve"> </w:t>
      </w:r>
      <w:r w:rsidR="00FB7903" w:rsidRPr="00FB7903">
        <w:rPr>
          <w:rFonts w:ascii="Book Antiqua" w:hAnsi="Book Antiqua"/>
          <w:lang w:val="es-419"/>
        </w:rPr>
        <w:t xml:space="preserve">las imputaciones divulgadas en la prensa </w:t>
      </w:r>
      <w:r w:rsidR="00FB7903">
        <w:rPr>
          <w:rFonts w:ascii="Book Antiqua" w:hAnsi="Book Antiqua"/>
          <w:lang w:val="es-419"/>
        </w:rPr>
        <w:t>a partir d</w:t>
      </w:r>
      <w:r w:rsidR="00FB7903" w:rsidRPr="00FB7903">
        <w:rPr>
          <w:rFonts w:ascii="Book Antiqua" w:hAnsi="Book Antiqua"/>
          <w:lang w:val="es-419"/>
        </w:rPr>
        <w:t xml:space="preserve">el 11 de febrero de 2026 relacionadas con alegadas irregularidades que </w:t>
      </w:r>
      <w:r w:rsidR="00A67DCE">
        <w:rPr>
          <w:rFonts w:ascii="Book Antiqua" w:hAnsi="Book Antiqua"/>
          <w:lang w:val="es-419"/>
        </w:rPr>
        <w:t xml:space="preserve">la </w:t>
      </w:r>
      <w:r w:rsidR="00FB7903" w:rsidRPr="00FB7903">
        <w:rPr>
          <w:rFonts w:ascii="Book Antiqua" w:hAnsi="Book Antiqua"/>
          <w:lang w:val="es-419"/>
        </w:rPr>
        <w:t>involucran en la administración de un negocio de inspección de vehículos de motor en Yabucoa, de nombre Yabucoa Auto Service; así como sobre las imputaciones hechas por un funcionario público que labora</w:t>
      </w:r>
      <w:r w:rsidR="00C565BA">
        <w:rPr>
          <w:rFonts w:ascii="Book Antiqua" w:hAnsi="Book Antiqua"/>
          <w:lang w:val="es-419"/>
        </w:rPr>
        <w:t xml:space="preserve"> o laboraba</w:t>
      </w:r>
      <w:r w:rsidR="00FB7903" w:rsidRPr="00FB7903">
        <w:rPr>
          <w:rFonts w:ascii="Book Antiqua" w:hAnsi="Book Antiqua"/>
          <w:lang w:val="es-419"/>
        </w:rPr>
        <w:t xml:space="preserve"> en el Departamento de Transportación y Obras Públicas a los fines de que la secretaria </w:t>
      </w:r>
      <w:r w:rsidR="0016444B">
        <w:rPr>
          <w:rFonts w:ascii="Book Antiqua" w:hAnsi="Book Antiqua"/>
          <w:lang w:val="es-419"/>
        </w:rPr>
        <w:t xml:space="preserve">del Departamento de Vivienda, Ciary </w:t>
      </w:r>
      <w:r w:rsidR="00FB7903" w:rsidRPr="00FB7903">
        <w:rPr>
          <w:rFonts w:ascii="Book Antiqua" w:hAnsi="Book Antiqua"/>
          <w:lang w:val="es-419"/>
        </w:rPr>
        <w:t xml:space="preserve">Pérez Peña reclamó su despido y que se tomaran represalias contra él por haber intervenido, ejerciendo las funciones de su cargo, con la administración </w:t>
      </w:r>
      <w:proofErr w:type="spellStart"/>
      <w:r w:rsidR="00FB7903" w:rsidRPr="00FB7903">
        <w:rPr>
          <w:rFonts w:ascii="Book Antiqua" w:hAnsi="Book Antiqua"/>
          <w:lang w:val="es-419"/>
        </w:rPr>
        <w:t>alegadamente</w:t>
      </w:r>
      <w:proofErr w:type="spellEnd"/>
      <w:r w:rsidR="00FB7903" w:rsidRPr="00FB7903">
        <w:rPr>
          <w:rFonts w:ascii="Book Antiqua" w:hAnsi="Book Antiqua"/>
          <w:lang w:val="es-419"/>
        </w:rPr>
        <w:t xml:space="preserve"> fraudulenta de procesos de inspección de vehículos de motor en el referido negocio; asimismo</w:t>
      </w:r>
      <w:r w:rsidR="00C565BA">
        <w:rPr>
          <w:rFonts w:ascii="Book Antiqua" w:hAnsi="Book Antiqua"/>
          <w:lang w:val="es-419"/>
        </w:rPr>
        <w:t xml:space="preserve"> </w:t>
      </w:r>
      <w:r w:rsidR="00FB7903" w:rsidRPr="00FB7903">
        <w:rPr>
          <w:rFonts w:ascii="Book Antiqua" w:hAnsi="Book Antiqua"/>
          <w:lang w:val="es-419"/>
        </w:rPr>
        <w:t xml:space="preserve"> </w:t>
      </w:r>
      <w:r w:rsidR="00C565BA">
        <w:rPr>
          <w:rFonts w:ascii="Book Antiqua" w:hAnsi="Book Antiqua"/>
          <w:lang w:val="es-419"/>
        </w:rPr>
        <w:t>indagar</w:t>
      </w:r>
      <w:r w:rsidR="00FB7903" w:rsidRPr="00FB7903">
        <w:rPr>
          <w:rFonts w:ascii="Book Antiqua" w:hAnsi="Book Antiqua"/>
          <w:lang w:val="es-419"/>
        </w:rPr>
        <w:t xml:space="preserve"> si la secretaria Ciary Pérez Peña obtuvo una reducción de multa impuesta por irregularidades en las operaciones del negocio Yabucoa Auto Service y, de haber sido así, </w:t>
      </w:r>
      <w:r w:rsidR="00FC63D1">
        <w:rPr>
          <w:rFonts w:ascii="Book Antiqua" w:hAnsi="Book Antiqua"/>
          <w:lang w:val="es-419"/>
        </w:rPr>
        <w:t>indagar sobre</w:t>
      </w:r>
      <w:r w:rsidR="00FB7903" w:rsidRPr="00FB7903">
        <w:rPr>
          <w:rFonts w:ascii="Book Antiqua" w:hAnsi="Book Antiqua"/>
          <w:lang w:val="es-419"/>
        </w:rPr>
        <w:t xml:space="preserve"> la forma en que se gestionó tal reducción de multa y los fundamentos para su otorgación; también</w:t>
      </w:r>
      <w:r w:rsidR="00EA7338">
        <w:rPr>
          <w:rFonts w:ascii="Book Antiqua" w:hAnsi="Book Antiqua"/>
          <w:lang w:val="es-419"/>
        </w:rPr>
        <w:t>, para auscultar si</w:t>
      </w:r>
      <w:r w:rsidR="00FB7903" w:rsidRPr="00FB7903">
        <w:rPr>
          <w:rFonts w:ascii="Book Antiqua" w:hAnsi="Book Antiqua"/>
          <w:lang w:val="es-419"/>
        </w:rPr>
        <w:t>, de ser veraces las imputaciones publicadas, la Secretaria del Departamento de la Vivienda</w:t>
      </w:r>
      <w:r w:rsidR="009817A3">
        <w:rPr>
          <w:rFonts w:ascii="Book Antiqua" w:hAnsi="Book Antiqua"/>
          <w:lang w:val="es-419"/>
        </w:rPr>
        <w:t xml:space="preserve"> y el </w:t>
      </w:r>
      <w:r w:rsidR="001B56FD">
        <w:rPr>
          <w:rFonts w:ascii="Book Antiqua" w:hAnsi="Book Antiqua"/>
          <w:lang w:val="es-419"/>
        </w:rPr>
        <w:t>interpelado mismo, pudieron</w:t>
      </w:r>
      <w:r w:rsidR="00FB7903" w:rsidRPr="00FB7903">
        <w:rPr>
          <w:rFonts w:ascii="Book Antiqua" w:hAnsi="Book Antiqua"/>
          <w:lang w:val="es-419"/>
        </w:rPr>
        <w:t xml:space="preserve"> haber incurrido </w:t>
      </w:r>
      <w:r w:rsidR="00FB7903" w:rsidRPr="00FB7903">
        <w:rPr>
          <w:rFonts w:ascii="Book Antiqua" w:hAnsi="Book Antiqua"/>
          <w:lang w:val="es-419"/>
        </w:rPr>
        <w:lastRenderedPageBreak/>
        <w:t>en violación de la Ley de Ética Gubernamental, del Código Penal, o de cualquier otra ley que rija en Puerto Rico</w:t>
      </w:r>
      <w:r w:rsidR="00EA7338">
        <w:rPr>
          <w:rFonts w:ascii="Book Antiqua" w:hAnsi="Book Antiqua"/>
          <w:lang w:val="es-419"/>
        </w:rPr>
        <w:t>; y para otros fines relacionados.</w:t>
      </w:r>
    </w:p>
    <w:p w14:paraId="57909F5F" w14:textId="77777777" w:rsidR="00814199" w:rsidRPr="00757C17" w:rsidRDefault="00814199" w:rsidP="00384564">
      <w:pPr>
        <w:ind w:left="360" w:hanging="360"/>
        <w:jc w:val="both"/>
        <w:rPr>
          <w:rFonts w:ascii="Book Antiqua" w:hAnsi="Book Antiqua"/>
          <w:lang w:val="es-ES_tradnl"/>
        </w:rPr>
      </w:pPr>
    </w:p>
    <w:p w14:paraId="623EDA2C" w14:textId="77777777" w:rsidR="000B4A4F" w:rsidRDefault="00333E5F" w:rsidP="00384564">
      <w:pPr>
        <w:ind w:hanging="360"/>
        <w:jc w:val="center"/>
        <w:rPr>
          <w:rFonts w:ascii="Book Antiqua" w:hAnsi="Book Antiqua"/>
          <w:szCs w:val="24"/>
          <w:lang w:val="es-ES_tradnl"/>
        </w:rPr>
      </w:pPr>
      <w:r w:rsidRPr="00055726">
        <w:rPr>
          <w:rFonts w:ascii="Book Antiqua" w:hAnsi="Book Antiqua"/>
          <w:szCs w:val="24"/>
          <w:lang w:val="es-ES_tradnl"/>
        </w:rPr>
        <w:t>EXPOSICIÓ</w:t>
      </w:r>
      <w:r w:rsidR="00BC0805" w:rsidRPr="00055726">
        <w:rPr>
          <w:rFonts w:ascii="Book Antiqua" w:hAnsi="Book Antiqua"/>
          <w:szCs w:val="24"/>
          <w:lang w:val="es-ES_tradnl"/>
        </w:rPr>
        <w:t>N DE MOTIVOS</w:t>
      </w:r>
    </w:p>
    <w:p w14:paraId="3E11874C" w14:textId="77777777" w:rsidR="00384564" w:rsidRPr="00055726" w:rsidRDefault="00384564" w:rsidP="00384564">
      <w:pPr>
        <w:ind w:hanging="360"/>
        <w:jc w:val="center"/>
        <w:rPr>
          <w:rFonts w:ascii="Book Antiqua" w:hAnsi="Book Antiqua"/>
          <w:szCs w:val="24"/>
          <w:lang w:val="es-ES_tradnl"/>
        </w:rPr>
      </w:pPr>
    </w:p>
    <w:p w14:paraId="51205954" w14:textId="77777777" w:rsid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La Cámara de Representantes de Puerto Rico, en el ejercicio de sus facultades constitucionales de fiscalización y conforme a la Regla 18.5 de su Reglamento, tiene la responsabilidad indelegable de investigar todo asunto que pueda afectar la integridad del servicio público, la legalidad de las actuaciones administrativas y la confianza del Pueblo en sus instituciones gubernamentales.</w:t>
      </w:r>
    </w:p>
    <w:p w14:paraId="6CA29030" w14:textId="77777777" w:rsidR="00504D7A" w:rsidRPr="00504D7A" w:rsidRDefault="00504D7A" w:rsidP="00384564">
      <w:pPr>
        <w:ind w:firstLine="720"/>
        <w:jc w:val="both"/>
        <w:rPr>
          <w:rFonts w:ascii="Book Antiqua" w:hAnsi="Book Antiqua"/>
          <w:color w:val="000000"/>
          <w:szCs w:val="24"/>
          <w:shd w:val="clear" w:color="auto" w:fill="FFFFFF"/>
          <w:lang w:val="es-419"/>
        </w:rPr>
      </w:pPr>
    </w:p>
    <w:p w14:paraId="610FD22A" w14:textId="77777777" w:rsid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A partir del 11 de febrero de 2026, diversos medios de comunicación han divulgado imputaciones relacionadas con alegadas irregularidades en la administración de un negocio de inspección de vehículos de motor en el municipio de Yabucoa, denominado Yabucoa Auto Service. Dichas alegaciones apuntan a posibles actuaciones impropias vinculadas a la secretaria del Departamento de Vivienda de Puerto Rico, Ciary Pérez Peña, en la operación de dicho establecimiento, el cual se encuentra sujeto a la reglamentación y supervisión del Departamento de Transportación y Obras Públicas.</w:t>
      </w:r>
    </w:p>
    <w:p w14:paraId="548C34F1" w14:textId="77777777" w:rsidR="00C034CC" w:rsidRPr="00504D7A" w:rsidRDefault="00C034CC" w:rsidP="00384564">
      <w:pPr>
        <w:ind w:firstLine="720"/>
        <w:jc w:val="both"/>
        <w:rPr>
          <w:rFonts w:ascii="Book Antiqua" w:hAnsi="Book Antiqua"/>
          <w:color w:val="000000"/>
          <w:szCs w:val="24"/>
          <w:shd w:val="clear" w:color="auto" w:fill="FFFFFF"/>
          <w:lang w:val="es-419"/>
        </w:rPr>
      </w:pPr>
    </w:p>
    <w:p w14:paraId="36FE8F9E" w14:textId="77777777" w:rsid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Asimismo, ha trascendido públicamente que un funcionario que labora o laboraba en el Departamento de Transportación y Obras Públicas alegó haber intervenido, en el ejercicio legítimo de sus funciones oficiales, con la administración presuntamente irregular de procesos de inspección en el referido negocio, y que como consecuencia de dicha intervención se habrían promovido gestiones para su despido y la imposición de represalias en su contra. Tales señalamientos, de ser ciertos, podrían implicar no solo violaciones a normas administrativas y éticas, sino también posibles infracciones a disposiciones legales que protegen a los servidores públicos contra represalias por el cumplimiento cabal de su deber.</w:t>
      </w:r>
    </w:p>
    <w:p w14:paraId="48596A1A" w14:textId="77777777" w:rsidR="00C034CC" w:rsidRPr="00504D7A" w:rsidRDefault="00C034CC" w:rsidP="00384564">
      <w:pPr>
        <w:ind w:firstLine="720"/>
        <w:jc w:val="both"/>
        <w:rPr>
          <w:rFonts w:ascii="Book Antiqua" w:hAnsi="Book Antiqua"/>
          <w:color w:val="000000"/>
          <w:szCs w:val="24"/>
          <w:shd w:val="clear" w:color="auto" w:fill="FFFFFF"/>
          <w:lang w:val="es-419"/>
        </w:rPr>
      </w:pPr>
    </w:p>
    <w:p w14:paraId="5ED86BA0" w14:textId="77777777" w:rsid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 xml:space="preserve">De igual manera, se ha planteado que la secretaria Ciary Pérez Peña pudo haber obtenido una reducción de multa impuesta por irregularidades en las operaciones de Yabucoa Auto Service. Corresponde a esta Cámara auscultar si tal reducción ocurrió, bajo qué fundamentos legales se concedió, cuál fue el procedimiento seguido y si medió intervención directa o indirecta de funcionarios del Departamento de Transportación y Obras Públicas, incluyendo su titular, el </w:t>
      </w:r>
      <w:proofErr w:type="gramStart"/>
      <w:r w:rsidRPr="00504D7A">
        <w:rPr>
          <w:rFonts w:ascii="Book Antiqua" w:hAnsi="Book Antiqua"/>
          <w:color w:val="000000"/>
          <w:szCs w:val="24"/>
          <w:shd w:val="clear" w:color="auto" w:fill="FFFFFF"/>
          <w:lang w:val="es-419"/>
        </w:rPr>
        <w:t>Secretario</w:t>
      </w:r>
      <w:proofErr w:type="gramEnd"/>
      <w:r w:rsidRPr="00504D7A">
        <w:rPr>
          <w:rFonts w:ascii="Book Antiqua" w:hAnsi="Book Antiqua"/>
          <w:color w:val="000000"/>
          <w:szCs w:val="24"/>
          <w:shd w:val="clear" w:color="auto" w:fill="FFFFFF"/>
          <w:lang w:val="es-419"/>
        </w:rPr>
        <w:t xml:space="preserve"> Edwin González Montalvo.</w:t>
      </w:r>
    </w:p>
    <w:p w14:paraId="580D8F16" w14:textId="77777777" w:rsidR="004C0DDA" w:rsidRPr="00504D7A" w:rsidRDefault="004C0DDA" w:rsidP="00384564">
      <w:pPr>
        <w:ind w:firstLine="720"/>
        <w:jc w:val="both"/>
        <w:rPr>
          <w:rFonts w:ascii="Book Antiqua" w:hAnsi="Book Antiqua"/>
          <w:color w:val="000000"/>
          <w:szCs w:val="24"/>
          <w:shd w:val="clear" w:color="auto" w:fill="FFFFFF"/>
          <w:lang w:val="es-419"/>
        </w:rPr>
      </w:pPr>
    </w:p>
    <w:p w14:paraId="2151C36E" w14:textId="2962AAE8" w:rsidR="00BC6265" w:rsidRP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En virtud de lo anterior, resulta imperativo que esta Asamblea Legislativa requiera la comparecencia del Secretario del Departamento de Transportación y Obras Públicas para que, bajo juramento y ante la Cámara reunida en Comisión Total, ofrezca explicaciones detalladas sobre los procesos de supervisión, investigación y adjudicación relacionados con el referido negocio; sobre cualquier gestión administrativa vinculada a la alegada reducción de multa; y sobre las actuaciones tomadas respecto al funcionario que denunció las presuntas irregularidades.</w:t>
      </w:r>
    </w:p>
    <w:p w14:paraId="04EBE718" w14:textId="77777777" w:rsid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lastRenderedPageBreak/>
        <w:t>La interpelación constituye un mecanismo esencial de control legislativo, orientado a garantizar la transparencia, la rendición de cuentas y el estricto cumplimiento de la Ley de Ética Gubernamental, del Código Penal de Puerto Rico y de cualquier otra disposición aplicable. Cuando las imputaciones públicas involucran a jefes de agencia o a actuaciones que pudieran comprometer la legalidad de los procesos administrativos, la Cámara de Representantes tiene el deber de actuar con prontitud, seriedad y objetividad.</w:t>
      </w:r>
    </w:p>
    <w:p w14:paraId="4E22799E" w14:textId="77777777" w:rsidR="00BC6265" w:rsidRPr="00504D7A" w:rsidRDefault="00BC6265" w:rsidP="00384564">
      <w:pPr>
        <w:ind w:firstLine="720"/>
        <w:jc w:val="both"/>
        <w:rPr>
          <w:rFonts w:ascii="Book Antiqua" w:hAnsi="Book Antiqua"/>
          <w:color w:val="000000"/>
          <w:szCs w:val="24"/>
          <w:shd w:val="clear" w:color="auto" w:fill="FFFFFF"/>
          <w:lang w:val="es-419"/>
        </w:rPr>
      </w:pPr>
    </w:p>
    <w:p w14:paraId="690D2F40" w14:textId="77777777" w:rsidR="00504D7A" w:rsidRPr="00504D7A" w:rsidRDefault="00504D7A" w:rsidP="00384564">
      <w:pPr>
        <w:ind w:firstLine="720"/>
        <w:jc w:val="both"/>
        <w:rPr>
          <w:rFonts w:ascii="Book Antiqua" w:hAnsi="Book Antiqua"/>
          <w:color w:val="000000"/>
          <w:szCs w:val="24"/>
          <w:shd w:val="clear" w:color="auto" w:fill="FFFFFF"/>
          <w:lang w:val="es-419"/>
        </w:rPr>
      </w:pPr>
      <w:r w:rsidRPr="00504D7A">
        <w:rPr>
          <w:rFonts w:ascii="Book Antiqua" w:hAnsi="Book Antiqua"/>
          <w:color w:val="000000"/>
          <w:szCs w:val="24"/>
          <w:shd w:val="clear" w:color="auto" w:fill="FFFFFF"/>
          <w:lang w:val="es-419"/>
        </w:rPr>
        <w:t>En consecuencia, esta Resolución tiene el propósito de ordenar la celebración de una Sesión Especial de Interpelación al Secretario del Departamento de Transportación y Obras Públicas, a fin de esclarecer los hechos denunciados, determinar si existieron actuaciones contrarias a derecho por parte de cualquier funcionario público involucrado —incluyendo a la secretaria del Departamento de Vivienda y al propio Secretario interpelado— y evaluar la necesidad de referidos o medidas adicionales en protección del interés público y del Estado de Derecho en Puerto Rico.</w:t>
      </w:r>
    </w:p>
    <w:p w14:paraId="71DB4310" w14:textId="77777777" w:rsidR="00FF1DDB" w:rsidRDefault="00FF1DDB" w:rsidP="00384564">
      <w:pPr>
        <w:jc w:val="both"/>
        <w:rPr>
          <w:rFonts w:ascii="Book Antiqua" w:hAnsi="Book Antiqua"/>
          <w:color w:val="000000"/>
          <w:szCs w:val="24"/>
          <w:shd w:val="clear" w:color="auto" w:fill="FFFFFF"/>
          <w:lang w:val="es-PR"/>
        </w:rPr>
      </w:pPr>
    </w:p>
    <w:p w14:paraId="5CAB3C96" w14:textId="77777777" w:rsidR="00BC0805" w:rsidRPr="00500352" w:rsidRDefault="00333E5F" w:rsidP="00384564">
      <w:pPr>
        <w:jc w:val="both"/>
        <w:rPr>
          <w:rFonts w:ascii="Book Antiqua" w:hAnsi="Book Antiqua"/>
          <w:i/>
          <w:color w:val="000000"/>
          <w:szCs w:val="24"/>
          <w:shd w:val="clear" w:color="auto" w:fill="FFFFFF"/>
          <w:lang w:val="es-PR"/>
        </w:rPr>
      </w:pPr>
      <w:r w:rsidRPr="00500352">
        <w:rPr>
          <w:rFonts w:ascii="Book Antiqua" w:hAnsi="Book Antiqua"/>
          <w:i/>
          <w:lang w:val="es-ES_tradnl"/>
        </w:rPr>
        <w:t>RESUÉLVE</w:t>
      </w:r>
      <w:r w:rsidR="00083B72" w:rsidRPr="00500352">
        <w:rPr>
          <w:rFonts w:ascii="Book Antiqua" w:hAnsi="Book Antiqua"/>
          <w:i/>
          <w:lang w:val="es-ES_tradnl"/>
        </w:rPr>
        <w:t xml:space="preserve">SE POR </w:t>
      </w:r>
      <w:r w:rsidR="00634442" w:rsidRPr="00500352">
        <w:rPr>
          <w:rFonts w:ascii="Book Antiqua" w:hAnsi="Book Antiqua"/>
          <w:i/>
          <w:lang w:val="es-ES_tradnl"/>
        </w:rPr>
        <w:t>LA CÁ</w:t>
      </w:r>
      <w:r w:rsidR="006838CF" w:rsidRPr="00500352">
        <w:rPr>
          <w:rFonts w:ascii="Book Antiqua" w:hAnsi="Book Antiqua"/>
          <w:i/>
          <w:lang w:val="es-ES_tradnl"/>
        </w:rPr>
        <w:t>MARA DE REPRESENTANTES</w:t>
      </w:r>
      <w:r w:rsidR="003966C2" w:rsidRPr="00500352">
        <w:rPr>
          <w:rFonts w:ascii="Book Antiqua" w:hAnsi="Book Antiqua"/>
          <w:i/>
          <w:lang w:val="es-ES_tradnl"/>
        </w:rPr>
        <w:t xml:space="preserve"> DE PUERTO RICO</w:t>
      </w:r>
      <w:r w:rsidR="00BC0805" w:rsidRPr="00500352">
        <w:rPr>
          <w:rFonts w:ascii="Book Antiqua" w:hAnsi="Book Antiqua"/>
          <w:i/>
          <w:lang w:val="es-ES_tradnl"/>
        </w:rPr>
        <w:t>:</w:t>
      </w:r>
    </w:p>
    <w:p w14:paraId="3040383C" w14:textId="77777777" w:rsidR="00BC0805" w:rsidRPr="00757C17" w:rsidRDefault="00BC0805" w:rsidP="00BC0805">
      <w:pPr>
        <w:spacing w:line="480" w:lineRule="auto"/>
        <w:jc w:val="both"/>
        <w:rPr>
          <w:rFonts w:ascii="Book Antiqua" w:hAnsi="Book Antiqua"/>
          <w:lang w:val="es-ES_tradnl"/>
        </w:rPr>
        <w:sectPr w:rsidR="00BC0805" w:rsidRPr="00757C17" w:rsidSect="00BC0805">
          <w:headerReference w:type="default" r:id="rId8"/>
          <w:pgSz w:w="12240" w:h="15840" w:code="1"/>
          <w:pgMar w:top="1440" w:right="1440" w:bottom="1440" w:left="1440" w:header="720" w:footer="720" w:gutter="0"/>
          <w:cols w:space="720"/>
          <w:titlePg/>
        </w:sectPr>
      </w:pPr>
    </w:p>
    <w:p w14:paraId="2ABA254C" w14:textId="0426DA9D" w:rsidR="00FA20C5" w:rsidRPr="00055726" w:rsidRDefault="00B850D2" w:rsidP="00500352">
      <w:pPr>
        <w:spacing w:before="240" w:line="480" w:lineRule="auto"/>
        <w:ind w:firstLine="360"/>
        <w:jc w:val="both"/>
        <w:rPr>
          <w:rFonts w:ascii="Book Antiqua" w:hAnsi="Book Antiqua"/>
          <w:lang w:val="es-ES_tradnl"/>
        </w:rPr>
      </w:pPr>
      <w:r w:rsidRPr="00055726">
        <w:rPr>
          <w:rFonts w:ascii="Book Antiqua" w:hAnsi="Book Antiqua"/>
          <w:szCs w:val="24"/>
          <w:lang w:val="es-ES"/>
        </w:rPr>
        <w:t>Sección 1</w:t>
      </w:r>
      <w:r w:rsidR="00757C17" w:rsidRPr="00055726">
        <w:rPr>
          <w:rFonts w:ascii="Book Antiqua" w:hAnsi="Book Antiqua"/>
          <w:szCs w:val="24"/>
          <w:lang w:val="es-ES"/>
        </w:rPr>
        <w:t xml:space="preserve"> – </w:t>
      </w:r>
      <w:r w:rsidRPr="00055726">
        <w:rPr>
          <w:rFonts w:ascii="Book Antiqua" w:hAnsi="Book Antiqua"/>
          <w:szCs w:val="24"/>
          <w:lang w:val="es-ES"/>
        </w:rPr>
        <w:t xml:space="preserve">Se </w:t>
      </w:r>
      <w:r w:rsidR="00DB0CAE" w:rsidRPr="00DB0CAE">
        <w:rPr>
          <w:rFonts w:ascii="Book Antiqua" w:hAnsi="Book Antiqua"/>
          <w:szCs w:val="24"/>
          <w:lang w:val="es-ES_tradnl"/>
        </w:rPr>
        <w:t xml:space="preserve">ordena a la Cámara de Representantes de Puerto Rico, reunida en Comisión Total y a tenor con las disposiciones de la Regla 18.5 del Reglamento de la Cámara de Representantes de Puerto Rico, realizar una Sesión Especial de Interpelación al Secretario del Departamento de Transportación y Obras Públicas de Puerto Rico, Edwin González Montalvo, a los efectos de requerir información relativa a </w:t>
      </w:r>
      <w:r w:rsidR="00DB0CAE" w:rsidRPr="00DB0CAE">
        <w:rPr>
          <w:rFonts w:ascii="Book Antiqua" w:hAnsi="Book Antiqua"/>
          <w:szCs w:val="24"/>
          <w:lang w:val="es-419"/>
        </w:rPr>
        <w:t xml:space="preserve">las imputaciones divulgadas en la prensa a partir del 11 de febrero de 2026 relacionadas con alegadas irregularidades que la involucran en la administración de un negocio de inspección de vehículos de motor en Yabucoa, de nombre Yabucoa Auto Service; así como sobre las imputaciones hechas por un funcionario público que labora o laboraba en el Departamento de Transportación y Obras Públicas a los fines de que la secretaria del Departamento de Vivienda, Ciary Pérez Peña reclamó su despido y que se tomaran represalias contra él por haber intervenido, ejerciendo las funciones de su cargo, con la administración </w:t>
      </w:r>
      <w:proofErr w:type="spellStart"/>
      <w:r w:rsidR="00DB0CAE" w:rsidRPr="00DB0CAE">
        <w:rPr>
          <w:rFonts w:ascii="Book Antiqua" w:hAnsi="Book Antiqua"/>
          <w:szCs w:val="24"/>
          <w:lang w:val="es-419"/>
        </w:rPr>
        <w:t>alegadamente</w:t>
      </w:r>
      <w:proofErr w:type="spellEnd"/>
      <w:r w:rsidR="00DB0CAE" w:rsidRPr="00DB0CAE">
        <w:rPr>
          <w:rFonts w:ascii="Book Antiqua" w:hAnsi="Book Antiqua"/>
          <w:szCs w:val="24"/>
          <w:lang w:val="es-419"/>
        </w:rPr>
        <w:t xml:space="preserve"> fraudulenta de procesos de </w:t>
      </w:r>
      <w:r w:rsidR="00DB0CAE" w:rsidRPr="00DB0CAE">
        <w:rPr>
          <w:rFonts w:ascii="Book Antiqua" w:hAnsi="Book Antiqua"/>
          <w:szCs w:val="24"/>
          <w:lang w:val="es-419"/>
        </w:rPr>
        <w:lastRenderedPageBreak/>
        <w:t>inspección de vehículos de motor en el referido negocio; asimismo  indagar si la secretaria Ciary Pérez Peña obtuvo una reducción de multa impuesta por irregularidades en las operaciones del negocio Yabucoa Auto Service y, de haber sido así, indagar sobre la forma en que se gestionó tal reducción de multa y los fundamentos para su otorgación; también, para auscultar si, de ser veraces las imputaciones publicadas, la Secretaria del Departamento de la Vivienda y el interpelado mismo, pudieron haber incurrido en violación de la Ley de Ética Gubernamental, del Código Penal, o de cualquier otra ley que rija en Puerto Rico</w:t>
      </w:r>
      <w:r w:rsidR="000A5601">
        <w:rPr>
          <w:rFonts w:ascii="Book Antiqua" w:hAnsi="Book Antiqua"/>
          <w:szCs w:val="24"/>
          <w:lang w:val="es-419"/>
        </w:rPr>
        <w:t>.</w:t>
      </w:r>
    </w:p>
    <w:p w14:paraId="4235A3BC" w14:textId="35E89485" w:rsidR="00161619" w:rsidRPr="00055726" w:rsidRDefault="00161619" w:rsidP="00161619">
      <w:pPr>
        <w:spacing w:line="480" w:lineRule="auto"/>
        <w:ind w:firstLine="720"/>
        <w:jc w:val="both"/>
        <w:rPr>
          <w:rFonts w:ascii="Book Antiqua" w:hAnsi="Book Antiqua"/>
          <w:szCs w:val="24"/>
          <w:lang w:val="es-ES"/>
        </w:rPr>
      </w:pPr>
      <w:r w:rsidRPr="00055726">
        <w:rPr>
          <w:rFonts w:ascii="Book Antiqua" w:hAnsi="Book Antiqua"/>
          <w:szCs w:val="24"/>
          <w:lang w:val="es-ES"/>
        </w:rPr>
        <w:t xml:space="preserve">Sección 2.-La Comisión Total, por conducto del </w:t>
      </w:r>
      <w:proofErr w:type="gramStart"/>
      <w:r w:rsidR="002E6AC0">
        <w:rPr>
          <w:rFonts w:ascii="Book Antiqua" w:hAnsi="Book Antiqua"/>
          <w:szCs w:val="24"/>
          <w:lang w:val="es-ES"/>
        </w:rPr>
        <w:t>P</w:t>
      </w:r>
      <w:r w:rsidRPr="00055726">
        <w:rPr>
          <w:rFonts w:ascii="Book Antiqua" w:hAnsi="Book Antiqua"/>
          <w:szCs w:val="24"/>
          <w:lang w:val="es-ES"/>
        </w:rPr>
        <w:t>residente</w:t>
      </w:r>
      <w:proofErr w:type="gramEnd"/>
      <w:r w:rsidRPr="00055726">
        <w:rPr>
          <w:rFonts w:ascii="Book Antiqua" w:hAnsi="Book Antiqua"/>
          <w:szCs w:val="24"/>
          <w:lang w:val="es-ES"/>
        </w:rPr>
        <w:t xml:space="preserve"> de la Cámara de Representantes, rendirá un informe final con sus hallazgos, conclusiones y recomendaciones no más tarde de treinta (30) días de realizada la Sesión Especial de Interpelación.  El Diario de Sesiones de la Sesión Especial de Interpelación deberá acompañar el referido informe.</w:t>
      </w:r>
    </w:p>
    <w:p w14:paraId="1ED735F2" w14:textId="77777777" w:rsidR="00F22AD8" w:rsidRPr="00055726" w:rsidRDefault="00161619" w:rsidP="00161619">
      <w:pPr>
        <w:spacing w:line="480" w:lineRule="auto"/>
        <w:ind w:firstLine="720"/>
        <w:jc w:val="both"/>
        <w:rPr>
          <w:rFonts w:ascii="Book Antiqua" w:hAnsi="Book Antiqua"/>
          <w:szCs w:val="24"/>
          <w:lang w:val="es-ES"/>
        </w:rPr>
      </w:pPr>
      <w:r w:rsidRPr="00055726">
        <w:rPr>
          <w:rFonts w:ascii="Book Antiqua" w:hAnsi="Book Antiqua"/>
          <w:szCs w:val="24"/>
          <w:lang w:val="es-ES"/>
        </w:rPr>
        <w:t>Sección 3.-Esta Resolución comenzará a regir inmediatamente después de su aprobación.</w:t>
      </w:r>
    </w:p>
    <w:sectPr w:rsidR="00F22AD8" w:rsidRPr="00055726" w:rsidSect="00AD7D7F">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08BFA" w14:textId="77777777" w:rsidR="009141EE" w:rsidRDefault="009141EE">
      <w:r>
        <w:separator/>
      </w:r>
    </w:p>
  </w:endnote>
  <w:endnote w:type="continuationSeparator" w:id="0">
    <w:p w14:paraId="0F4155F2" w14:textId="77777777" w:rsidR="009141EE" w:rsidRDefault="00914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8E54C" w14:textId="77777777" w:rsidR="009141EE" w:rsidRDefault="009141EE">
      <w:r>
        <w:separator/>
      </w:r>
    </w:p>
  </w:footnote>
  <w:footnote w:type="continuationSeparator" w:id="0">
    <w:p w14:paraId="288D8C30" w14:textId="77777777" w:rsidR="009141EE" w:rsidRDefault="00914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4920" w14:textId="77777777" w:rsidR="00437595" w:rsidRDefault="00437595">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E172C">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E1EF7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664355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4A2"/>
    <w:rsid w:val="00012C3B"/>
    <w:rsid w:val="00015AFA"/>
    <w:rsid w:val="00032B72"/>
    <w:rsid w:val="00055726"/>
    <w:rsid w:val="00061055"/>
    <w:rsid w:val="0006756E"/>
    <w:rsid w:val="00083B72"/>
    <w:rsid w:val="00084C32"/>
    <w:rsid w:val="00090412"/>
    <w:rsid w:val="000A5601"/>
    <w:rsid w:val="000B4A4F"/>
    <w:rsid w:val="0014429D"/>
    <w:rsid w:val="00145939"/>
    <w:rsid w:val="00147F8B"/>
    <w:rsid w:val="00161619"/>
    <w:rsid w:val="00163894"/>
    <w:rsid w:val="00163E26"/>
    <w:rsid w:val="0016444B"/>
    <w:rsid w:val="00172031"/>
    <w:rsid w:val="00184FA9"/>
    <w:rsid w:val="00185D69"/>
    <w:rsid w:val="0019521F"/>
    <w:rsid w:val="00197B53"/>
    <w:rsid w:val="001B56FD"/>
    <w:rsid w:val="001C4254"/>
    <w:rsid w:val="001C6264"/>
    <w:rsid w:val="001D6833"/>
    <w:rsid w:val="00204916"/>
    <w:rsid w:val="00204DD0"/>
    <w:rsid w:val="00224D09"/>
    <w:rsid w:val="00225FB5"/>
    <w:rsid w:val="00227118"/>
    <w:rsid w:val="0023187E"/>
    <w:rsid w:val="00232F07"/>
    <w:rsid w:val="002347B2"/>
    <w:rsid w:val="0024196A"/>
    <w:rsid w:val="0025281F"/>
    <w:rsid w:val="002A5536"/>
    <w:rsid w:val="002C1067"/>
    <w:rsid w:val="002C431E"/>
    <w:rsid w:val="002E6AC0"/>
    <w:rsid w:val="00323DE4"/>
    <w:rsid w:val="00330541"/>
    <w:rsid w:val="0033156C"/>
    <w:rsid w:val="00333E5F"/>
    <w:rsid w:val="00337265"/>
    <w:rsid w:val="00340541"/>
    <w:rsid w:val="00375563"/>
    <w:rsid w:val="00380DD3"/>
    <w:rsid w:val="00384564"/>
    <w:rsid w:val="003966C2"/>
    <w:rsid w:val="003B1134"/>
    <w:rsid w:val="003B7BBA"/>
    <w:rsid w:val="003E48F8"/>
    <w:rsid w:val="003F7418"/>
    <w:rsid w:val="00431C6E"/>
    <w:rsid w:val="00437595"/>
    <w:rsid w:val="00487D59"/>
    <w:rsid w:val="004A2AF5"/>
    <w:rsid w:val="004A514C"/>
    <w:rsid w:val="004C0DDA"/>
    <w:rsid w:val="004D0C39"/>
    <w:rsid w:val="004E21A7"/>
    <w:rsid w:val="00500352"/>
    <w:rsid w:val="00504D7A"/>
    <w:rsid w:val="005070DF"/>
    <w:rsid w:val="005071EF"/>
    <w:rsid w:val="00513A58"/>
    <w:rsid w:val="00524306"/>
    <w:rsid w:val="00544A0A"/>
    <w:rsid w:val="00585F4D"/>
    <w:rsid w:val="005864C7"/>
    <w:rsid w:val="00592BD2"/>
    <w:rsid w:val="00594CEC"/>
    <w:rsid w:val="005D48C9"/>
    <w:rsid w:val="005E172C"/>
    <w:rsid w:val="005F1E34"/>
    <w:rsid w:val="00603AF4"/>
    <w:rsid w:val="0060631C"/>
    <w:rsid w:val="006167DF"/>
    <w:rsid w:val="0061797C"/>
    <w:rsid w:val="00634442"/>
    <w:rsid w:val="0065669E"/>
    <w:rsid w:val="0066161B"/>
    <w:rsid w:val="00670FFB"/>
    <w:rsid w:val="00683362"/>
    <w:rsid w:val="006838CF"/>
    <w:rsid w:val="00692A92"/>
    <w:rsid w:val="006B17CA"/>
    <w:rsid w:val="006C64DB"/>
    <w:rsid w:val="006F0DEA"/>
    <w:rsid w:val="006F1642"/>
    <w:rsid w:val="00701D79"/>
    <w:rsid w:val="00712226"/>
    <w:rsid w:val="00712485"/>
    <w:rsid w:val="00717E7D"/>
    <w:rsid w:val="007315D1"/>
    <w:rsid w:val="00746C3E"/>
    <w:rsid w:val="007562C5"/>
    <w:rsid w:val="00757C17"/>
    <w:rsid w:val="00761E33"/>
    <w:rsid w:val="00765C4E"/>
    <w:rsid w:val="00776C48"/>
    <w:rsid w:val="00785C2E"/>
    <w:rsid w:val="00787381"/>
    <w:rsid w:val="0079175A"/>
    <w:rsid w:val="007C3249"/>
    <w:rsid w:val="007D38FD"/>
    <w:rsid w:val="007D3E05"/>
    <w:rsid w:val="007E04A2"/>
    <w:rsid w:val="007E5F97"/>
    <w:rsid w:val="00804AB5"/>
    <w:rsid w:val="00814199"/>
    <w:rsid w:val="00854089"/>
    <w:rsid w:val="008551D7"/>
    <w:rsid w:val="00855741"/>
    <w:rsid w:val="00873825"/>
    <w:rsid w:val="0088121C"/>
    <w:rsid w:val="00881BCC"/>
    <w:rsid w:val="008B682E"/>
    <w:rsid w:val="008C7183"/>
    <w:rsid w:val="008E1691"/>
    <w:rsid w:val="008E6C2D"/>
    <w:rsid w:val="00903437"/>
    <w:rsid w:val="009141EE"/>
    <w:rsid w:val="00922298"/>
    <w:rsid w:val="009313A4"/>
    <w:rsid w:val="00952273"/>
    <w:rsid w:val="00954FCC"/>
    <w:rsid w:val="0096348C"/>
    <w:rsid w:val="009817A3"/>
    <w:rsid w:val="009A2AA1"/>
    <w:rsid w:val="009B0F10"/>
    <w:rsid w:val="009B38EB"/>
    <w:rsid w:val="009C79E0"/>
    <w:rsid w:val="009D5DC5"/>
    <w:rsid w:val="009E0D0C"/>
    <w:rsid w:val="00A00CD4"/>
    <w:rsid w:val="00A1357D"/>
    <w:rsid w:val="00A154A2"/>
    <w:rsid w:val="00A20088"/>
    <w:rsid w:val="00A36916"/>
    <w:rsid w:val="00A540C8"/>
    <w:rsid w:val="00A67DCE"/>
    <w:rsid w:val="00A769AE"/>
    <w:rsid w:val="00A811CD"/>
    <w:rsid w:val="00A92AF5"/>
    <w:rsid w:val="00AB227E"/>
    <w:rsid w:val="00AB46B7"/>
    <w:rsid w:val="00AC2D99"/>
    <w:rsid w:val="00AC47D1"/>
    <w:rsid w:val="00AC56AE"/>
    <w:rsid w:val="00AD4F54"/>
    <w:rsid w:val="00AD7D7F"/>
    <w:rsid w:val="00AF65B3"/>
    <w:rsid w:val="00B03B42"/>
    <w:rsid w:val="00B351E5"/>
    <w:rsid w:val="00B44A57"/>
    <w:rsid w:val="00B850D2"/>
    <w:rsid w:val="00BC0805"/>
    <w:rsid w:val="00BC3743"/>
    <w:rsid w:val="00BC6265"/>
    <w:rsid w:val="00C034CC"/>
    <w:rsid w:val="00C20419"/>
    <w:rsid w:val="00C40FA1"/>
    <w:rsid w:val="00C46216"/>
    <w:rsid w:val="00C50C3B"/>
    <w:rsid w:val="00C565BA"/>
    <w:rsid w:val="00C61843"/>
    <w:rsid w:val="00CA64E3"/>
    <w:rsid w:val="00CD18D4"/>
    <w:rsid w:val="00CE15D3"/>
    <w:rsid w:val="00CE692B"/>
    <w:rsid w:val="00D042B6"/>
    <w:rsid w:val="00D06094"/>
    <w:rsid w:val="00D259F3"/>
    <w:rsid w:val="00D350F9"/>
    <w:rsid w:val="00D4389F"/>
    <w:rsid w:val="00DB0CAE"/>
    <w:rsid w:val="00DC2E7A"/>
    <w:rsid w:val="00E02735"/>
    <w:rsid w:val="00E3353C"/>
    <w:rsid w:val="00E4248A"/>
    <w:rsid w:val="00E56865"/>
    <w:rsid w:val="00E666ED"/>
    <w:rsid w:val="00E77294"/>
    <w:rsid w:val="00E87F9A"/>
    <w:rsid w:val="00E95EF8"/>
    <w:rsid w:val="00EA7338"/>
    <w:rsid w:val="00EC1852"/>
    <w:rsid w:val="00EC3E84"/>
    <w:rsid w:val="00ED2BF5"/>
    <w:rsid w:val="00ED2DC4"/>
    <w:rsid w:val="00ED4C35"/>
    <w:rsid w:val="00ED55D8"/>
    <w:rsid w:val="00ED72FD"/>
    <w:rsid w:val="00EE1C13"/>
    <w:rsid w:val="00F038CB"/>
    <w:rsid w:val="00F22AD8"/>
    <w:rsid w:val="00F251C4"/>
    <w:rsid w:val="00F50892"/>
    <w:rsid w:val="00F64877"/>
    <w:rsid w:val="00F812DD"/>
    <w:rsid w:val="00F835BD"/>
    <w:rsid w:val="00F8565B"/>
    <w:rsid w:val="00F863AF"/>
    <w:rsid w:val="00F87F6F"/>
    <w:rsid w:val="00F969F7"/>
    <w:rsid w:val="00FA165E"/>
    <w:rsid w:val="00FA20C5"/>
    <w:rsid w:val="00FB60A5"/>
    <w:rsid w:val="00FB7903"/>
    <w:rsid w:val="00FC63D1"/>
    <w:rsid w:val="00FF1DD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CC8C6"/>
  <w15:chartTrackingRefBased/>
  <w15:docId w15:val="{F383BDE1-B562-4E35-AD97-E92E1DDDF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Encabezado">
    <w:name w:val="header"/>
    <w:basedOn w:val="Normal"/>
    <w:rsid w:val="00BC0805"/>
    <w:pPr>
      <w:tabs>
        <w:tab w:val="center" w:pos="4320"/>
        <w:tab w:val="right" w:pos="8640"/>
      </w:tabs>
    </w:pPr>
  </w:style>
  <w:style w:type="character" w:styleId="Nmerodepgina">
    <w:name w:val="page number"/>
    <w:basedOn w:val="Fuentedeprrafopredeter"/>
    <w:rsid w:val="00BC0805"/>
  </w:style>
  <w:style w:type="character" w:styleId="Nmerodelnea">
    <w:name w:val="line number"/>
    <w:basedOn w:val="Fuentedeprrafopredeter"/>
    <w:rsid w:val="00BC0805"/>
  </w:style>
  <w:style w:type="paragraph" w:styleId="Textodeglobo">
    <w:name w:val="Balloon Text"/>
    <w:basedOn w:val="Normal"/>
    <w:semiHidden/>
    <w:rsid w:val="00776C48"/>
    <w:rPr>
      <w:rFonts w:ascii="Tahoma" w:hAnsi="Tahoma" w:cs="Tahoma"/>
      <w:sz w:val="16"/>
      <w:szCs w:val="16"/>
    </w:rPr>
  </w:style>
  <w:style w:type="paragraph" w:styleId="Piedepgina">
    <w:name w:val="footer"/>
    <w:basedOn w:val="Normal"/>
    <w:link w:val="PiedepginaCar"/>
    <w:uiPriority w:val="99"/>
    <w:unhideWhenUsed/>
    <w:rsid w:val="00ED55D8"/>
    <w:pPr>
      <w:tabs>
        <w:tab w:val="center" w:pos="4153"/>
        <w:tab w:val="right" w:pos="8306"/>
      </w:tabs>
    </w:pPr>
  </w:style>
  <w:style w:type="character" w:customStyle="1" w:styleId="PiedepginaCar">
    <w:name w:val="Pie de página Car"/>
    <w:link w:val="Piedepgina"/>
    <w:uiPriority w:val="99"/>
    <w:rsid w:val="00ED55D8"/>
    <w:rPr>
      <w:sz w:val="24"/>
      <w:lang w:val="en-US"/>
    </w:rPr>
  </w:style>
  <w:style w:type="character" w:customStyle="1" w:styleId="apple-converted-space">
    <w:name w:val="apple-converted-space"/>
    <w:rsid w:val="009C79E0"/>
  </w:style>
  <w:style w:type="character" w:styleId="Hipervnculo">
    <w:name w:val="Hyperlink"/>
    <w:uiPriority w:val="99"/>
    <w:semiHidden/>
    <w:unhideWhenUsed/>
    <w:rsid w:val="009C79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69019055">
      <w:bodyDiv w:val="1"/>
      <w:marLeft w:val="0"/>
      <w:marRight w:val="0"/>
      <w:marTop w:val="0"/>
      <w:marBottom w:val="0"/>
      <w:divBdr>
        <w:top w:val="none" w:sz="0" w:space="0" w:color="auto"/>
        <w:left w:val="none" w:sz="0" w:space="0" w:color="auto"/>
        <w:bottom w:val="none" w:sz="0" w:space="0" w:color="auto"/>
        <w:right w:val="none" w:sz="0" w:space="0" w:color="auto"/>
      </w:divBdr>
      <w:divsChild>
        <w:div w:id="1669015827">
          <w:marLeft w:val="0"/>
          <w:marRight w:val="0"/>
          <w:marTop w:val="0"/>
          <w:marBottom w:val="900"/>
          <w:divBdr>
            <w:top w:val="none" w:sz="0" w:space="0" w:color="auto"/>
            <w:left w:val="none" w:sz="0" w:space="0" w:color="auto"/>
            <w:bottom w:val="none" w:sz="0" w:space="0" w:color="auto"/>
            <w:right w:val="none" w:sz="0" w:space="0" w:color="auto"/>
          </w:divBdr>
          <w:divsChild>
            <w:div w:id="2081948127">
              <w:marLeft w:val="0"/>
              <w:marRight w:val="0"/>
              <w:marTop w:val="0"/>
              <w:marBottom w:val="0"/>
              <w:divBdr>
                <w:top w:val="none" w:sz="0" w:space="0" w:color="auto"/>
                <w:left w:val="none" w:sz="0" w:space="0" w:color="auto"/>
                <w:bottom w:val="none" w:sz="0" w:space="0" w:color="auto"/>
                <w:right w:val="none" w:sz="0" w:space="0" w:color="auto"/>
              </w:divBdr>
              <w:divsChild>
                <w:div w:id="1938058347">
                  <w:marLeft w:val="0"/>
                  <w:marRight w:val="0"/>
                  <w:marTop w:val="0"/>
                  <w:marBottom w:val="0"/>
                  <w:divBdr>
                    <w:top w:val="none" w:sz="0" w:space="0" w:color="auto"/>
                    <w:left w:val="none" w:sz="0" w:space="0" w:color="auto"/>
                    <w:bottom w:val="none" w:sz="0" w:space="0" w:color="auto"/>
                    <w:right w:val="none" w:sz="0" w:space="0" w:color="auto"/>
                  </w:divBdr>
                  <w:divsChild>
                    <w:div w:id="1293319119">
                      <w:marLeft w:val="0"/>
                      <w:marRight w:val="0"/>
                      <w:marTop w:val="0"/>
                      <w:marBottom w:val="0"/>
                      <w:divBdr>
                        <w:top w:val="none" w:sz="0" w:space="0" w:color="auto"/>
                        <w:left w:val="none" w:sz="0" w:space="0" w:color="auto"/>
                        <w:bottom w:val="none" w:sz="0" w:space="0" w:color="auto"/>
                        <w:right w:val="none" w:sz="0" w:space="0" w:color="auto"/>
                      </w:divBdr>
                      <w:divsChild>
                        <w:div w:id="1488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8678">
          <w:marLeft w:val="0"/>
          <w:marRight w:val="0"/>
          <w:marTop w:val="0"/>
          <w:marBottom w:val="0"/>
          <w:divBdr>
            <w:top w:val="none" w:sz="0" w:space="0" w:color="auto"/>
            <w:left w:val="none" w:sz="0" w:space="0" w:color="auto"/>
            <w:bottom w:val="none" w:sz="0" w:space="0" w:color="auto"/>
            <w:right w:val="none" w:sz="0" w:space="0" w:color="auto"/>
          </w:divBdr>
          <w:divsChild>
            <w:div w:id="1084648933">
              <w:marLeft w:val="0"/>
              <w:marRight w:val="0"/>
              <w:marTop w:val="100"/>
              <w:marBottom w:val="465"/>
              <w:divBdr>
                <w:top w:val="none" w:sz="0" w:space="0" w:color="auto"/>
                <w:left w:val="none" w:sz="0" w:space="0" w:color="auto"/>
                <w:bottom w:val="none" w:sz="0" w:space="0" w:color="auto"/>
                <w:right w:val="none" w:sz="0" w:space="0" w:color="auto"/>
              </w:divBdr>
            </w:div>
          </w:divsChild>
        </w:div>
        <w:div w:id="1320770019">
          <w:marLeft w:val="0"/>
          <w:marRight w:val="0"/>
          <w:marTop w:val="0"/>
          <w:marBottom w:val="0"/>
          <w:divBdr>
            <w:top w:val="none" w:sz="0" w:space="0" w:color="auto"/>
            <w:left w:val="none" w:sz="0" w:space="0" w:color="auto"/>
            <w:bottom w:val="none" w:sz="0" w:space="0" w:color="auto"/>
            <w:right w:val="none" w:sz="0" w:space="0" w:color="auto"/>
          </w:divBdr>
          <w:divsChild>
            <w:div w:id="1945309657">
              <w:marLeft w:val="0"/>
              <w:marRight w:val="0"/>
              <w:marTop w:val="100"/>
              <w:marBottom w:val="465"/>
              <w:divBdr>
                <w:top w:val="none" w:sz="0" w:space="0" w:color="auto"/>
                <w:left w:val="none" w:sz="0" w:space="0" w:color="auto"/>
                <w:bottom w:val="none" w:sz="0" w:space="0" w:color="auto"/>
                <w:right w:val="none" w:sz="0" w:space="0" w:color="auto"/>
              </w:divBdr>
            </w:div>
          </w:divsChild>
        </w:div>
        <w:div w:id="283969401">
          <w:marLeft w:val="0"/>
          <w:marRight w:val="0"/>
          <w:marTop w:val="0"/>
          <w:marBottom w:val="0"/>
          <w:divBdr>
            <w:top w:val="none" w:sz="0" w:space="0" w:color="auto"/>
            <w:left w:val="none" w:sz="0" w:space="0" w:color="auto"/>
            <w:bottom w:val="none" w:sz="0" w:space="0" w:color="auto"/>
            <w:right w:val="none" w:sz="0" w:space="0" w:color="auto"/>
          </w:divBdr>
          <w:divsChild>
            <w:div w:id="2132476288">
              <w:marLeft w:val="0"/>
              <w:marRight w:val="0"/>
              <w:marTop w:val="100"/>
              <w:marBottom w:val="465"/>
              <w:divBdr>
                <w:top w:val="none" w:sz="0" w:space="0" w:color="auto"/>
                <w:left w:val="none" w:sz="0" w:space="0" w:color="auto"/>
                <w:bottom w:val="none" w:sz="0" w:space="0" w:color="auto"/>
                <w:right w:val="none" w:sz="0" w:space="0" w:color="auto"/>
              </w:divBdr>
            </w:div>
          </w:divsChild>
        </w:div>
      </w:divsChild>
    </w:div>
    <w:div w:id="970213384">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23A61-FB4E-4AA5-8401-26E69160C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1235</Words>
  <Characters>7015</Characters>
  <Application>Microsoft Office Word</Application>
  <DocSecurity>0</DocSecurity>
  <Lines>132</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Rocío Alayón Morell</cp:lastModifiedBy>
  <cp:revision>3</cp:revision>
  <cp:lastPrinted>2026-02-25T14:00:00Z</cp:lastPrinted>
  <dcterms:created xsi:type="dcterms:W3CDTF">2026-02-25T17:04:00Z</dcterms:created>
  <dcterms:modified xsi:type="dcterms:W3CDTF">2026-02-25T20:34:00Z</dcterms:modified>
</cp:coreProperties>
</file>