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Default="00AA41A5" w:rsidP="00AA41A5">
      <w:pPr>
        <w:suppressLineNumbers/>
        <w:jc w:val="center"/>
        <w:rPr>
          <w:rFonts w:ascii="Book Antiqua" w:hAnsi="Book Antiqua"/>
          <w:sz w:val="28"/>
          <w:lang w:val="es-ES_tradnl"/>
        </w:rPr>
      </w:pPr>
      <w:r>
        <w:rPr>
          <w:rFonts w:ascii="Book Antiqua" w:hAnsi="Book Antiqua"/>
          <w:sz w:val="28"/>
          <w:lang w:val="es-ES_tradnl"/>
        </w:rPr>
        <w:t>GOBIERNO DE PUERTO RICO</w:t>
      </w:r>
    </w:p>
    <w:p w14:paraId="50184D40" w14:textId="77777777" w:rsidR="00AA41A5" w:rsidRPr="003F1675" w:rsidRDefault="00AA41A5" w:rsidP="00AA41A5">
      <w:pPr>
        <w:suppressLineNumbers/>
        <w:jc w:val="center"/>
        <w:rPr>
          <w:rFonts w:ascii="Book Antiqua" w:hAnsi="Book Antiqua"/>
          <w:szCs w:val="24"/>
          <w:lang w:val="es-ES_tradnl"/>
        </w:rPr>
      </w:pPr>
    </w:p>
    <w:p w14:paraId="4F5876C0" w14:textId="2152E72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3B1283">
        <w:rPr>
          <w:lang w:val="es-PR"/>
        </w:rPr>
        <w:t>3r</w:t>
      </w:r>
      <w:r w:rsidRPr="00A230B0">
        <w:rPr>
          <w:rFonts w:ascii="Book Antiqua" w:hAnsi="Book Antiqua"/>
          <w:lang w:val="es-PR"/>
        </w:rPr>
        <w:t>a.</w:t>
      </w:r>
      <w:r w:rsidRPr="00A230B0">
        <w:rPr>
          <w:lang w:val="es-PR"/>
        </w:rPr>
        <w:t xml:space="preserve"> </w:t>
      </w:r>
      <w:r w:rsidRPr="00A230B0">
        <w:rPr>
          <w:rFonts w:ascii="Book Antiqua" w:hAnsi="Book Antiqua"/>
          <w:lang w:val="es-PR"/>
        </w:rPr>
        <w:t>Sesión</w:t>
      </w:r>
    </w:p>
    <w:p w14:paraId="0FD0902D"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F37BB74" w14:textId="77777777" w:rsidR="00AA41A5" w:rsidRPr="00BB7B22" w:rsidRDefault="00AA41A5" w:rsidP="00AA41A5">
      <w:pPr>
        <w:suppressLineNumbers/>
        <w:rPr>
          <w:lang w:val="es-PR"/>
        </w:rPr>
      </w:pPr>
    </w:p>
    <w:p w14:paraId="281F3852" w14:textId="77777777" w:rsidR="00AA41A5" w:rsidRDefault="00AA41A5" w:rsidP="00AA41A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50C059D6" w14:textId="77777777" w:rsidR="00AA41A5" w:rsidRPr="00A97479" w:rsidRDefault="00AA41A5" w:rsidP="00AA41A5">
      <w:pPr>
        <w:suppressLineNumbers/>
        <w:jc w:val="center"/>
        <w:rPr>
          <w:rFonts w:ascii="Book Antiqua" w:hAnsi="Book Antiqua"/>
          <w:b/>
          <w:szCs w:val="24"/>
          <w:lang w:val="es-ES_tradnl"/>
        </w:rPr>
      </w:pPr>
    </w:p>
    <w:p w14:paraId="7E433B7C" w14:textId="5B39DC2B" w:rsidR="00AA41A5" w:rsidRDefault="00AA41A5" w:rsidP="00AA41A5">
      <w:pPr>
        <w:suppressLineNumbers/>
        <w:jc w:val="center"/>
        <w:rPr>
          <w:rFonts w:ascii="Book Antiqua" w:hAnsi="Book Antiqua"/>
          <w:b/>
          <w:sz w:val="52"/>
          <w:lang w:val="es-ES_tradnl"/>
        </w:rPr>
      </w:pPr>
      <w:r>
        <w:rPr>
          <w:rFonts w:ascii="Book Antiqua" w:hAnsi="Book Antiqua"/>
          <w:b/>
          <w:sz w:val="52"/>
          <w:lang w:val="es-ES_tradnl"/>
        </w:rPr>
        <w:t>R. de la C.</w:t>
      </w:r>
      <w:r w:rsidR="007E33F4">
        <w:rPr>
          <w:rFonts w:ascii="Book Antiqua" w:hAnsi="Book Antiqua"/>
          <w:b/>
          <w:sz w:val="52"/>
          <w:lang w:val="es-ES_tradnl"/>
        </w:rPr>
        <w:t xml:space="preserve"> 635</w:t>
      </w:r>
    </w:p>
    <w:p w14:paraId="744DEE98" w14:textId="77777777" w:rsidR="00AA41A5" w:rsidRPr="00212D00" w:rsidRDefault="00AA41A5" w:rsidP="00AA41A5">
      <w:pPr>
        <w:suppressLineNumbers/>
        <w:jc w:val="center"/>
        <w:rPr>
          <w:rFonts w:ascii="Book Antiqua" w:hAnsi="Book Antiqua"/>
          <w:b/>
          <w:szCs w:val="24"/>
          <w:lang w:val="es-ES_tradnl"/>
        </w:rPr>
      </w:pPr>
    </w:p>
    <w:p w14:paraId="6CC72272" w14:textId="5E6E766A" w:rsidR="00AA41A5" w:rsidRDefault="007E33F4" w:rsidP="00AA41A5">
      <w:pPr>
        <w:suppressLineNumbers/>
        <w:jc w:val="center"/>
        <w:rPr>
          <w:rFonts w:ascii="Book Antiqua" w:hAnsi="Book Antiqua"/>
          <w:lang w:val="es-ES_tradnl"/>
        </w:rPr>
      </w:pPr>
      <w:r>
        <w:rPr>
          <w:rFonts w:ascii="Book Antiqua" w:hAnsi="Book Antiqua"/>
          <w:lang w:val="es-ES_tradnl"/>
        </w:rPr>
        <w:t xml:space="preserve">26 </w:t>
      </w:r>
      <w:r w:rsidR="00CB12A9">
        <w:rPr>
          <w:rFonts w:ascii="Book Antiqua" w:hAnsi="Book Antiqua"/>
          <w:lang w:val="es-ES_tradnl"/>
        </w:rPr>
        <w:t xml:space="preserve">DE </w:t>
      </w:r>
      <w:r w:rsidR="00DC4A3F">
        <w:rPr>
          <w:rFonts w:ascii="Book Antiqua" w:hAnsi="Book Antiqua"/>
          <w:lang w:val="es-ES_tradnl"/>
        </w:rPr>
        <w:t>FEB</w:t>
      </w:r>
      <w:r w:rsidR="003B1283">
        <w:rPr>
          <w:rFonts w:ascii="Book Antiqua" w:hAnsi="Book Antiqua"/>
          <w:lang w:val="es-ES_tradnl"/>
        </w:rPr>
        <w:t>R</w:t>
      </w:r>
      <w:r w:rsidR="00DC4A3F">
        <w:rPr>
          <w:rFonts w:ascii="Book Antiqua" w:hAnsi="Book Antiqua"/>
          <w:lang w:val="es-ES_tradnl"/>
        </w:rPr>
        <w:t>ER</w:t>
      </w:r>
      <w:r w:rsidR="003B1283">
        <w:rPr>
          <w:rFonts w:ascii="Book Antiqua" w:hAnsi="Book Antiqua"/>
          <w:lang w:val="es-ES_tradnl"/>
        </w:rPr>
        <w:t>O</w:t>
      </w:r>
      <w:r w:rsidR="00AA41A5">
        <w:rPr>
          <w:rFonts w:ascii="Book Antiqua" w:hAnsi="Book Antiqua"/>
          <w:lang w:val="es-ES_tradnl"/>
        </w:rPr>
        <w:t xml:space="preserve"> DE 202</w:t>
      </w:r>
      <w:r w:rsidR="003B1283">
        <w:rPr>
          <w:rFonts w:ascii="Book Antiqua" w:hAnsi="Book Antiqua"/>
          <w:lang w:val="es-ES_tradnl"/>
        </w:rPr>
        <w:t>6</w:t>
      </w:r>
    </w:p>
    <w:p w14:paraId="2E81588A" w14:textId="77777777" w:rsidR="00AA41A5" w:rsidRDefault="00AA41A5" w:rsidP="00AA41A5">
      <w:pPr>
        <w:suppressLineNumbers/>
        <w:jc w:val="center"/>
        <w:rPr>
          <w:rFonts w:ascii="Book Antiqua" w:hAnsi="Book Antiqua"/>
          <w:lang w:val="es-ES_tradnl"/>
        </w:rPr>
      </w:pPr>
    </w:p>
    <w:p w14:paraId="332E79FB" w14:textId="2470847D" w:rsidR="00AA41A5" w:rsidRDefault="00AA41A5" w:rsidP="00AA41A5">
      <w:pPr>
        <w:suppressLineNumbers/>
        <w:jc w:val="center"/>
        <w:rPr>
          <w:rFonts w:ascii="Book Antiqua" w:hAnsi="Book Antiqua"/>
          <w:lang w:val="es-ES_tradnl"/>
        </w:rPr>
      </w:pPr>
      <w:r>
        <w:rPr>
          <w:rFonts w:ascii="Book Antiqua" w:hAnsi="Book Antiqua"/>
          <w:lang w:val="es-ES_tradnl"/>
        </w:rPr>
        <w:t xml:space="preserve">Presentada por el representante </w:t>
      </w:r>
      <w:r w:rsidR="003B1283" w:rsidRPr="00BB7B22">
        <w:rPr>
          <w:rFonts w:ascii="Book Antiqua" w:hAnsi="Book Antiqua"/>
          <w:i/>
          <w:iCs/>
          <w:lang w:val="es-ES_tradnl"/>
        </w:rPr>
        <w:t>Franqui Atiles</w:t>
      </w:r>
    </w:p>
    <w:p w14:paraId="002CF4BC" w14:textId="77777777" w:rsidR="00E47E91" w:rsidRDefault="00E47E91" w:rsidP="00AA41A5">
      <w:pPr>
        <w:suppressLineNumbers/>
        <w:jc w:val="center"/>
        <w:rPr>
          <w:rFonts w:ascii="Book Antiqua" w:hAnsi="Book Antiqua"/>
          <w:lang w:val="es-ES_tradnl"/>
        </w:rPr>
      </w:pPr>
    </w:p>
    <w:p w14:paraId="790A3B16" w14:textId="546BDB19" w:rsidR="00E47E91" w:rsidRDefault="00E47E91" w:rsidP="00AA41A5">
      <w:pPr>
        <w:suppressLineNumbers/>
        <w:jc w:val="center"/>
        <w:rPr>
          <w:rFonts w:ascii="Book Antiqua" w:hAnsi="Book Antiqua"/>
          <w:i/>
          <w:iCs/>
          <w:lang w:val="es-ES_tradnl"/>
        </w:rPr>
      </w:pPr>
      <w:r>
        <w:rPr>
          <w:rFonts w:ascii="Book Antiqua" w:hAnsi="Book Antiqua"/>
          <w:lang w:val="es-ES_tradnl"/>
        </w:rPr>
        <w:t>Referid</w:t>
      </w:r>
      <w:r w:rsidR="00BB7B22">
        <w:rPr>
          <w:rFonts w:ascii="Book Antiqua" w:hAnsi="Book Antiqua"/>
          <w:lang w:val="es-ES_tradnl"/>
        </w:rPr>
        <w:t>a</w:t>
      </w:r>
      <w:r>
        <w:rPr>
          <w:rFonts w:ascii="Book Antiqua" w:hAnsi="Book Antiqua"/>
          <w:lang w:val="es-ES_tradnl"/>
        </w:rPr>
        <w:t xml:space="preserve"> a </w:t>
      </w:r>
      <w:r w:rsidR="00BB7B22">
        <w:rPr>
          <w:rFonts w:ascii="Book Antiqua" w:hAnsi="Book Antiqua"/>
          <w:lang w:val="es-ES_tradnl"/>
        </w:rPr>
        <w:t>la Comisión de Asuntos Internos</w:t>
      </w:r>
    </w:p>
    <w:p w14:paraId="4872333E" w14:textId="77777777" w:rsidR="00AA41A5" w:rsidRDefault="00AA41A5" w:rsidP="00AA41A5">
      <w:pPr>
        <w:suppressLineNumbers/>
        <w:jc w:val="both"/>
        <w:rPr>
          <w:rFonts w:ascii="Book Antiqua" w:hAnsi="Book Antiqua"/>
          <w:lang w:val="es-ES_tradnl"/>
        </w:rPr>
      </w:pPr>
    </w:p>
    <w:p w14:paraId="6024AA76" w14:textId="77777777" w:rsidR="00AA41A5" w:rsidRDefault="00AA41A5" w:rsidP="00AA41A5">
      <w:pPr>
        <w:suppressLineNumbers/>
        <w:jc w:val="center"/>
        <w:rPr>
          <w:rFonts w:ascii="Book Antiqua" w:hAnsi="Book Antiqua"/>
          <w:b/>
          <w:sz w:val="28"/>
          <w:lang w:val="es-ES_tradnl"/>
        </w:rPr>
      </w:pPr>
      <w:r>
        <w:rPr>
          <w:rFonts w:ascii="Book Antiqua" w:hAnsi="Book Antiqua"/>
          <w:b/>
          <w:sz w:val="28"/>
          <w:lang w:val="es-ES_tradnl"/>
        </w:rPr>
        <w:t>RESOLUCIÓN</w:t>
      </w:r>
    </w:p>
    <w:p w14:paraId="79AC6201" w14:textId="77777777" w:rsidR="00AA41A5" w:rsidRDefault="00AA41A5" w:rsidP="00AA41A5">
      <w:pPr>
        <w:suppressLineNumbers/>
        <w:jc w:val="center"/>
        <w:rPr>
          <w:rFonts w:ascii="Book Antiqua" w:hAnsi="Book Antiqua"/>
          <w:b/>
          <w:sz w:val="28"/>
          <w:lang w:val="es-ES_tradnl"/>
        </w:rPr>
      </w:pPr>
    </w:p>
    <w:p w14:paraId="1F18D0E3" w14:textId="1C4C9294" w:rsidR="00DC4A3F" w:rsidRPr="00DC4A3F" w:rsidRDefault="00AA41A5" w:rsidP="00BB7B22">
      <w:pPr>
        <w:suppressLineNumbers/>
        <w:ind w:left="600" w:hanging="600"/>
        <w:jc w:val="both"/>
        <w:rPr>
          <w:rFonts w:ascii="Book Antiqua" w:hAnsi="Book Antiqua"/>
          <w:iCs/>
          <w:szCs w:val="24"/>
          <w:lang w:val="es-PR"/>
        </w:rPr>
      </w:pPr>
      <w:r w:rsidRPr="00BC1415">
        <w:rPr>
          <w:rFonts w:ascii="Book Antiqua" w:hAnsi="Book Antiqua"/>
          <w:szCs w:val="24"/>
          <w:lang w:val="es-ES_tradnl"/>
        </w:rPr>
        <w:t>Para ordenar a</w:t>
      </w:r>
      <w:r w:rsidRPr="00BC1415">
        <w:rPr>
          <w:rFonts w:ascii="Book Antiqua" w:hAnsi="Book Antiqua"/>
          <w:iCs/>
          <w:szCs w:val="24"/>
          <w:lang w:val="es-ES_tradnl"/>
        </w:rPr>
        <w:t xml:space="preserve"> la</w:t>
      </w:r>
      <w:r w:rsidR="00E47E91">
        <w:rPr>
          <w:rFonts w:ascii="Book Antiqua" w:hAnsi="Book Antiqua"/>
          <w:iCs/>
          <w:szCs w:val="24"/>
          <w:lang w:val="es-ES_tradnl"/>
        </w:rPr>
        <w:t xml:space="preserve"> Comisión de </w:t>
      </w:r>
      <w:r w:rsidR="00DC4A3F">
        <w:rPr>
          <w:rFonts w:ascii="Book Antiqua" w:hAnsi="Book Antiqua"/>
          <w:iCs/>
          <w:szCs w:val="24"/>
          <w:lang w:val="es-ES_tradnl"/>
        </w:rPr>
        <w:t xml:space="preserve">Desarrollo Económico de la Cámara de Representantes, </w:t>
      </w:r>
      <w:r w:rsidR="00DC4A3F" w:rsidRPr="00DC4A3F">
        <w:rPr>
          <w:rFonts w:ascii="Book Antiqua" w:hAnsi="Book Antiqua"/>
          <w:iCs/>
          <w:szCs w:val="24"/>
          <w:lang w:val="es-PR"/>
        </w:rPr>
        <w:t>realizar una investigación sobre los préstamos otorgados por la Corporación del Fondo del Seguro del Estado a The Phoenix Fund LLC y PUC Holdings LLC, y requerir a dicha corporación que presente toda la evidencia y documentación relacionada a las alegaciones vertidas en el recurso judicial radicado</w:t>
      </w:r>
      <w:r w:rsidR="00DC4A3F">
        <w:rPr>
          <w:rFonts w:ascii="Book Antiqua" w:hAnsi="Book Antiqua"/>
          <w:iCs/>
          <w:szCs w:val="24"/>
          <w:lang w:val="es-PR"/>
        </w:rPr>
        <w:t>.</w:t>
      </w:r>
    </w:p>
    <w:p w14:paraId="0228DD11" w14:textId="77777777" w:rsidR="00000097" w:rsidRPr="009D7145" w:rsidRDefault="00000097" w:rsidP="00BB7B22">
      <w:pPr>
        <w:suppressLineNumbers/>
        <w:jc w:val="both"/>
        <w:rPr>
          <w:rFonts w:ascii="Book Antiqua" w:hAnsi="Book Antiqua"/>
          <w:szCs w:val="24"/>
          <w:lang w:val="es-PR"/>
        </w:rPr>
      </w:pPr>
    </w:p>
    <w:p w14:paraId="1617AA18" w14:textId="257ABF20" w:rsidR="00661174" w:rsidRDefault="00AA41A5" w:rsidP="00BB7B22">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r>
        <w:rPr>
          <w:rStyle w:val="textonormal1"/>
          <w:rFonts w:ascii="Book Antiqua" w:eastAsiaTheme="majorEastAsia" w:hAnsi="Book Antiqua"/>
          <w:sz w:val="24"/>
          <w:szCs w:val="24"/>
          <w:lang w:val="es-PR"/>
        </w:rPr>
        <w:t xml:space="preserve"> </w:t>
      </w:r>
    </w:p>
    <w:p w14:paraId="07B44F17" w14:textId="77777777" w:rsidR="00000097" w:rsidRDefault="00000097" w:rsidP="00BB7B22">
      <w:pPr>
        <w:suppressLineNumbers/>
        <w:rPr>
          <w:rFonts w:ascii="Book Antiqua" w:hAnsi="Book Antiqua"/>
          <w:szCs w:val="24"/>
          <w:lang w:val="es-ES_tradnl"/>
        </w:rPr>
      </w:pPr>
    </w:p>
    <w:p w14:paraId="079D4982" w14:textId="77777777" w:rsidR="00E47E91" w:rsidRDefault="00E47E91" w:rsidP="00BB7B22">
      <w:pPr>
        <w:suppressLineNumbers/>
        <w:ind w:firstLine="720"/>
        <w:jc w:val="both"/>
        <w:rPr>
          <w:rFonts w:ascii="Book Antiqua" w:hAnsi="Book Antiqua"/>
          <w:lang w:val="es-PR"/>
        </w:rPr>
      </w:pPr>
      <w:r w:rsidRPr="00E47E91">
        <w:rPr>
          <w:rFonts w:ascii="Book Antiqua" w:hAnsi="Book Antiqua"/>
          <w:lang w:val="es-PR"/>
        </w:rPr>
        <w:t>La Corporación del Fondo del Seguro del Estado (CFSE) es la entidad pública responsable de administrar el sistema de compensación laboral del País, función que exige el manejo prudente, transparente y responsable de los recursos que conforman su portafolio financiero. La adecuada gestión de estos fondos es indispensable para garantizar la estabilidad del sistema, la prestación continua de servicios a la clase trabajadora y la sostenibilidad de las obligaciones legales y actuariales de la corporación.</w:t>
      </w:r>
    </w:p>
    <w:p w14:paraId="2FBB067B" w14:textId="77777777" w:rsidR="00E47E91" w:rsidRPr="00E47E91" w:rsidRDefault="00E47E91" w:rsidP="00BB7B22">
      <w:pPr>
        <w:suppressLineNumbers/>
        <w:ind w:firstLine="720"/>
        <w:jc w:val="both"/>
        <w:rPr>
          <w:rFonts w:ascii="Book Antiqua" w:hAnsi="Book Antiqua"/>
          <w:lang w:val="es-PR"/>
        </w:rPr>
      </w:pPr>
    </w:p>
    <w:p w14:paraId="3819BE7E" w14:textId="54A4825D" w:rsidR="00E47E91" w:rsidRDefault="00E47E91" w:rsidP="00BB7B22">
      <w:pPr>
        <w:suppressLineNumbers/>
        <w:ind w:firstLine="720"/>
        <w:jc w:val="both"/>
        <w:rPr>
          <w:rFonts w:ascii="Book Antiqua" w:hAnsi="Book Antiqua"/>
          <w:lang w:val="es-PR"/>
        </w:rPr>
      </w:pPr>
      <w:r w:rsidRPr="00E47E91">
        <w:rPr>
          <w:rFonts w:ascii="Book Antiqua" w:hAnsi="Book Antiqua"/>
          <w:lang w:val="es-PR"/>
        </w:rPr>
        <w:t>Durante la semana del 17 de febrero de 2026, se hizo de conocimiento público que la CFSE radicó una demanda en cobro de dinero ante el Tribunal de Primera Instancia, Sala Superior de Bayamón, contra las entidades The Phoenix Fund LLC y PUC Holdings LLC. En dicho recurso judicial, la corporación reclama no menos de $99.5 millones por concepto de dos préstamos otorgados en los años 2019 y 2021, cuyos balances</w:t>
      </w:r>
      <w:r>
        <w:rPr>
          <w:rFonts w:ascii="Book Antiqua" w:hAnsi="Book Antiqua"/>
          <w:lang w:val="es-PR"/>
        </w:rPr>
        <w:t xml:space="preserve">, </w:t>
      </w:r>
      <w:r w:rsidRPr="00E47E91">
        <w:rPr>
          <w:rFonts w:ascii="Book Antiqua" w:hAnsi="Book Antiqua"/>
          <w:lang w:val="es-PR"/>
        </w:rPr>
        <w:t>según alega</w:t>
      </w:r>
      <w:r>
        <w:rPr>
          <w:rFonts w:ascii="Book Antiqua" w:hAnsi="Book Antiqua"/>
          <w:lang w:val="es-PR"/>
        </w:rPr>
        <w:t>,</w:t>
      </w:r>
      <w:r w:rsidRPr="00E47E91">
        <w:rPr>
          <w:rFonts w:ascii="Book Antiqua" w:hAnsi="Book Antiqua"/>
          <w:lang w:val="es-PR"/>
        </w:rPr>
        <w:t xml:space="preserve"> permanecen vencidos y en incumplimiento.</w:t>
      </w:r>
    </w:p>
    <w:p w14:paraId="0E102445" w14:textId="77777777" w:rsidR="00E47E91" w:rsidRPr="00E47E91" w:rsidRDefault="00E47E91" w:rsidP="00BB7B22">
      <w:pPr>
        <w:suppressLineNumbers/>
        <w:ind w:firstLine="720"/>
        <w:jc w:val="both"/>
        <w:rPr>
          <w:rFonts w:ascii="Book Antiqua" w:hAnsi="Book Antiqua"/>
          <w:lang w:val="es-PR"/>
        </w:rPr>
      </w:pPr>
    </w:p>
    <w:p w14:paraId="4EADBF70" w14:textId="77777777" w:rsidR="00E47E91" w:rsidRDefault="00E47E91" w:rsidP="00BB7B22">
      <w:pPr>
        <w:suppressLineNumbers/>
        <w:ind w:firstLine="720"/>
        <w:jc w:val="both"/>
        <w:rPr>
          <w:rFonts w:ascii="Book Antiqua" w:hAnsi="Book Antiqua"/>
          <w:lang w:val="es-PR"/>
        </w:rPr>
      </w:pPr>
      <w:r w:rsidRPr="00E47E91">
        <w:rPr>
          <w:rFonts w:ascii="Book Antiqua" w:hAnsi="Book Antiqua"/>
          <w:lang w:val="es-PR"/>
        </w:rPr>
        <w:t xml:space="preserve">El primer préstamo, formalizado el 27 de diciembre de 2019, ascendió a $40 millones a favor de The Phoenix Fund LLC, con una tasa de interés anual de 7%, pagos </w:t>
      </w:r>
      <w:r w:rsidRPr="00E47E91">
        <w:rPr>
          <w:rFonts w:ascii="Book Antiqua" w:hAnsi="Book Antiqua"/>
          <w:lang w:val="es-PR"/>
        </w:rPr>
        <w:lastRenderedPageBreak/>
        <w:t>trimestrales y penalidades por mora. Aunque la entidad prestataria realizó pagos de intereses hasta el tercer trimestre de 2023, la CFSE sostiene que dejó de cumplir con sus obligaciones desde el cuarto trimestre de ese año. Al 17 de febrero de 2026, la corporación pública estima que la deuda total por este primer financiamiento asciende a no menos de $45.6 millones.</w:t>
      </w:r>
    </w:p>
    <w:p w14:paraId="3E259B0B" w14:textId="77777777" w:rsidR="00E47E91" w:rsidRPr="00E47E91" w:rsidRDefault="00E47E91" w:rsidP="00BB7B22">
      <w:pPr>
        <w:suppressLineNumbers/>
        <w:ind w:firstLine="720"/>
        <w:jc w:val="both"/>
        <w:rPr>
          <w:rFonts w:ascii="Book Antiqua" w:hAnsi="Book Antiqua"/>
          <w:lang w:val="es-PR"/>
        </w:rPr>
      </w:pPr>
    </w:p>
    <w:p w14:paraId="6B5B7B50" w14:textId="5ADE7CF0" w:rsidR="00E47E91" w:rsidRDefault="00E47E91" w:rsidP="00BB7B22">
      <w:pPr>
        <w:suppressLineNumbers/>
        <w:ind w:firstLine="720"/>
        <w:jc w:val="both"/>
        <w:rPr>
          <w:rFonts w:ascii="Book Antiqua" w:hAnsi="Book Antiqua"/>
          <w:lang w:val="es-PR"/>
        </w:rPr>
      </w:pPr>
      <w:r w:rsidRPr="00E47E91">
        <w:rPr>
          <w:rFonts w:ascii="Book Antiqua" w:hAnsi="Book Antiqua"/>
          <w:lang w:val="es-PR"/>
        </w:rPr>
        <w:t xml:space="preserve">Posteriormente, en mayo de 2021, la CFSE otorgó un segundo préstamo por otros $40 millones, esta vez a PUC Holdings LLC, bajo términos sustancialmente similares y con The Phoenix Fund LLC como garante corporativo. </w:t>
      </w:r>
      <w:r>
        <w:rPr>
          <w:rFonts w:ascii="Book Antiqua" w:hAnsi="Book Antiqua"/>
          <w:lang w:val="es-PR"/>
        </w:rPr>
        <w:t xml:space="preserve">Según ha trascendido, </w:t>
      </w:r>
      <w:r w:rsidRPr="00E47E91">
        <w:rPr>
          <w:rFonts w:ascii="Book Antiqua" w:hAnsi="Book Antiqua"/>
          <w:lang w:val="es-PR"/>
        </w:rPr>
        <w:t>esta segunda obligación acumula al presente una deuda no menor de $53.9 millones.</w:t>
      </w:r>
      <w:r>
        <w:rPr>
          <w:rFonts w:ascii="Book Antiqua" w:hAnsi="Book Antiqua"/>
          <w:lang w:val="es-PR"/>
        </w:rPr>
        <w:t xml:space="preserve"> </w:t>
      </w:r>
      <w:r w:rsidRPr="00E47E91">
        <w:rPr>
          <w:rFonts w:ascii="Book Antiqua" w:hAnsi="Book Antiqua"/>
          <w:lang w:val="es-PR"/>
        </w:rPr>
        <w:t>En total, la CFSE reclama sobre $99.5 millones en principal, intereses acumulados, penalidades por mora, honorarios de abogado, costas judiciales e intereses adicionales por alegada temeridad. No obstante, la demanda radicada no detalla la existencia de colateral específico o garantías reales que respalden estas obligaciones, limitándose a referencias a pagarés, tasas de interés y cláusulas contractuales de aceleración.</w:t>
      </w:r>
    </w:p>
    <w:p w14:paraId="46FF1EEB" w14:textId="77777777" w:rsidR="00E47E91" w:rsidRPr="00E47E91" w:rsidRDefault="00E47E91" w:rsidP="00BB7B22">
      <w:pPr>
        <w:suppressLineNumbers/>
        <w:ind w:firstLine="720"/>
        <w:jc w:val="both"/>
        <w:rPr>
          <w:rFonts w:ascii="Book Antiqua" w:hAnsi="Book Antiqua"/>
          <w:lang w:val="es-PR"/>
        </w:rPr>
      </w:pPr>
    </w:p>
    <w:p w14:paraId="78019FEE" w14:textId="77777777" w:rsidR="00DC4A3F" w:rsidRDefault="00E47E91" w:rsidP="00BB7B22">
      <w:pPr>
        <w:suppressLineNumbers/>
        <w:ind w:firstLine="720"/>
        <w:jc w:val="both"/>
        <w:rPr>
          <w:rFonts w:ascii="Book Antiqua" w:hAnsi="Book Antiqua"/>
          <w:lang w:val="es-PR"/>
        </w:rPr>
      </w:pPr>
      <w:r w:rsidRPr="00E47E91">
        <w:rPr>
          <w:rFonts w:ascii="Book Antiqua" w:hAnsi="Book Antiqua"/>
          <w:lang w:val="es-PR"/>
        </w:rPr>
        <w:t>Además, consta que la CFSE notificó los incumplimientos formales el 17 de junio de 2025 y requirió el pago total antes del 27 de ese mismo mes. Al no recibir los fondos adeudados, la corporación activó las cláusulas contractuales que permiten declarar las deudas vencidas, líquidas y exigibles.</w:t>
      </w:r>
      <w:r>
        <w:rPr>
          <w:rFonts w:ascii="Book Antiqua" w:hAnsi="Book Antiqua"/>
          <w:lang w:val="es-PR"/>
        </w:rPr>
        <w:t xml:space="preserve"> </w:t>
      </w:r>
      <w:r w:rsidRPr="00E47E91">
        <w:rPr>
          <w:rFonts w:ascii="Book Antiqua" w:hAnsi="Book Antiqua"/>
          <w:lang w:val="es-PR"/>
        </w:rPr>
        <w:t xml:space="preserve">Este cuadro reaviva un importante debate público sobre los criterios y mecanismos de evaluación de riesgo utilizados para autorizar inversiones y préstamos con fondos públicos, así como los procedimientos internos para monitorear el cumplimiento de tales acuerdos. </w:t>
      </w:r>
    </w:p>
    <w:p w14:paraId="4076F2FD" w14:textId="77777777" w:rsidR="00DC4A3F" w:rsidRDefault="00DC4A3F" w:rsidP="00BB7B22">
      <w:pPr>
        <w:suppressLineNumbers/>
        <w:ind w:firstLine="720"/>
        <w:jc w:val="both"/>
        <w:rPr>
          <w:rFonts w:ascii="Book Antiqua" w:hAnsi="Book Antiqua"/>
          <w:lang w:val="es-PR"/>
        </w:rPr>
      </w:pPr>
    </w:p>
    <w:p w14:paraId="3EFD253F" w14:textId="71616545" w:rsidR="00E47E91" w:rsidRDefault="00E47E91" w:rsidP="00BB7B22">
      <w:pPr>
        <w:suppressLineNumbers/>
        <w:ind w:firstLine="720"/>
        <w:jc w:val="both"/>
        <w:rPr>
          <w:rFonts w:ascii="Book Antiqua" w:hAnsi="Book Antiqua"/>
          <w:lang w:val="es-PR"/>
        </w:rPr>
      </w:pPr>
      <w:r w:rsidRPr="00E47E91">
        <w:rPr>
          <w:rFonts w:ascii="Book Antiqua" w:hAnsi="Book Antiqua"/>
          <w:lang w:val="es-PR"/>
        </w:rPr>
        <w:t xml:space="preserve">Dado que la CFSE administra recursos esenciales para proteger a los trabajadores del País, resulta imperativo que esta Asamblea Legislativa ejerza su función </w:t>
      </w:r>
      <w:r>
        <w:rPr>
          <w:rFonts w:ascii="Book Antiqua" w:hAnsi="Book Antiqua"/>
          <w:lang w:val="es-PR"/>
        </w:rPr>
        <w:t xml:space="preserve">constitucional </w:t>
      </w:r>
      <w:r w:rsidRPr="00E47E91">
        <w:rPr>
          <w:rFonts w:ascii="Book Antiqua" w:hAnsi="Book Antiqua"/>
          <w:lang w:val="es-PR"/>
        </w:rPr>
        <w:t>de investigación y fiscalización, a fin de asegurar el uso adecuado de los bienes públicos y la correcta administración de las finanzas institucionales.</w:t>
      </w:r>
    </w:p>
    <w:p w14:paraId="47D1D1D7" w14:textId="77777777" w:rsidR="00E47E91" w:rsidRPr="00E47E91" w:rsidRDefault="00E47E91" w:rsidP="00BB7B22">
      <w:pPr>
        <w:suppressLineNumbers/>
        <w:ind w:firstLine="720"/>
        <w:jc w:val="both"/>
        <w:rPr>
          <w:rFonts w:ascii="Book Antiqua" w:hAnsi="Book Antiqua"/>
          <w:lang w:val="es-PR"/>
        </w:rPr>
      </w:pPr>
    </w:p>
    <w:p w14:paraId="108ACAF0" w14:textId="77777777" w:rsidR="00E47E91" w:rsidRPr="00E47E91" w:rsidRDefault="00E47E91" w:rsidP="00BB7B22">
      <w:pPr>
        <w:suppressLineNumbers/>
        <w:ind w:firstLine="720"/>
        <w:jc w:val="both"/>
        <w:rPr>
          <w:rFonts w:ascii="Book Antiqua" w:hAnsi="Book Antiqua"/>
          <w:lang w:val="es-PR"/>
        </w:rPr>
      </w:pPr>
      <w:r w:rsidRPr="00E47E91">
        <w:rPr>
          <w:rFonts w:ascii="Book Antiqua" w:hAnsi="Book Antiqua"/>
          <w:lang w:val="es-PR"/>
        </w:rPr>
        <w:t>Por lo anterior, se hace necesario que la Cámara de Representantes investigue los hechos relacionados con los préstamos otorgados, el proceso de evaluación que los permitió, los mecanismos de supervisión implementados, el estado actual de las gestiones de cobro y la evidencia documental que sustenta las alegaciones de la CFSE ante el tribunal. Esta investigación permitirá esclarecer los procesos internos, fortalecer la rendición de cuentas y promover correctivos que garanticen la protección adecuada de los recursos públicos.</w:t>
      </w:r>
    </w:p>
    <w:p w14:paraId="37045F7B" w14:textId="61259568" w:rsidR="0078549A" w:rsidRPr="0078549A" w:rsidRDefault="0078549A" w:rsidP="0078549A">
      <w:pPr>
        <w:suppressLineNumbers/>
        <w:spacing w:line="276" w:lineRule="auto"/>
        <w:ind w:firstLine="720"/>
        <w:jc w:val="both"/>
        <w:rPr>
          <w:rFonts w:ascii="Book Antiqua" w:hAnsi="Book Antiqua"/>
          <w:szCs w:val="24"/>
          <w:lang w:val="es-PR"/>
        </w:rPr>
      </w:pPr>
    </w:p>
    <w:p w14:paraId="7DB9B024" w14:textId="77777777" w:rsidR="00BB7B22" w:rsidRDefault="00BB7B22" w:rsidP="00AA41A5">
      <w:pPr>
        <w:suppressLineNumbers/>
        <w:spacing w:line="480" w:lineRule="auto"/>
        <w:jc w:val="both"/>
        <w:rPr>
          <w:rFonts w:ascii="Book Antiqua" w:hAnsi="Book Antiqua"/>
          <w:i/>
          <w:lang w:val="es-ES"/>
        </w:rPr>
      </w:pPr>
      <w:r>
        <w:rPr>
          <w:rFonts w:ascii="Book Antiqua" w:hAnsi="Book Antiqua"/>
          <w:i/>
          <w:lang w:val="es-ES"/>
        </w:rPr>
        <w:br/>
      </w:r>
    </w:p>
    <w:p w14:paraId="7C84638B" w14:textId="77777777" w:rsidR="00BB7B22" w:rsidRDefault="00BB7B22" w:rsidP="00AA41A5">
      <w:pPr>
        <w:suppressLineNumbers/>
        <w:spacing w:line="480" w:lineRule="auto"/>
        <w:jc w:val="both"/>
        <w:rPr>
          <w:rFonts w:ascii="Book Antiqua" w:hAnsi="Book Antiqua"/>
          <w:i/>
          <w:lang w:val="es-ES"/>
        </w:rPr>
      </w:pPr>
    </w:p>
    <w:p w14:paraId="2FEF9A79" w14:textId="175394E9" w:rsidR="00AA41A5" w:rsidRDefault="00AA41A5" w:rsidP="00AA41A5">
      <w:pPr>
        <w:suppressLineNumbers/>
        <w:spacing w:line="480" w:lineRule="auto"/>
        <w:jc w:val="both"/>
        <w:rPr>
          <w:rFonts w:ascii="Book Antiqua" w:hAnsi="Book Antiqua"/>
          <w:i/>
          <w:lang w:val="es-ES"/>
        </w:rPr>
      </w:pPr>
      <w:r w:rsidRPr="009D7145">
        <w:rPr>
          <w:rFonts w:ascii="Book Antiqua" w:hAnsi="Book Antiqua"/>
          <w:i/>
          <w:lang w:val="es-ES"/>
        </w:rPr>
        <w:lastRenderedPageBreak/>
        <w:t>RESUÉLVESE POR LA CÁMARA DE REPRESENTANTES DE PUERTO RICO:</w:t>
      </w:r>
    </w:p>
    <w:p w14:paraId="61FA4835" w14:textId="6426404D" w:rsidR="00435946" w:rsidRDefault="00DC4A3F" w:rsidP="00435946">
      <w:pPr>
        <w:spacing w:line="480" w:lineRule="auto"/>
        <w:ind w:left="720"/>
        <w:jc w:val="both"/>
        <w:rPr>
          <w:rFonts w:ascii="Book Antiqua" w:hAnsi="Book Antiqua"/>
          <w:lang w:val="es-PR"/>
        </w:rPr>
      </w:pPr>
      <w:r w:rsidRPr="00DC4A3F">
        <w:rPr>
          <w:rFonts w:ascii="Book Antiqua" w:eastAsia="Book Antiqua" w:hAnsi="Book Antiqua" w:cs="Book Antiqua"/>
          <w:lang w:val="es-PR"/>
        </w:rPr>
        <w:t>Sección 1.- Se ordena a la Comisión de Desarrollo Económico de la Cámara de Representantes de Puerto Rico realizar una investigación exhaustiva sobre</w:t>
      </w:r>
      <w:r w:rsidR="00435946" w:rsidRPr="00E47E91">
        <w:rPr>
          <w:rFonts w:ascii="Book Antiqua" w:hAnsi="Book Antiqua"/>
          <w:lang w:val="es-PR"/>
        </w:rPr>
        <w:t xml:space="preserve"> los hechos relacionados con los préstamos otorgados, el proceso de evaluación que los permitió, los mecanismos de supervisión implementados, el estado actual de las gestiones de cobro y la evidencia documental que sustenta las alegaciones de la C</w:t>
      </w:r>
      <w:r w:rsidR="00435946">
        <w:rPr>
          <w:rFonts w:ascii="Book Antiqua" w:hAnsi="Book Antiqua"/>
          <w:lang w:val="es-PR"/>
        </w:rPr>
        <w:t xml:space="preserve">orporación del </w:t>
      </w:r>
      <w:r w:rsidR="00435946" w:rsidRPr="00E47E91">
        <w:rPr>
          <w:rFonts w:ascii="Book Antiqua" w:hAnsi="Book Antiqua"/>
          <w:lang w:val="es-PR"/>
        </w:rPr>
        <w:t>F</w:t>
      </w:r>
      <w:r w:rsidR="00435946">
        <w:rPr>
          <w:rFonts w:ascii="Book Antiqua" w:hAnsi="Book Antiqua"/>
          <w:lang w:val="es-PR"/>
        </w:rPr>
        <w:t xml:space="preserve">ondo del </w:t>
      </w:r>
      <w:r w:rsidR="00435946" w:rsidRPr="00E47E91">
        <w:rPr>
          <w:rFonts w:ascii="Book Antiqua" w:hAnsi="Book Antiqua"/>
          <w:lang w:val="es-PR"/>
        </w:rPr>
        <w:t>S</w:t>
      </w:r>
      <w:r w:rsidR="00435946">
        <w:rPr>
          <w:rFonts w:ascii="Book Antiqua" w:hAnsi="Book Antiqua"/>
          <w:lang w:val="es-PR"/>
        </w:rPr>
        <w:t xml:space="preserve">eguro del </w:t>
      </w:r>
      <w:r w:rsidR="00435946" w:rsidRPr="00E47E91">
        <w:rPr>
          <w:rFonts w:ascii="Book Antiqua" w:hAnsi="Book Antiqua"/>
          <w:lang w:val="es-PR"/>
        </w:rPr>
        <w:t>E</w:t>
      </w:r>
      <w:r w:rsidR="00435946">
        <w:rPr>
          <w:rFonts w:ascii="Book Antiqua" w:hAnsi="Book Antiqua"/>
          <w:lang w:val="es-PR"/>
        </w:rPr>
        <w:t>stado</w:t>
      </w:r>
      <w:r w:rsidR="00435946" w:rsidRPr="00E47E91">
        <w:rPr>
          <w:rFonts w:ascii="Book Antiqua" w:hAnsi="Book Antiqua"/>
          <w:lang w:val="es-PR"/>
        </w:rPr>
        <w:t xml:space="preserve"> ante el tribunal.</w:t>
      </w:r>
    </w:p>
    <w:p w14:paraId="3DF214B7" w14:textId="77047D5E" w:rsidR="00DC4A3F" w:rsidRDefault="00DC4A3F" w:rsidP="00DC4A3F">
      <w:pPr>
        <w:spacing w:line="480" w:lineRule="auto"/>
        <w:ind w:left="720"/>
        <w:jc w:val="both"/>
        <w:rPr>
          <w:rFonts w:ascii="Book Antiqua" w:eastAsia="Book Antiqua" w:hAnsi="Book Antiqua" w:cs="Book Antiqua"/>
          <w:lang w:val="es-ES"/>
        </w:rPr>
      </w:pPr>
      <w:r w:rsidRPr="00DC4A3F">
        <w:rPr>
          <w:rFonts w:ascii="Book Antiqua" w:eastAsia="Book Antiqua" w:hAnsi="Book Antiqua" w:cs="Book Antiqua"/>
          <w:lang w:val="es-PR"/>
        </w:rPr>
        <w:t xml:space="preserve">Sección 2.- </w:t>
      </w:r>
      <w:r w:rsidRPr="00235617">
        <w:rPr>
          <w:rFonts w:ascii="Book Antiqua" w:eastAsia="Book Antiqua" w:hAnsi="Book Antiqua" w:cs="Book Antiqua"/>
          <w:lang w:val="es-ES"/>
        </w:rPr>
        <w:t>La Comisión, conforme dispone el Reglamento de la Cámara de Representantes, podrá citar a cualquier persona natural o jurídica, o entidad gubernamental, organizaciones con o sin fines de lucro, que haya tenido o tenga cualquier clase de relación o conexión en los asuntos especificados en la Sección 1 de esta Resolución.</w:t>
      </w:r>
    </w:p>
    <w:p w14:paraId="0B11792A" w14:textId="1AA1582B" w:rsidR="00DC4A3F" w:rsidRPr="00235617" w:rsidRDefault="00DC4A3F" w:rsidP="00DC4A3F">
      <w:pPr>
        <w:spacing w:line="480" w:lineRule="auto"/>
        <w:ind w:left="720"/>
        <w:jc w:val="both"/>
        <w:rPr>
          <w:rFonts w:ascii="Book Antiqua" w:eastAsia="Book Antiqua" w:hAnsi="Book Antiqua" w:cs="Book Antiqua"/>
          <w:lang w:val="es-ES_tradnl"/>
        </w:rPr>
      </w:pPr>
      <w:r w:rsidRPr="00235617">
        <w:rPr>
          <w:rFonts w:ascii="Book Antiqua" w:eastAsia="Book Antiqua" w:hAnsi="Book Antiqua" w:cs="Book Antiqua"/>
          <w:lang w:val="es-ES_tradnl"/>
        </w:rPr>
        <w:t xml:space="preserve">Sección </w:t>
      </w:r>
      <w:r w:rsidR="00435946">
        <w:rPr>
          <w:rFonts w:ascii="Book Antiqua" w:eastAsia="Book Antiqua" w:hAnsi="Book Antiqua" w:cs="Book Antiqua"/>
          <w:lang w:val="es-ES_tradnl"/>
        </w:rPr>
        <w:t>3</w:t>
      </w:r>
      <w:r w:rsidRPr="00235617">
        <w:rPr>
          <w:rFonts w:ascii="Book Antiqua" w:eastAsia="Book Antiqua" w:hAnsi="Book Antiqua" w:cs="Book Antiqua"/>
          <w:lang w:val="es-ES_tradnl"/>
        </w:rPr>
        <w:t xml:space="preserve">.-La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3861FB14" w14:textId="49BD38A1" w:rsidR="00DC4A3F" w:rsidRPr="00DC4A3F" w:rsidRDefault="00DC4A3F" w:rsidP="00DC4A3F">
      <w:pPr>
        <w:spacing w:line="480" w:lineRule="auto"/>
        <w:ind w:left="720"/>
        <w:jc w:val="both"/>
        <w:rPr>
          <w:rFonts w:ascii="Book Antiqua" w:eastAsia="Book Antiqua" w:hAnsi="Book Antiqua" w:cs="Book Antiqua"/>
          <w:lang w:val="es-PR"/>
        </w:rPr>
      </w:pPr>
      <w:r w:rsidRPr="00DC4A3F">
        <w:rPr>
          <w:rFonts w:ascii="Book Antiqua" w:eastAsia="Book Antiqua" w:hAnsi="Book Antiqua" w:cs="Book Antiqua"/>
          <w:lang w:val="es-PR"/>
        </w:rPr>
        <w:t xml:space="preserve">Sección </w:t>
      </w:r>
      <w:r w:rsidR="00435946">
        <w:rPr>
          <w:rFonts w:ascii="Book Antiqua" w:eastAsia="Book Antiqua" w:hAnsi="Book Antiqua" w:cs="Book Antiqua"/>
          <w:lang w:val="es-PR"/>
        </w:rPr>
        <w:t>4</w:t>
      </w:r>
      <w:r w:rsidRPr="00DC4A3F">
        <w:rPr>
          <w:rFonts w:ascii="Book Antiqua" w:eastAsia="Book Antiqua" w:hAnsi="Book Antiqua" w:cs="Book Antiqua"/>
          <w:lang w:val="es-PR"/>
        </w:rPr>
        <w:t xml:space="preserve">.-La Comisión rendirá un informe con sus hallazgos, conclusiones y recomendaciones dentro de un término no mayor de ciento ochenta (180) días, a partir de la aprobación de esta Resolución. </w:t>
      </w:r>
    </w:p>
    <w:p w14:paraId="0FDB865B" w14:textId="4D3CF697" w:rsidR="008C468D" w:rsidRPr="00DC4A3F" w:rsidRDefault="00DC4A3F" w:rsidP="00DC4A3F">
      <w:pPr>
        <w:spacing w:line="480" w:lineRule="auto"/>
        <w:ind w:left="720"/>
        <w:jc w:val="both"/>
        <w:rPr>
          <w:rFonts w:ascii="Book Antiqua" w:eastAsia="Book Antiqua" w:hAnsi="Book Antiqua" w:cs="Book Antiqua"/>
          <w:lang w:val="es-PR"/>
        </w:rPr>
      </w:pPr>
      <w:r w:rsidRPr="00DC4A3F">
        <w:rPr>
          <w:rFonts w:ascii="Book Antiqua" w:eastAsia="Book Antiqua" w:hAnsi="Book Antiqua" w:cs="Book Antiqua"/>
          <w:lang w:val="es-PR"/>
        </w:rPr>
        <w:t xml:space="preserve">Sección </w:t>
      </w:r>
      <w:r w:rsidR="00435946">
        <w:rPr>
          <w:rFonts w:ascii="Book Antiqua" w:eastAsia="Book Antiqua" w:hAnsi="Book Antiqua" w:cs="Book Antiqua"/>
          <w:lang w:val="es-PR"/>
        </w:rPr>
        <w:t>5</w:t>
      </w:r>
      <w:r w:rsidRPr="00DC4A3F">
        <w:rPr>
          <w:rFonts w:ascii="Book Antiqua" w:eastAsia="Book Antiqua" w:hAnsi="Book Antiqua" w:cs="Book Antiqua"/>
          <w:lang w:val="es-PR"/>
        </w:rPr>
        <w:t xml:space="preserve">. - Esta Resolución entrará en vigor inmediatamente después de su aprobación.  </w:t>
      </w:r>
    </w:p>
    <w:sectPr w:rsidR="008C468D" w:rsidRPr="00DC4A3F"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DFD7C" w14:textId="77777777" w:rsidR="00127E5D" w:rsidRDefault="00127E5D" w:rsidP="00AA41A5">
      <w:r>
        <w:separator/>
      </w:r>
    </w:p>
  </w:endnote>
  <w:endnote w:type="continuationSeparator" w:id="0">
    <w:p w14:paraId="68CBEE8C" w14:textId="77777777" w:rsidR="00127E5D" w:rsidRDefault="00127E5D"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AE17C" w14:textId="77777777" w:rsidR="00127E5D" w:rsidRDefault="00127E5D" w:rsidP="00AA41A5">
      <w:r>
        <w:separator/>
      </w:r>
    </w:p>
  </w:footnote>
  <w:footnote w:type="continuationSeparator" w:id="0">
    <w:p w14:paraId="19BBBD90" w14:textId="77777777" w:rsidR="00127E5D" w:rsidRDefault="00127E5D"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077CBE"/>
    <w:multiLevelType w:val="hybridMultilevel"/>
    <w:tmpl w:val="694C05AC"/>
    <w:lvl w:ilvl="0" w:tplc="A5D43062">
      <w:start w:val="1"/>
      <w:numFmt w:val="lowerLetter"/>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16cid:durableId="1568876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00097"/>
    <w:rsid w:val="0004041B"/>
    <w:rsid w:val="00042DF8"/>
    <w:rsid w:val="000538DA"/>
    <w:rsid w:val="00083B26"/>
    <w:rsid w:val="000A30E3"/>
    <w:rsid w:val="000A4629"/>
    <w:rsid w:val="000D1F1F"/>
    <w:rsid w:val="000E4B18"/>
    <w:rsid w:val="0011684A"/>
    <w:rsid w:val="00127E5D"/>
    <w:rsid w:val="001320DC"/>
    <w:rsid w:val="00160F6D"/>
    <w:rsid w:val="00193155"/>
    <w:rsid w:val="00194286"/>
    <w:rsid w:val="001B2B73"/>
    <w:rsid w:val="001D2DBF"/>
    <w:rsid w:val="002052E6"/>
    <w:rsid w:val="00230E11"/>
    <w:rsid w:val="002424DB"/>
    <w:rsid w:val="00242E0A"/>
    <w:rsid w:val="0024736A"/>
    <w:rsid w:val="0026215B"/>
    <w:rsid w:val="0027244B"/>
    <w:rsid w:val="0027278C"/>
    <w:rsid w:val="00282514"/>
    <w:rsid w:val="002B303A"/>
    <w:rsid w:val="002C2DFB"/>
    <w:rsid w:val="002D266E"/>
    <w:rsid w:val="00322A68"/>
    <w:rsid w:val="00323764"/>
    <w:rsid w:val="0035718E"/>
    <w:rsid w:val="00361992"/>
    <w:rsid w:val="00366C4B"/>
    <w:rsid w:val="00387780"/>
    <w:rsid w:val="003941BA"/>
    <w:rsid w:val="003A6FBF"/>
    <w:rsid w:val="003B1283"/>
    <w:rsid w:val="003B14EF"/>
    <w:rsid w:val="003B6AD2"/>
    <w:rsid w:val="003D3D02"/>
    <w:rsid w:val="003E6683"/>
    <w:rsid w:val="003F7C77"/>
    <w:rsid w:val="00414BE4"/>
    <w:rsid w:val="00435946"/>
    <w:rsid w:val="00435C92"/>
    <w:rsid w:val="00457E9C"/>
    <w:rsid w:val="0046090E"/>
    <w:rsid w:val="00463E83"/>
    <w:rsid w:val="0047568F"/>
    <w:rsid w:val="004A5D3E"/>
    <w:rsid w:val="004B5791"/>
    <w:rsid w:val="004D3ACA"/>
    <w:rsid w:val="004D41A6"/>
    <w:rsid w:val="004E3C2C"/>
    <w:rsid w:val="005430B6"/>
    <w:rsid w:val="00546497"/>
    <w:rsid w:val="00551BBC"/>
    <w:rsid w:val="00556197"/>
    <w:rsid w:val="005B5674"/>
    <w:rsid w:val="006060C6"/>
    <w:rsid w:val="00632064"/>
    <w:rsid w:val="00634F42"/>
    <w:rsid w:val="00661174"/>
    <w:rsid w:val="00670D69"/>
    <w:rsid w:val="006712F0"/>
    <w:rsid w:val="006C2254"/>
    <w:rsid w:val="006C5128"/>
    <w:rsid w:val="00757D43"/>
    <w:rsid w:val="007671CE"/>
    <w:rsid w:val="00776D01"/>
    <w:rsid w:val="007850FE"/>
    <w:rsid w:val="0078549A"/>
    <w:rsid w:val="00791E8F"/>
    <w:rsid w:val="007A5E68"/>
    <w:rsid w:val="007B1F89"/>
    <w:rsid w:val="007B4B81"/>
    <w:rsid w:val="007B6BD4"/>
    <w:rsid w:val="007C0385"/>
    <w:rsid w:val="007E33F4"/>
    <w:rsid w:val="00805561"/>
    <w:rsid w:val="0081322A"/>
    <w:rsid w:val="00815EB4"/>
    <w:rsid w:val="00833F59"/>
    <w:rsid w:val="00852BDA"/>
    <w:rsid w:val="00883C7C"/>
    <w:rsid w:val="00891BA0"/>
    <w:rsid w:val="008C468D"/>
    <w:rsid w:val="008C7458"/>
    <w:rsid w:val="008D1E5F"/>
    <w:rsid w:val="008E40BE"/>
    <w:rsid w:val="008E4884"/>
    <w:rsid w:val="00967CC4"/>
    <w:rsid w:val="009A3887"/>
    <w:rsid w:val="009C6D3C"/>
    <w:rsid w:val="00A15735"/>
    <w:rsid w:val="00A53AD2"/>
    <w:rsid w:val="00A53BE7"/>
    <w:rsid w:val="00A90627"/>
    <w:rsid w:val="00A917FD"/>
    <w:rsid w:val="00AA41A5"/>
    <w:rsid w:val="00AA5AC5"/>
    <w:rsid w:val="00AC4B34"/>
    <w:rsid w:val="00BB35B9"/>
    <w:rsid w:val="00BB7B22"/>
    <w:rsid w:val="00BC1517"/>
    <w:rsid w:val="00CA069D"/>
    <w:rsid w:val="00CB026F"/>
    <w:rsid w:val="00CB12A9"/>
    <w:rsid w:val="00CB2F7D"/>
    <w:rsid w:val="00CD2747"/>
    <w:rsid w:val="00CD7861"/>
    <w:rsid w:val="00D01357"/>
    <w:rsid w:val="00D04BA4"/>
    <w:rsid w:val="00D168CA"/>
    <w:rsid w:val="00D328F4"/>
    <w:rsid w:val="00D3780C"/>
    <w:rsid w:val="00D5001E"/>
    <w:rsid w:val="00D51BF2"/>
    <w:rsid w:val="00D54165"/>
    <w:rsid w:val="00D6316F"/>
    <w:rsid w:val="00D9096B"/>
    <w:rsid w:val="00D94304"/>
    <w:rsid w:val="00D95F48"/>
    <w:rsid w:val="00DA01AF"/>
    <w:rsid w:val="00DC4A3F"/>
    <w:rsid w:val="00E11BB7"/>
    <w:rsid w:val="00E125CB"/>
    <w:rsid w:val="00E47E91"/>
    <w:rsid w:val="00E51B82"/>
    <w:rsid w:val="00E65A15"/>
    <w:rsid w:val="00E9376B"/>
    <w:rsid w:val="00EA53B4"/>
    <w:rsid w:val="00EC2F12"/>
    <w:rsid w:val="00EF0F23"/>
    <w:rsid w:val="00EF6435"/>
    <w:rsid w:val="00F60BE8"/>
    <w:rsid w:val="00F81AF5"/>
    <w:rsid w:val="00FC2E89"/>
    <w:rsid w:val="00FD42E7"/>
    <w:rsid w:val="00FD647F"/>
    <w:rsid w:val="00FE704B"/>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4.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879</Words>
  <Characters>4897</Characters>
  <Application>Microsoft Office Word</Application>
  <DocSecurity>0</DocSecurity>
  <Lines>103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4</cp:revision>
  <cp:lastPrinted>2026-02-26T13:27:00Z</cp:lastPrinted>
  <dcterms:created xsi:type="dcterms:W3CDTF">2026-02-26T17:51:00Z</dcterms:created>
  <dcterms:modified xsi:type="dcterms:W3CDTF">2026-02-27T13:49:00Z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