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84F51" w14:textId="77777777" w:rsidR="00FF6BD2" w:rsidRDefault="00721626" w:rsidP="00721626">
      <w:pPr>
        <w:jc w:val="center"/>
        <w:rPr>
          <w:rFonts w:ascii="Book Antiqua" w:hAnsi="Book Antiqua"/>
          <w:sz w:val="28"/>
          <w:lang w:val="es-ES_tradnl"/>
        </w:rPr>
      </w:pPr>
      <w:r>
        <w:rPr>
          <w:rFonts w:ascii="Book Antiqua" w:hAnsi="Book Antiqua"/>
          <w:sz w:val="28"/>
          <w:lang w:val="es-ES_tradnl"/>
        </w:rPr>
        <w:t>GOBIERNO DE PUERTO RICO</w:t>
      </w:r>
    </w:p>
    <w:p w14:paraId="46584F52" w14:textId="77777777" w:rsidR="00721626" w:rsidRDefault="00721626" w:rsidP="00721626">
      <w:pPr>
        <w:jc w:val="center"/>
        <w:rPr>
          <w:rFonts w:ascii="Book Antiqua" w:hAnsi="Book Antiqua"/>
          <w:sz w:val="28"/>
          <w:lang w:val="es-ES_tradnl"/>
        </w:rPr>
      </w:pPr>
    </w:p>
    <w:p w14:paraId="46584F53" w14:textId="1F27C440" w:rsidR="00721626" w:rsidRPr="00E5399A" w:rsidRDefault="00AA1D92" w:rsidP="00AA1D92">
      <w:pPr>
        <w:pStyle w:val="Title2"/>
        <w:tabs>
          <w:tab w:val="clear" w:pos="648"/>
          <w:tab w:val="clear" w:pos="7776"/>
          <w:tab w:val="clear" w:pos="7848"/>
        </w:tabs>
        <w:rPr>
          <w:rFonts w:ascii="Book Antiqua" w:hAnsi="Book Antiqua"/>
          <w:lang w:val="es-PR"/>
        </w:rPr>
      </w:pPr>
      <w:r w:rsidRPr="00E5399A">
        <w:rPr>
          <w:rFonts w:ascii="Book Antiqua" w:hAnsi="Book Antiqua"/>
          <w:lang w:val="es-PR"/>
        </w:rPr>
        <w:t>20ma.</w:t>
      </w:r>
      <w:r w:rsidR="00721626" w:rsidRPr="00E5399A">
        <w:rPr>
          <w:rFonts w:ascii="Book Antiqua" w:hAnsi="Book Antiqua"/>
          <w:lang w:val="es-PR"/>
        </w:rPr>
        <w:tab/>
        <w:t>Asamblea</w:t>
      </w:r>
      <w:r w:rsidR="00721626" w:rsidRPr="00E5399A">
        <w:rPr>
          <w:rFonts w:ascii="Book Antiqua" w:hAnsi="Book Antiqua"/>
          <w:lang w:val="es-PR"/>
        </w:rPr>
        <w:tab/>
      </w:r>
      <w:r w:rsidRPr="00E5399A">
        <w:rPr>
          <w:rFonts w:ascii="Book Antiqua" w:hAnsi="Book Antiqua"/>
          <w:lang w:val="es-PR"/>
        </w:rPr>
        <w:t xml:space="preserve">                                                                                               3ra. </w:t>
      </w:r>
      <w:r w:rsidR="00721626" w:rsidRPr="00E5399A">
        <w:rPr>
          <w:rFonts w:ascii="Book Antiqua" w:hAnsi="Book Antiqua"/>
          <w:lang w:val="es-PR"/>
        </w:rPr>
        <w:t>Sesión</w:t>
      </w:r>
    </w:p>
    <w:p w14:paraId="46584F54" w14:textId="56615C2F" w:rsidR="00721626" w:rsidRPr="00E5399A" w:rsidRDefault="00721626" w:rsidP="00AA1D92">
      <w:pPr>
        <w:pStyle w:val="Title2"/>
        <w:tabs>
          <w:tab w:val="clear" w:pos="648"/>
          <w:tab w:val="clear" w:pos="7776"/>
          <w:tab w:val="clear" w:pos="7848"/>
        </w:tabs>
        <w:rPr>
          <w:rFonts w:ascii="Book Antiqua" w:hAnsi="Book Antiqua"/>
          <w:lang w:val="es-PR"/>
        </w:rPr>
      </w:pPr>
      <w:r w:rsidRPr="00E5399A">
        <w:rPr>
          <w:rFonts w:ascii="Book Antiqua" w:hAnsi="Book Antiqua"/>
          <w:lang w:val="es-PR"/>
        </w:rPr>
        <w:tab/>
        <w:t>Legislativa</w:t>
      </w:r>
      <w:r w:rsidRPr="00E5399A">
        <w:rPr>
          <w:rFonts w:ascii="Book Antiqua" w:hAnsi="Book Antiqua"/>
          <w:lang w:val="es-PR"/>
        </w:rPr>
        <w:tab/>
      </w:r>
      <w:r w:rsidRPr="00E5399A">
        <w:rPr>
          <w:rFonts w:ascii="Book Antiqua" w:hAnsi="Book Antiqua"/>
          <w:lang w:val="es-PR"/>
        </w:rPr>
        <w:tab/>
      </w:r>
      <w:r w:rsidR="00AA1D92" w:rsidRPr="00E5399A">
        <w:rPr>
          <w:rFonts w:ascii="Book Antiqua" w:hAnsi="Book Antiqua"/>
          <w:lang w:val="es-PR"/>
        </w:rPr>
        <w:tab/>
      </w:r>
      <w:r w:rsidR="00AA1D92" w:rsidRPr="00E5399A">
        <w:rPr>
          <w:rFonts w:ascii="Book Antiqua" w:hAnsi="Book Antiqua"/>
          <w:lang w:val="es-PR"/>
        </w:rPr>
        <w:tab/>
      </w:r>
      <w:r w:rsidR="00AA1D92" w:rsidRPr="00E5399A">
        <w:rPr>
          <w:rFonts w:ascii="Book Antiqua" w:hAnsi="Book Antiqua"/>
          <w:lang w:val="es-PR"/>
        </w:rPr>
        <w:tab/>
      </w:r>
      <w:r w:rsidR="00AA1D92" w:rsidRPr="00E5399A">
        <w:rPr>
          <w:rFonts w:ascii="Book Antiqua" w:hAnsi="Book Antiqua"/>
          <w:lang w:val="es-PR"/>
        </w:rPr>
        <w:tab/>
      </w:r>
      <w:r w:rsidR="00AA1D92" w:rsidRPr="00E5399A">
        <w:rPr>
          <w:rFonts w:ascii="Book Antiqua" w:hAnsi="Book Antiqua"/>
          <w:lang w:val="es-PR"/>
        </w:rPr>
        <w:tab/>
      </w:r>
      <w:r w:rsidR="00AA1D92" w:rsidRPr="00E5399A">
        <w:rPr>
          <w:rFonts w:ascii="Book Antiqua" w:hAnsi="Book Antiqua"/>
          <w:lang w:val="es-PR"/>
        </w:rPr>
        <w:tab/>
      </w:r>
      <w:r w:rsidR="00AA1D92" w:rsidRPr="00E5399A">
        <w:rPr>
          <w:rFonts w:ascii="Book Antiqua" w:hAnsi="Book Antiqua"/>
          <w:lang w:val="es-PR"/>
        </w:rPr>
        <w:tab/>
        <w:t xml:space="preserve">      </w:t>
      </w:r>
      <w:r w:rsidRPr="00E5399A">
        <w:rPr>
          <w:rFonts w:ascii="Book Antiqua" w:hAnsi="Book Antiqua"/>
          <w:lang w:val="es-PR"/>
        </w:rPr>
        <w:t>Ordinaria</w:t>
      </w:r>
    </w:p>
    <w:p w14:paraId="46584F55" w14:textId="77777777" w:rsidR="00721626" w:rsidRPr="00E5399A" w:rsidRDefault="00721626" w:rsidP="00AA1D92">
      <w:pPr>
        <w:rPr>
          <w:lang w:val="es-PR"/>
        </w:rPr>
      </w:pPr>
    </w:p>
    <w:p w14:paraId="46584F56" w14:textId="77777777" w:rsidR="00721626" w:rsidRDefault="00721626" w:rsidP="00AA1D92">
      <w:pPr>
        <w:jc w:val="center"/>
        <w:rPr>
          <w:rFonts w:ascii="Book Antiqua" w:hAnsi="Book Antiqua"/>
          <w:b/>
          <w:sz w:val="36"/>
          <w:lang w:val="es-ES_tradnl"/>
        </w:rPr>
      </w:pPr>
      <w:r>
        <w:rPr>
          <w:rFonts w:ascii="Book Antiqua" w:hAnsi="Book Antiqua"/>
          <w:b/>
          <w:sz w:val="36"/>
          <w:lang w:val="es-ES_tradnl"/>
        </w:rPr>
        <w:t>CÁMARA DE REPRESENTANTES</w:t>
      </w:r>
    </w:p>
    <w:p w14:paraId="46584F57" w14:textId="77777777" w:rsidR="00721626" w:rsidRPr="00AA1D92" w:rsidRDefault="00721626" w:rsidP="00AA1D92">
      <w:pPr>
        <w:jc w:val="center"/>
        <w:rPr>
          <w:rFonts w:ascii="Book Antiqua" w:hAnsi="Book Antiqua"/>
          <w:b/>
          <w:szCs w:val="24"/>
          <w:lang w:val="es-ES_tradnl"/>
        </w:rPr>
      </w:pPr>
    </w:p>
    <w:p w14:paraId="46584F58" w14:textId="64465139" w:rsidR="00721626" w:rsidRDefault="00721626" w:rsidP="00AA1D92">
      <w:pPr>
        <w:jc w:val="center"/>
        <w:rPr>
          <w:rFonts w:ascii="Book Antiqua" w:hAnsi="Book Antiqua"/>
          <w:b/>
          <w:sz w:val="52"/>
          <w:lang w:val="es-ES_tradnl"/>
        </w:rPr>
      </w:pPr>
      <w:r>
        <w:rPr>
          <w:rFonts w:ascii="Book Antiqua" w:hAnsi="Book Antiqua"/>
          <w:b/>
          <w:sz w:val="52"/>
          <w:lang w:val="es-ES_tradnl"/>
        </w:rPr>
        <w:t xml:space="preserve">R. C. de la C. </w:t>
      </w:r>
      <w:r w:rsidR="008F2F35">
        <w:rPr>
          <w:rFonts w:ascii="Book Antiqua" w:hAnsi="Book Antiqua"/>
          <w:b/>
          <w:sz w:val="52"/>
          <w:lang w:val="es-ES_tradnl"/>
        </w:rPr>
        <w:t>303</w:t>
      </w:r>
    </w:p>
    <w:p w14:paraId="7F70CE64" w14:textId="77777777" w:rsidR="00AA1D92" w:rsidRDefault="00AA1D92" w:rsidP="00AA1D92">
      <w:pPr>
        <w:jc w:val="center"/>
        <w:rPr>
          <w:rFonts w:ascii="Book Antiqua" w:hAnsi="Book Antiqua"/>
          <w:lang w:val="es-ES_tradnl"/>
        </w:rPr>
      </w:pPr>
    </w:p>
    <w:p w14:paraId="46584F59" w14:textId="1D3117F5" w:rsidR="00721626" w:rsidRDefault="00721626" w:rsidP="00AA1D92">
      <w:pPr>
        <w:jc w:val="center"/>
        <w:rPr>
          <w:rFonts w:ascii="Book Antiqua" w:hAnsi="Book Antiqua"/>
          <w:lang w:val="es-ES_tradnl"/>
        </w:rPr>
      </w:pPr>
      <w:r>
        <w:rPr>
          <w:rFonts w:ascii="Book Antiqua" w:hAnsi="Book Antiqua"/>
          <w:lang w:val="es-ES_tradnl"/>
        </w:rPr>
        <w:t xml:space="preserve"> </w:t>
      </w:r>
      <w:r w:rsidR="008F2F35">
        <w:rPr>
          <w:rFonts w:ascii="Book Antiqua" w:hAnsi="Book Antiqua"/>
          <w:lang w:val="es-ES_tradnl"/>
        </w:rPr>
        <w:t xml:space="preserve">4 </w:t>
      </w:r>
      <w:r>
        <w:rPr>
          <w:rFonts w:ascii="Book Antiqua" w:hAnsi="Book Antiqua"/>
          <w:lang w:val="es-ES_tradnl"/>
        </w:rPr>
        <w:t xml:space="preserve">DE </w:t>
      </w:r>
      <w:r w:rsidR="0030418B">
        <w:rPr>
          <w:rFonts w:ascii="Book Antiqua" w:hAnsi="Book Antiqua"/>
          <w:lang w:val="es-ES_tradnl"/>
        </w:rPr>
        <w:t>MARZ</w:t>
      </w:r>
      <w:r w:rsidR="009E031C">
        <w:rPr>
          <w:rFonts w:ascii="Book Antiqua" w:hAnsi="Book Antiqua"/>
          <w:lang w:val="es-ES_tradnl"/>
        </w:rPr>
        <w:t>O</w:t>
      </w:r>
      <w:r>
        <w:rPr>
          <w:rFonts w:ascii="Book Antiqua" w:hAnsi="Book Antiqua"/>
          <w:lang w:val="es-ES_tradnl"/>
        </w:rPr>
        <w:t xml:space="preserve"> DE 202</w:t>
      </w:r>
      <w:r w:rsidR="00044E84">
        <w:rPr>
          <w:rFonts w:ascii="Book Antiqua" w:hAnsi="Book Antiqua"/>
          <w:lang w:val="es-ES_tradnl"/>
        </w:rPr>
        <w:t>6</w:t>
      </w:r>
    </w:p>
    <w:p w14:paraId="040C52D5" w14:textId="77777777" w:rsidR="00AA1D92" w:rsidRDefault="00AA1D92" w:rsidP="00AA1D92">
      <w:pPr>
        <w:jc w:val="center"/>
        <w:rPr>
          <w:rFonts w:ascii="Book Antiqua" w:hAnsi="Book Antiqua"/>
          <w:lang w:val="es-ES_tradnl"/>
        </w:rPr>
      </w:pPr>
    </w:p>
    <w:p w14:paraId="5D97D88F" w14:textId="503E6097" w:rsidR="00AA1D92" w:rsidRPr="00AA1D92" w:rsidRDefault="00AA1D92" w:rsidP="00AA1D92">
      <w:pPr>
        <w:jc w:val="center"/>
        <w:rPr>
          <w:rFonts w:ascii="Book Antiqua" w:hAnsi="Book Antiqua"/>
          <w:i/>
          <w:lang w:val="es-ES"/>
        </w:rPr>
      </w:pPr>
      <w:r w:rsidRPr="00AA1D92">
        <w:rPr>
          <w:rFonts w:ascii="Book Antiqua" w:hAnsi="Book Antiqua"/>
          <w:lang w:val="es-ES_tradnl"/>
        </w:rPr>
        <w:t xml:space="preserve">Presentada por </w:t>
      </w:r>
      <w:r w:rsidRPr="00AA1D92">
        <w:rPr>
          <w:rFonts w:ascii="Book Antiqua" w:hAnsi="Book Antiqua"/>
          <w:lang w:val="es-ES"/>
        </w:rPr>
        <w:t xml:space="preserve">el representante </w:t>
      </w:r>
      <w:r w:rsidRPr="00AA1D92">
        <w:rPr>
          <w:rFonts w:ascii="Book Antiqua" w:hAnsi="Book Antiqua"/>
          <w:i/>
          <w:lang w:val="es-ES"/>
        </w:rPr>
        <w:t xml:space="preserve">Márquez Lebrón; </w:t>
      </w:r>
    </w:p>
    <w:p w14:paraId="255BDC30" w14:textId="77777777" w:rsidR="00AA1D92" w:rsidRPr="00AA1D92" w:rsidRDefault="00AA1D92" w:rsidP="00AA1D92">
      <w:pPr>
        <w:jc w:val="center"/>
        <w:rPr>
          <w:rFonts w:ascii="Book Antiqua" w:hAnsi="Book Antiqua"/>
          <w:i/>
          <w:lang w:val="es-ES_tradnl"/>
        </w:rPr>
      </w:pPr>
      <w:r w:rsidRPr="00AA1D92">
        <w:rPr>
          <w:rFonts w:ascii="Book Antiqua" w:hAnsi="Book Antiqua"/>
          <w:iCs/>
          <w:lang w:val="es-ES"/>
        </w:rPr>
        <w:t>y las representantes</w:t>
      </w:r>
      <w:r w:rsidRPr="00AA1D92">
        <w:rPr>
          <w:rFonts w:ascii="Book Antiqua" w:hAnsi="Book Antiqua"/>
          <w:i/>
          <w:lang w:val="es-ES"/>
        </w:rPr>
        <w:t xml:space="preserve"> Gutiérrez Colón </w:t>
      </w:r>
      <w:r w:rsidRPr="00AA1D92">
        <w:rPr>
          <w:rFonts w:ascii="Book Antiqua" w:hAnsi="Book Antiqua"/>
          <w:iCs/>
          <w:lang w:val="es-ES"/>
        </w:rPr>
        <w:t>y</w:t>
      </w:r>
      <w:r w:rsidRPr="00AA1D92">
        <w:rPr>
          <w:rFonts w:ascii="Book Antiqua" w:hAnsi="Book Antiqua"/>
          <w:i/>
          <w:lang w:val="es-ES"/>
        </w:rPr>
        <w:t xml:space="preserve"> Lebrón Robles</w:t>
      </w:r>
    </w:p>
    <w:p w14:paraId="5649A7ED" w14:textId="77777777" w:rsidR="00AA1D92" w:rsidRDefault="00AA1D92" w:rsidP="00AA1D92">
      <w:pPr>
        <w:jc w:val="center"/>
        <w:rPr>
          <w:rFonts w:ascii="Book Antiqua" w:hAnsi="Book Antiqua"/>
          <w:lang w:val="es-ES_tradnl"/>
        </w:rPr>
      </w:pPr>
    </w:p>
    <w:p w14:paraId="46584F5B" w14:textId="2B300984" w:rsidR="00721626" w:rsidRDefault="00721626" w:rsidP="00AA1D92">
      <w:pPr>
        <w:jc w:val="center"/>
        <w:rPr>
          <w:rFonts w:ascii="Book Antiqua" w:hAnsi="Book Antiqua"/>
          <w:lang w:val="es-ES_tradnl"/>
        </w:rPr>
      </w:pPr>
      <w:r>
        <w:rPr>
          <w:rFonts w:ascii="Book Antiqua" w:hAnsi="Book Antiqua"/>
          <w:lang w:val="es-ES_tradnl"/>
        </w:rPr>
        <w:t xml:space="preserve">Referida a </w:t>
      </w:r>
      <w:r w:rsidR="00AA1D92">
        <w:rPr>
          <w:rFonts w:ascii="Book Antiqua" w:hAnsi="Book Antiqua"/>
          <w:lang w:val="es-ES_tradnl"/>
        </w:rPr>
        <w:t xml:space="preserve">la Comisión de </w:t>
      </w:r>
      <w:r w:rsidR="00E5399A">
        <w:rPr>
          <w:rFonts w:ascii="Book Antiqua" w:hAnsi="Book Antiqua"/>
          <w:lang w:val="es-ES_tradnl"/>
        </w:rPr>
        <w:t>Recursos Naturales</w:t>
      </w:r>
    </w:p>
    <w:p w14:paraId="46584F5C" w14:textId="77777777" w:rsidR="00721626" w:rsidRDefault="00721626" w:rsidP="00AA1D92">
      <w:pPr>
        <w:jc w:val="both"/>
        <w:rPr>
          <w:rFonts w:ascii="Book Antiqua" w:hAnsi="Book Antiqua"/>
          <w:lang w:val="es-ES_tradnl"/>
        </w:rPr>
      </w:pPr>
    </w:p>
    <w:p w14:paraId="46584F5D" w14:textId="77777777" w:rsidR="00721626" w:rsidRDefault="00721626" w:rsidP="00AA1D92">
      <w:pPr>
        <w:jc w:val="center"/>
        <w:rPr>
          <w:rFonts w:ascii="Book Antiqua" w:hAnsi="Book Antiqua"/>
          <w:b/>
          <w:sz w:val="28"/>
          <w:lang w:val="es-ES_tradnl"/>
        </w:rPr>
      </w:pPr>
      <w:r>
        <w:rPr>
          <w:rFonts w:ascii="Book Antiqua" w:hAnsi="Book Antiqua"/>
          <w:b/>
          <w:sz w:val="28"/>
          <w:lang w:val="es-ES_tradnl"/>
        </w:rPr>
        <w:t>RESOLUCIÓN CONJUNTA</w:t>
      </w:r>
    </w:p>
    <w:p w14:paraId="46584F5E" w14:textId="77777777" w:rsidR="00721626" w:rsidRDefault="00721626" w:rsidP="00AA1D92">
      <w:pPr>
        <w:jc w:val="both"/>
        <w:rPr>
          <w:rFonts w:ascii="Book Antiqua" w:hAnsi="Book Antiqua"/>
          <w:lang w:val="es-ES_tradnl"/>
        </w:rPr>
      </w:pPr>
    </w:p>
    <w:p w14:paraId="46584F5F" w14:textId="2029508E" w:rsidR="00721626" w:rsidRDefault="00721626" w:rsidP="00AA1D92">
      <w:pPr>
        <w:ind w:left="720" w:hanging="720"/>
        <w:jc w:val="both"/>
        <w:rPr>
          <w:rFonts w:ascii="Book Antiqua" w:hAnsi="Book Antiqua"/>
          <w:lang w:val="es-ES_tradnl"/>
        </w:rPr>
      </w:pPr>
      <w:r>
        <w:rPr>
          <w:rFonts w:ascii="Book Antiqua" w:hAnsi="Book Antiqua"/>
          <w:lang w:val="es-ES_tradnl"/>
        </w:rPr>
        <w:t xml:space="preserve">Para </w:t>
      </w:r>
      <w:r w:rsidR="00044E84" w:rsidRPr="00044E84">
        <w:rPr>
          <w:rFonts w:ascii="Book Antiqua" w:hAnsi="Book Antiqua"/>
          <w:lang w:val="es-PR"/>
        </w:rPr>
        <w:t>ordenar al Departamento de Recursos Naturales y Ambientales diseñar, desarrollar, implantar y mantener en su portal digital un Sistema de Consulta Pública de Casos Administrativos para modernizar la divulgación de la gestión administrativa, garantizar la transparencia y fortalecer el derecho de acceso a la información pública.</w:t>
      </w:r>
    </w:p>
    <w:p w14:paraId="352C696E" w14:textId="77777777" w:rsidR="00FF6424" w:rsidRDefault="00FF6424" w:rsidP="00AA1D92">
      <w:pPr>
        <w:ind w:left="360" w:hanging="360"/>
        <w:jc w:val="both"/>
        <w:rPr>
          <w:rFonts w:ascii="Book Antiqua" w:hAnsi="Book Antiqua"/>
          <w:lang w:val="es-ES_tradnl"/>
        </w:rPr>
      </w:pPr>
    </w:p>
    <w:p w14:paraId="46584F60" w14:textId="77777777" w:rsidR="00721626" w:rsidRDefault="00721626" w:rsidP="00AA1D92">
      <w:pPr>
        <w:ind w:firstLine="360"/>
        <w:jc w:val="center"/>
        <w:rPr>
          <w:rFonts w:ascii="Book Antiqua" w:hAnsi="Book Antiqua"/>
          <w:lang w:val="es-ES_tradnl"/>
        </w:rPr>
      </w:pPr>
      <w:r>
        <w:rPr>
          <w:rFonts w:ascii="Book Antiqua" w:hAnsi="Book Antiqua"/>
          <w:lang w:val="es-ES_tradnl"/>
        </w:rPr>
        <w:t>EXPOSICIÓN DE MOTIVOS</w:t>
      </w:r>
    </w:p>
    <w:p w14:paraId="233A649F" w14:textId="77777777" w:rsidR="00AA1D92" w:rsidRDefault="00AA1D92" w:rsidP="00AA1D92">
      <w:pPr>
        <w:ind w:firstLine="360"/>
        <w:jc w:val="center"/>
        <w:rPr>
          <w:rFonts w:ascii="Book Antiqua" w:hAnsi="Book Antiqua"/>
          <w:lang w:val="es-ES_tradnl"/>
        </w:rPr>
      </w:pPr>
    </w:p>
    <w:p w14:paraId="67D966A8" w14:textId="77777777" w:rsidR="00044E84" w:rsidRDefault="00044E84" w:rsidP="00AA1D92">
      <w:pPr>
        <w:ind w:firstLine="360"/>
        <w:jc w:val="both"/>
        <w:rPr>
          <w:rFonts w:ascii="Book Antiqua" w:hAnsi="Book Antiqua"/>
          <w:lang w:val="es-PR"/>
        </w:rPr>
      </w:pPr>
      <w:r w:rsidRPr="00044E84">
        <w:rPr>
          <w:rFonts w:ascii="Book Antiqua" w:hAnsi="Book Antiqua"/>
          <w:lang w:val="es-PR"/>
        </w:rPr>
        <w:t>El acceso a la información pública constituye un pilar esencial de toda democracia participativa y un componente indispensable para garantizar la transparencia, la rendición de cuentas y la confianza ciudadana en las instituciones del Estado. En Puerto Rico, este principio ha sido reconocido tanto por la jurisprudencia como por diversas leyes que afirman el derecho del pueblo a conocer cómo se toman las decisiones gubernamentales y cómo se administran las áreas naturales que pertenecen a toda la ciudadanía.</w:t>
      </w:r>
    </w:p>
    <w:p w14:paraId="47DFF8FE" w14:textId="77777777" w:rsidR="00AA1D92" w:rsidRPr="00044E84" w:rsidRDefault="00AA1D92" w:rsidP="00AA1D92">
      <w:pPr>
        <w:ind w:firstLine="360"/>
        <w:jc w:val="both"/>
        <w:rPr>
          <w:rFonts w:ascii="Book Antiqua" w:hAnsi="Book Antiqua"/>
          <w:lang w:val="es-PR"/>
        </w:rPr>
      </w:pPr>
    </w:p>
    <w:p w14:paraId="1A443A69" w14:textId="77777777" w:rsidR="00044E84" w:rsidRDefault="00044E84" w:rsidP="00AA1D92">
      <w:pPr>
        <w:ind w:firstLine="360"/>
        <w:jc w:val="both"/>
        <w:rPr>
          <w:rFonts w:ascii="Book Antiqua" w:hAnsi="Book Antiqua"/>
          <w:lang w:val="es-PR"/>
        </w:rPr>
      </w:pPr>
      <w:r w:rsidRPr="00044E84">
        <w:rPr>
          <w:rFonts w:ascii="Book Antiqua" w:hAnsi="Book Antiqua"/>
          <w:lang w:val="es-PR"/>
        </w:rPr>
        <w:t xml:space="preserve">El Departamento de Recursos Naturales y Ambientales (DRNA) ejerce una función de alto interés público al ser la agencia encargada de la protección, conservación y manejo de las áreas naturales y ambientales del país. Sus decisiones administrativas —incluyendo permisos, órdenes, resoluciones y determinaciones finales— tienen un impacto directo y significativo sobre la salud, el ambiente, el desarrollo económico, el uso de terrenos y la calidad de vida de las comunidades. No obstante, el acceso a la información relacionada con los casos administrativos que se tramitan ante el DRNA </w:t>
      </w:r>
      <w:r w:rsidRPr="00044E84">
        <w:rPr>
          <w:rFonts w:ascii="Book Antiqua" w:hAnsi="Book Antiqua"/>
          <w:lang w:val="es-PR"/>
        </w:rPr>
        <w:lastRenderedPageBreak/>
        <w:t>continúa siendo, en muchos casos, limitado, fragmentado y dependiente de gestiones presenciales o solicitudes formales que resultan onerosas y poco eficientes para la ciudadanía.</w:t>
      </w:r>
    </w:p>
    <w:p w14:paraId="7FBD2240" w14:textId="77777777" w:rsidR="00AA1D92" w:rsidRPr="00044E84" w:rsidRDefault="00AA1D92" w:rsidP="00AA1D92">
      <w:pPr>
        <w:ind w:firstLine="360"/>
        <w:jc w:val="both"/>
        <w:rPr>
          <w:rFonts w:ascii="Book Antiqua" w:hAnsi="Book Antiqua"/>
          <w:lang w:val="es-PR"/>
        </w:rPr>
      </w:pPr>
    </w:p>
    <w:p w14:paraId="46819FE4" w14:textId="77777777" w:rsidR="00044E84" w:rsidRDefault="00044E84" w:rsidP="00AA1D92">
      <w:pPr>
        <w:ind w:firstLine="360"/>
        <w:jc w:val="both"/>
        <w:rPr>
          <w:rFonts w:ascii="Book Antiqua" w:hAnsi="Book Antiqua"/>
          <w:lang w:val="es-PR"/>
        </w:rPr>
      </w:pPr>
      <w:r w:rsidRPr="00044E84">
        <w:rPr>
          <w:rFonts w:ascii="Book Antiqua" w:hAnsi="Book Antiqua"/>
          <w:lang w:val="es-PR"/>
        </w:rPr>
        <w:t>Actualmente, las personas interesadas en conocer el estado, el historial, el tracto o el resultado de un caso administrativo dirimido ante el DRNA enfrentan múltiples obstáculos, tales como la falta de un sistema digital centralizado, la ausencia de información actualizada en tiempo real y la dificultad para obtener copias de documentos oficiales como resoluciones, determinaciones u órdenes administrativas. Esta situación no solo retrasa el ejercicio del derecho al acceso a la información, sino que también debilita la fiscalización ciudadana y la participación informada en los procesos administrativos.</w:t>
      </w:r>
    </w:p>
    <w:p w14:paraId="73C89406" w14:textId="77777777" w:rsidR="00AA1D92" w:rsidRPr="00044E84" w:rsidRDefault="00AA1D92" w:rsidP="00AA1D92">
      <w:pPr>
        <w:ind w:firstLine="360"/>
        <w:jc w:val="both"/>
        <w:rPr>
          <w:rFonts w:ascii="Book Antiqua" w:hAnsi="Book Antiqua"/>
          <w:lang w:val="es-PR"/>
        </w:rPr>
      </w:pPr>
    </w:p>
    <w:p w14:paraId="75DFCE2F" w14:textId="77777777" w:rsidR="00044E84" w:rsidRDefault="00044E84" w:rsidP="00AA1D92">
      <w:pPr>
        <w:ind w:firstLine="360"/>
        <w:jc w:val="both"/>
        <w:rPr>
          <w:rFonts w:ascii="Book Antiqua" w:hAnsi="Book Antiqua"/>
          <w:lang w:val="es-PR"/>
        </w:rPr>
      </w:pPr>
      <w:r w:rsidRPr="00044E84">
        <w:rPr>
          <w:rFonts w:ascii="Book Antiqua" w:hAnsi="Book Antiqua"/>
          <w:lang w:val="es-PR"/>
        </w:rPr>
        <w:t>La viabilidad y efectividad de los sistemas de consulta pública de casos ya ha sido demostrada en otras ramas del Gobierno de Puerto Rico. Un ejemplo claro es el Sistema Unificado de Manejo y Administración de Casos (SUMAC), una herramienta tecnológica utilizada por los Tribunales de Puerto Rico a través del portal del Poder Judicial. Mediante este sistema, las partes involucradas y la ciudadanía pueden consultar electrónicamente el estado y el tracto procesal de los casos judiciales, así como acceder a documentos presentados y órdenes emitidas por los tribunales, lo que ha fortalecido significativamente la transparencia y la eficiencia del sistema judicial.</w:t>
      </w:r>
    </w:p>
    <w:p w14:paraId="64C514B2" w14:textId="77777777" w:rsidR="00AA1D92" w:rsidRPr="00044E84" w:rsidRDefault="00AA1D92" w:rsidP="00AA1D92">
      <w:pPr>
        <w:ind w:firstLine="360"/>
        <w:jc w:val="both"/>
        <w:rPr>
          <w:rFonts w:ascii="Book Antiqua" w:hAnsi="Book Antiqua"/>
          <w:lang w:val="es-PR"/>
        </w:rPr>
      </w:pPr>
    </w:p>
    <w:p w14:paraId="25F5D18B" w14:textId="77777777" w:rsidR="00044E84" w:rsidRDefault="00044E84" w:rsidP="00AA1D92">
      <w:pPr>
        <w:ind w:firstLine="360"/>
        <w:jc w:val="both"/>
        <w:rPr>
          <w:rFonts w:ascii="Book Antiqua" w:hAnsi="Book Antiqua"/>
          <w:lang w:val="es-PR"/>
        </w:rPr>
      </w:pPr>
      <w:r w:rsidRPr="00044E84">
        <w:rPr>
          <w:rFonts w:ascii="Book Antiqua" w:hAnsi="Book Antiqua"/>
          <w:lang w:val="es-PR"/>
        </w:rPr>
        <w:t>De igual forma, la Asamblea Legislativa cuenta con el Sistema Único de Trámite Legislativo (SUTRA), una plataforma digital que permite a la ciudadanía dar seguimiento al trámite de las medidas legislativas, acceder al texto completo de proyectos, resoluciones y leyes aprobadas, así como consultar información histórica sobre la labor legislativa. Este sistema ha contribuido a democratizar el acceso a la información legislativa y a fomentar una participación ciudadana más informada y activa en los procesos democráticos.</w:t>
      </w:r>
    </w:p>
    <w:p w14:paraId="5DDB2989" w14:textId="77777777" w:rsidR="00AA1D92" w:rsidRPr="00044E84" w:rsidRDefault="00AA1D92" w:rsidP="00AA1D92">
      <w:pPr>
        <w:ind w:firstLine="360"/>
        <w:jc w:val="both"/>
        <w:rPr>
          <w:rFonts w:ascii="Book Antiqua" w:hAnsi="Book Antiqua"/>
          <w:lang w:val="es-PR"/>
        </w:rPr>
      </w:pPr>
    </w:p>
    <w:p w14:paraId="62748DB2" w14:textId="77777777" w:rsidR="00044E84" w:rsidRDefault="00044E84" w:rsidP="00AA1D92">
      <w:pPr>
        <w:ind w:firstLine="360"/>
        <w:jc w:val="both"/>
        <w:rPr>
          <w:rFonts w:ascii="Book Antiqua" w:hAnsi="Book Antiqua"/>
          <w:lang w:val="es-PR"/>
        </w:rPr>
      </w:pPr>
      <w:r w:rsidRPr="00044E84">
        <w:rPr>
          <w:rFonts w:ascii="Book Antiqua" w:hAnsi="Book Antiqua"/>
          <w:lang w:val="es-PR"/>
        </w:rPr>
        <w:t>Estos precedentes evidencian que la creación de un Sistema de Consulta de Casos en el DRNA no solo es viable, sino necesaria y consistente con las mejores prácticas de transparencia ya adoptadas por otras instituciones públicas en Puerto Rico. Dicho sistema permitiría a cualquier persona conocer de manera clara, sencilla y accesible el tracto procesal de los casos administrativos ante el DRNA, incluyendo el acceso electrónico a documentos relevantes como querellas, mociones, resoluciones, órdenes administrativas y determinaciones finales.</w:t>
      </w:r>
    </w:p>
    <w:p w14:paraId="2AA42ACA" w14:textId="77777777" w:rsidR="00AA1D92" w:rsidRPr="00044E84" w:rsidRDefault="00AA1D92" w:rsidP="00AA1D92">
      <w:pPr>
        <w:ind w:firstLine="360"/>
        <w:jc w:val="both"/>
        <w:rPr>
          <w:rFonts w:ascii="Book Antiqua" w:hAnsi="Book Antiqua"/>
          <w:lang w:val="es-PR"/>
        </w:rPr>
      </w:pPr>
    </w:p>
    <w:p w14:paraId="2C6CDB74" w14:textId="77777777" w:rsidR="00044E84" w:rsidRDefault="00044E84" w:rsidP="00AA1D92">
      <w:pPr>
        <w:ind w:firstLine="360"/>
        <w:jc w:val="both"/>
        <w:rPr>
          <w:rFonts w:ascii="Book Antiqua" w:hAnsi="Book Antiqua"/>
          <w:lang w:val="es-PR"/>
        </w:rPr>
      </w:pPr>
      <w:r w:rsidRPr="00044E84">
        <w:rPr>
          <w:rFonts w:ascii="Book Antiqua" w:hAnsi="Book Antiqua"/>
          <w:lang w:val="es-PR"/>
        </w:rPr>
        <w:t xml:space="preserve">La implantación de este mecanismo tecnológico representa un paso fundamental hacia la modernización de la gestión pública, el fortalecimiento de la rendición de cuentas y la garantía efectiva del derecho al acceso a la información. Asimismo, promueve la eficiencia administrativa, reduce costos operacionales, minimiza la discreción indebida en el manejo de información pública y facilita la participación de comunidades, </w:t>
      </w:r>
      <w:r w:rsidRPr="00044E84">
        <w:rPr>
          <w:rFonts w:ascii="Book Antiqua" w:hAnsi="Book Antiqua"/>
          <w:lang w:val="es-PR"/>
        </w:rPr>
        <w:lastRenderedPageBreak/>
        <w:t>organizaciones ambientales, profesionales y ciudadanos en general en la defensa y protección del ambiente.</w:t>
      </w:r>
    </w:p>
    <w:p w14:paraId="3F5044AD" w14:textId="77777777" w:rsidR="00AA1D92" w:rsidRPr="00044E84" w:rsidRDefault="00AA1D92" w:rsidP="00AA1D92">
      <w:pPr>
        <w:ind w:firstLine="360"/>
        <w:jc w:val="both"/>
        <w:rPr>
          <w:rFonts w:ascii="Book Antiqua" w:hAnsi="Book Antiqua"/>
          <w:lang w:val="es-PR"/>
        </w:rPr>
      </w:pPr>
    </w:p>
    <w:p w14:paraId="46584F66" w14:textId="672BB94B" w:rsidR="00721626" w:rsidRDefault="00044E84" w:rsidP="00AA1D92">
      <w:pPr>
        <w:ind w:firstLine="360"/>
        <w:jc w:val="both"/>
        <w:rPr>
          <w:rFonts w:ascii="Book Antiqua" w:hAnsi="Book Antiqua"/>
          <w:lang w:val="es-PR"/>
        </w:rPr>
      </w:pPr>
      <w:r w:rsidRPr="00044E84">
        <w:rPr>
          <w:rFonts w:ascii="Book Antiqua" w:hAnsi="Book Antiqua"/>
          <w:lang w:val="es-PR"/>
        </w:rPr>
        <w:t>En un contexto en el que los asuntos ambientales requieren cada vez mayor escrutinio público y en el que la tecnología ofrece herramientas accesibles para democratizar la información, resulta impostergable que el Gobierno adopte mecanismos que acerquen la gestión gubernamental al pueblo.  Esta Asamblea Legislativa entiende la necesidad apremiante de reafirmar el compromiso con la transparencia, la justicia administrativa y el derecho del pueblo a estar debidamente informado sobre los procesos en el Departamento de Recursos Naturales y Ambientales, y considera meritorio la aprobación de esta medida.</w:t>
      </w:r>
    </w:p>
    <w:p w14:paraId="3FDA8C46" w14:textId="77777777" w:rsidR="00AA1D92" w:rsidRDefault="00AA1D92" w:rsidP="00AA1D92">
      <w:pPr>
        <w:ind w:firstLine="360"/>
        <w:jc w:val="both"/>
        <w:rPr>
          <w:rFonts w:ascii="Book Antiqua" w:hAnsi="Book Antiqua"/>
          <w:lang w:val="es-ES_tradnl"/>
        </w:rPr>
      </w:pPr>
    </w:p>
    <w:p w14:paraId="46584F67" w14:textId="77777777" w:rsidR="00721626" w:rsidRDefault="00721626" w:rsidP="00AA1D92">
      <w:pPr>
        <w:rPr>
          <w:rFonts w:ascii="Book Antiqua" w:hAnsi="Book Antiqua"/>
          <w:i/>
          <w:lang w:val="es-ES_tradnl"/>
        </w:rPr>
      </w:pPr>
      <w:r>
        <w:rPr>
          <w:rFonts w:ascii="Book Antiqua" w:hAnsi="Book Antiqua"/>
          <w:i/>
          <w:lang w:val="es-ES_tradnl"/>
        </w:rPr>
        <w:t>RESUÉLVESE POR LA ASAMBLEA LEGISLATIVA DE PUERTO RICO:</w:t>
      </w:r>
    </w:p>
    <w:p w14:paraId="37464779" w14:textId="77777777" w:rsidR="00721626" w:rsidRDefault="00721626" w:rsidP="00AA1D92">
      <w:pPr>
        <w:jc w:val="both"/>
        <w:rPr>
          <w:rFonts w:ascii="Book Antiqua" w:hAnsi="Book Antiqua"/>
          <w:lang w:val="es-ES_tradnl"/>
        </w:rPr>
      </w:pPr>
    </w:p>
    <w:p w14:paraId="46584F68" w14:textId="77777777" w:rsidR="00AA1D92" w:rsidRDefault="00AA1D92" w:rsidP="00AA1D92">
      <w:pPr>
        <w:jc w:val="both"/>
        <w:rPr>
          <w:rFonts w:ascii="Book Antiqua" w:hAnsi="Book Antiqua"/>
          <w:lang w:val="es-ES_tradnl"/>
        </w:rPr>
        <w:sectPr w:rsidR="00AA1D92">
          <w:headerReference w:type="default" r:id="rId8"/>
          <w:type w:val="continuous"/>
          <w:pgSz w:w="12240" w:h="15840" w:code="1"/>
          <w:pgMar w:top="1440" w:right="1440" w:bottom="1440" w:left="1440" w:header="720" w:footer="720" w:gutter="0"/>
          <w:cols w:space="720"/>
          <w:titlePg/>
        </w:sectPr>
      </w:pPr>
    </w:p>
    <w:p w14:paraId="27F8945C" w14:textId="4F5C76A1" w:rsidR="00044E84" w:rsidRPr="00D55219" w:rsidRDefault="00044E84" w:rsidP="00AA1D92">
      <w:pPr>
        <w:spacing w:line="480" w:lineRule="auto"/>
        <w:ind w:firstLine="360"/>
        <w:jc w:val="both"/>
        <w:rPr>
          <w:rFonts w:ascii="Book Antiqua" w:hAnsi="Book Antiqua"/>
          <w:color w:val="000000"/>
          <w:lang w:val="es-PR"/>
        </w:rPr>
      </w:pPr>
      <w:r>
        <w:rPr>
          <w:rFonts w:ascii="Book Antiqua" w:hAnsi="Book Antiqua"/>
          <w:lang w:val="es-ES_tradnl"/>
        </w:rPr>
        <w:t xml:space="preserve">Sección 1. – Se ordena </w:t>
      </w:r>
      <w:r w:rsidRPr="00A0661C">
        <w:rPr>
          <w:rFonts w:ascii="Book Antiqua" w:hAnsi="Book Antiqua"/>
          <w:lang w:val="es-ES_tradnl"/>
        </w:rPr>
        <w:t>al Departamento de Recursos Naturales y Ambientales</w:t>
      </w:r>
      <w:r>
        <w:rPr>
          <w:rFonts w:ascii="Book Antiqua" w:hAnsi="Book Antiqua"/>
          <w:color w:val="FF0000"/>
          <w:lang w:val="es-ES_tradnl"/>
        </w:rPr>
        <w:t xml:space="preserve"> </w:t>
      </w:r>
      <w:r w:rsidRPr="00D55219">
        <w:rPr>
          <w:rFonts w:ascii="Book Antiqua" w:hAnsi="Book Antiqua"/>
          <w:lang w:val="es-ES_tradnl"/>
        </w:rPr>
        <w:t>diseñar, desarrollar, implantar y mantener</w:t>
      </w:r>
      <w:r w:rsidRPr="00A0661C">
        <w:rPr>
          <w:rFonts w:ascii="Book Antiqua" w:hAnsi="Book Antiqua"/>
          <w:lang w:val="es-ES_tradnl"/>
        </w:rPr>
        <w:t xml:space="preserve"> en su </w:t>
      </w:r>
      <w:r>
        <w:rPr>
          <w:rFonts w:ascii="Book Antiqua" w:hAnsi="Book Antiqua"/>
          <w:lang w:val="es-ES_tradnl"/>
        </w:rPr>
        <w:t>portal</w:t>
      </w:r>
      <w:r w:rsidRPr="00A0661C">
        <w:rPr>
          <w:rFonts w:ascii="Book Antiqua" w:hAnsi="Book Antiqua"/>
          <w:lang w:val="es-ES_tradnl"/>
        </w:rPr>
        <w:t xml:space="preserve"> digital un Sistema de Consulta Pública de Casos Administrativos</w:t>
      </w:r>
      <w:r>
        <w:rPr>
          <w:rFonts w:ascii="Book Antiqua" w:hAnsi="Book Antiqua"/>
          <w:lang w:val="es-ES_tradnl"/>
        </w:rPr>
        <w:t xml:space="preserve"> </w:t>
      </w:r>
      <w:r w:rsidRPr="00D55219">
        <w:rPr>
          <w:rFonts w:ascii="Book Antiqua" w:hAnsi="Book Antiqua"/>
          <w:color w:val="000000"/>
          <w:lang w:val="es-ES_tradnl"/>
        </w:rPr>
        <w:t>que permita a cualquier persona consultar electrónicamente el tracto procesal de los casos administrativos que se tramitan o se hayan tramitado ante dicha agencia</w:t>
      </w:r>
      <w:r>
        <w:rPr>
          <w:rFonts w:ascii="Book Antiqua" w:hAnsi="Book Antiqua"/>
          <w:color w:val="000000"/>
          <w:lang w:val="es-ES_tradnl"/>
        </w:rPr>
        <w:t xml:space="preserve">. </w:t>
      </w:r>
    </w:p>
    <w:p w14:paraId="06605A74" w14:textId="2C9E46D0" w:rsidR="00044E84" w:rsidRPr="00D55219" w:rsidRDefault="00044E84" w:rsidP="00AA1D92">
      <w:pPr>
        <w:spacing w:line="480" w:lineRule="auto"/>
        <w:ind w:firstLine="360"/>
        <w:jc w:val="both"/>
        <w:rPr>
          <w:rFonts w:ascii="Book Antiqua" w:hAnsi="Book Antiqua"/>
          <w:lang w:val="es-PR"/>
        </w:rPr>
      </w:pPr>
      <w:r>
        <w:rPr>
          <w:rFonts w:ascii="Book Antiqua" w:hAnsi="Book Antiqua"/>
          <w:lang w:val="es-PR"/>
        </w:rPr>
        <w:t xml:space="preserve">Sección 2. </w:t>
      </w:r>
      <w:r>
        <w:rPr>
          <w:rFonts w:ascii="Book Antiqua" w:hAnsi="Book Antiqua"/>
          <w:lang w:val="es-ES_tradnl"/>
        </w:rPr>
        <w:t>–</w:t>
      </w:r>
      <w:r>
        <w:rPr>
          <w:rFonts w:ascii="Book Antiqua" w:hAnsi="Book Antiqua"/>
          <w:lang w:val="es-PR"/>
        </w:rPr>
        <w:t xml:space="preserve"> </w:t>
      </w:r>
      <w:r w:rsidRPr="00D55219">
        <w:rPr>
          <w:rFonts w:ascii="Book Antiqua" w:hAnsi="Book Antiqua"/>
          <w:lang w:val="es-PR"/>
        </w:rPr>
        <w:t xml:space="preserve">El </w:t>
      </w:r>
      <w:r>
        <w:rPr>
          <w:rFonts w:ascii="Book Antiqua" w:hAnsi="Book Antiqua"/>
          <w:lang w:val="es-PR"/>
        </w:rPr>
        <w:t>Sistema</w:t>
      </w:r>
      <w:r w:rsidRPr="00D55219">
        <w:rPr>
          <w:rFonts w:ascii="Book Antiqua" w:hAnsi="Book Antiqua"/>
          <w:lang w:val="es-PR"/>
        </w:rPr>
        <w:t xml:space="preserve"> de Consulta Pública de Casos deberá incluir, como mínimo, la siguiente información y funcionalidades:</w:t>
      </w:r>
    </w:p>
    <w:p w14:paraId="397ABD21" w14:textId="77777777" w:rsidR="00044E84" w:rsidRDefault="00044E84" w:rsidP="00AA1D92">
      <w:pPr>
        <w:numPr>
          <w:ilvl w:val="0"/>
          <w:numId w:val="5"/>
        </w:numPr>
        <w:suppressAutoHyphens/>
        <w:spacing w:line="480" w:lineRule="auto"/>
        <w:jc w:val="both"/>
        <w:rPr>
          <w:rFonts w:ascii="Book Antiqua" w:hAnsi="Book Antiqua"/>
          <w:lang w:val="es-PR"/>
        </w:rPr>
      </w:pPr>
      <w:r w:rsidRPr="00D55219">
        <w:rPr>
          <w:rFonts w:ascii="Book Antiqua" w:hAnsi="Book Antiqua"/>
          <w:lang w:val="es-PR"/>
        </w:rPr>
        <w:t>Un identificador único del caso administrativo;</w:t>
      </w:r>
    </w:p>
    <w:p w14:paraId="34B65C2D" w14:textId="77777777" w:rsidR="00044E84" w:rsidRDefault="00044E84" w:rsidP="00AA1D92">
      <w:pPr>
        <w:numPr>
          <w:ilvl w:val="0"/>
          <w:numId w:val="5"/>
        </w:numPr>
        <w:suppressAutoHyphens/>
        <w:spacing w:line="480" w:lineRule="auto"/>
        <w:jc w:val="both"/>
        <w:rPr>
          <w:rFonts w:ascii="Book Antiqua" w:hAnsi="Book Antiqua"/>
          <w:lang w:val="es-PR"/>
        </w:rPr>
      </w:pPr>
      <w:r w:rsidRPr="00201B5C">
        <w:rPr>
          <w:rFonts w:ascii="Book Antiqua" w:hAnsi="Book Antiqua"/>
          <w:lang w:val="es-PR"/>
        </w:rPr>
        <w:t>La naturaleza del caso y la oficina o dependencia del DRNA responsable de su trámite;</w:t>
      </w:r>
    </w:p>
    <w:p w14:paraId="52FB053C" w14:textId="77777777" w:rsidR="00044E84" w:rsidRDefault="00044E84" w:rsidP="00AA1D92">
      <w:pPr>
        <w:numPr>
          <w:ilvl w:val="0"/>
          <w:numId w:val="5"/>
        </w:numPr>
        <w:suppressAutoHyphens/>
        <w:spacing w:line="480" w:lineRule="auto"/>
        <w:jc w:val="both"/>
        <w:rPr>
          <w:rFonts w:ascii="Book Antiqua" w:hAnsi="Book Antiqua"/>
          <w:lang w:val="es-PR"/>
        </w:rPr>
      </w:pPr>
      <w:r w:rsidRPr="00201B5C">
        <w:rPr>
          <w:rFonts w:ascii="Book Antiqua" w:hAnsi="Book Antiqua"/>
          <w:lang w:val="es-PR"/>
        </w:rPr>
        <w:t>El estado procesal del caso y su historial cronológico de actuaciones;</w:t>
      </w:r>
    </w:p>
    <w:p w14:paraId="0304B54E" w14:textId="77777777" w:rsidR="00044E84" w:rsidRDefault="00044E84" w:rsidP="00AA1D92">
      <w:pPr>
        <w:numPr>
          <w:ilvl w:val="0"/>
          <w:numId w:val="5"/>
        </w:numPr>
        <w:suppressAutoHyphens/>
        <w:spacing w:line="480" w:lineRule="auto"/>
        <w:jc w:val="both"/>
        <w:rPr>
          <w:rFonts w:ascii="Book Antiqua" w:hAnsi="Book Antiqua"/>
          <w:lang w:val="es-PR"/>
        </w:rPr>
      </w:pPr>
      <w:r w:rsidRPr="00201B5C">
        <w:rPr>
          <w:rFonts w:ascii="Book Antiqua" w:hAnsi="Book Antiqua"/>
          <w:lang w:val="es-PR"/>
        </w:rPr>
        <w:t>Las fechas relevantes del proceso administrativo;</w:t>
      </w:r>
    </w:p>
    <w:p w14:paraId="66AC1107" w14:textId="77777777" w:rsidR="00044E84" w:rsidRDefault="00044E84" w:rsidP="00AA1D92">
      <w:pPr>
        <w:numPr>
          <w:ilvl w:val="0"/>
          <w:numId w:val="5"/>
        </w:numPr>
        <w:suppressAutoHyphens/>
        <w:spacing w:line="480" w:lineRule="auto"/>
        <w:jc w:val="both"/>
        <w:rPr>
          <w:rFonts w:ascii="Book Antiqua" w:hAnsi="Book Antiqua"/>
          <w:lang w:val="es-PR"/>
        </w:rPr>
      </w:pPr>
      <w:r w:rsidRPr="00201B5C">
        <w:rPr>
          <w:rFonts w:ascii="Book Antiqua" w:hAnsi="Book Antiqua"/>
          <w:lang w:val="es-PR"/>
        </w:rPr>
        <w:t xml:space="preserve">Acceso electrónico a documentos públicos relacionados con el caso, incluyendo, pero sin limitarse a, querellas, mociones, informes, órdenes administrativas, </w:t>
      </w:r>
      <w:r w:rsidRPr="00201B5C">
        <w:rPr>
          <w:rFonts w:ascii="Book Antiqua" w:hAnsi="Book Antiqua"/>
          <w:lang w:val="es-PR"/>
        </w:rPr>
        <w:lastRenderedPageBreak/>
        <w:t>resoluciones, determinaciones finales y cualquier otro documento que sea público conforme a ley;</w:t>
      </w:r>
    </w:p>
    <w:p w14:paraId="72163360" w14:textId="77777777" w:rsidR="00044E84" w:rsidRPr="00201B5C" w:rsidRDefault="00044E84" w:rsidP="00AA1D92">
      <w:pPr>
        <w:numPr>
          <w:ilvl w:val="0"/>
          <w:numId w:val="5"/>
        </w:numPr>
        <w:suppressAutoHyphens/>
        <w:spacing w:line="480" w:lineRule="auto"/>
        <w:jc w:val="both"/>
        <w:rPr>
          <w:rFonts w:ascii="Book Antiqua" w:hAnsi="Book Antiqua"/>
          <w:lang w:val="es-PR"/>
        </w:rPr>
      </w:pPr>
      <w:r w:rsidRPr="00201B5C">
        <w:rPr>
          <w:rFonts w:ascii="Book Antiqua" w:hAnsi="Book Antiqua"/>
          <w:lang w:val="es-PR"/>
        </w:rPr>
        <w:t>Un mecanismo de búsqueda que permita localizar casos por número, asunto, ubicación, tipo de recurso natural involucrado u otros criterios razonables.</w:t>
      </w:r>
    </w:p>
    <w:p w14:paraId="58BDE80E" w14:textId="4256B1B4" w:rsidR="00044E84" w:rsidRDefault="00044E84" w:rsidP="00AA1D92">
      <w:pPr>
        <w:spacing w:line="480" w:lineRule="auto"/>
        <w:ind w:firstLine="360"/>
        <w:jc w:val="both"/>
        <w:rPr>
          <w:rFonts w:ascii="Book Antiqua" w:hAnsi="Book Antiqua"/>
          <w:lang w:val="es-ES_tradnl"/>
        </w:rPr>
      </w:pPr>
      <w:r>
        <w:rPr>
          <w:rFonts w:ascii="Book Antiqua" w:hAnsi="Book Antiqua"/>
          <w:lang w:val="es-ES_tradnl"/>
        </w:rPr>
        <w:t xml:space="preserve">Sección 3. – </w:t>
      </w:r>
      <w:r w:rsidRPr="00D55219">
        <w:rPr>
          <w:rFonts w:ascii="Book Antiqua" w:hAnsi="Book Antiqua"/>
          <w:lang w:val="es-ES_tradnl"/>
        </w:rPr>
        <w:t xml:space="preserve">El </w:t>
      </w:r>
      <w:r>
        <w:rPr>
          <w:rFonts w:ascii="Book Antiqua" w:hAnsi="Book Antiqua"/>
          <w:lang w:val="es-ES_tradnl"/>
        </w:rPr>
        <w:t>Sistema</w:t>
      </w:r>
      <w:r w:rsidRPr="00D55219">
        <w:rPr>
          <w:rFonts w:ascii="Book Antiqua" w:hAnsi="Book Antiqua"/>
          <w:lang w:val="es-ES_tradnl"/>
        </w:rPr>
        <w:t xml:space="preserve"> de Consulta Pública de Casos deberá operar conforme a los principios de transparencia, acceso a la información pública y rendición de cuentas, garantizando a su vez la protección de información confidencial, privilegiada o protegida por ley, reglamento u orden judicial, según corresponda.</w:t>
      </w:r>
    </w:p>
    <w:p w14:paraId="087C366F" w14:textId="7AB21313" w:rsidR="00044E84" w:rsidRDefault="00044E84" w:rsidP="00AA1D92">
      <w:pPr>
        <w:spacing w:line="480" w:lineRule="auto"/>
        <w:ind w:firstLine="360"/>
        <w:jc w:val="both"/>
        <w:rPr>
          <w:rFonts w:ascii="Book Antiqua" w:hAnsi="Book Antiqua"/>
          <w:lang w:val="es-ES_tradnl"/>
        </w:rPr>
      </w:pPr>
      <w:r>
        <w:rPr>
          <w:rFonts w:ascii="Book Antiqua" w:hAnsi="Book Antiqua"/>
          <w:lang w:val="es-ES_tradnl"/>
        </w:rPr>
        <w:t xml:space="preserve">Sección 4. – </w:t>
      </w:r>
      <w:r w:rsidRPr="00722AF8">
        <w:rPr>
          <w:rFonts w:ascii="Book Antiqua" w:hAnsi="Book Antiqua"/>
          <w:lang w:val="es-ES_tradnl"/>
        </w:rPr>
        <w:t xml:space="preserve">Se autoriza al Departamento de Recursos Naturales y Ambientales a adoptar o enmendar los reglamentos, normas administrativas y protocolos internos que sean necesarios para la implantación y funcionamiento efectivo del </w:t>
      </w:r>
      <w:r>
        <w:rPr>
          <w:rFonts w:ascii="Book Antiqua" w:hAnsi="Book Antiqua"/>
          <w:lang w:val="es-ES_tradnl"/>
        </w:rPr>
        <w:t>Sistema</w:t>
      </w:r>
      <w:r w:rsidRPr="00722AF8">
        <w:rPr>
          <w:rFonts w:ascii="Book Antiqua" w:hAnsi="Book Antiqua"/>
          <w:lang w:val="es-ES_tradnl"/>
        </w:rPr>
        <w:t xml:space="preserve"> de Consulta Pública de Casos</w:t>
      </w:r>
      <w:r>
        <w:rPr>
          <w:rFonts w:ascii="Book Antiqua" w:hAnsi="Book Antiqua"/>
          <w:lang w:val="es-ES_tradnl"/>
        </w:rPr>
        <w:t>.</w:t>
      </w:r>
    </w:p>
    <w:p w14:paraId="2040EF88" w14:textId="739E17DE" w:rsidR="00044E84" w:rsidRDefault="00044E84" w:rsidP="00AA1D92">
      <w:pPr>
        <w:spacing w:line="480" w:lineRule="auto"/>
        <w:ind w:firstLine="360"/>
        <w:jc w:val="both"/>
        <w:rPr>
          <w:rFonts w:ascii="Book Antiqua" w:hAnsi="Book Antiqua"/>
          <w:lang w:val="es-ES_tradnl"/>
        </w:rPr>
      </w:pPr>
      <w:r>
        <w:rPr>
          <w:rFonts w:ascii="Book Antiqua" w:hAnsi="Book Antiqua"/>
          <w:lang w:val="es-ES_tradnl"/>
        </w:rPr>
        <w:t xml:space="preserve">Sección 5. – </w:t>
      </w:r>
      <w:r w:rsidRPr="00722AF8">
        <w:rPr>
          <w:rFonts w:ascii="Book Antiqua" w:hAnsi="Book Antiqua"/>
          <w:lang w:val="es-ES_tradnl"/>
        </w:rPr>
        <w:t xml:space="preserve">El Departamento de Recursos Naturales y Ambientales </w:t>
      </w:r>
      <w:r>
        <w:rPr>
          <w:rFonts w:ascii="Book Antiqua" w:hAnsi="Book Antiqua"/>
          <w:lang w:val="es-ES_tradnl"/>
        </w:rPr>
        <w:t>tendrá</w:t>
      </w:r>
      <w:r>
        <w:rPr>
          <w:rFonts w:ascii="Book Antiqua" w:hAnsi="Book Antiqua"/>
          <w:lang w:val="es-PR"/>
        </w:rPr>
        <w:t xml:space="preserve"> </w:t>
      </w:r>
      <w:r w:rsidRPr="00D1345C">
        <w:rPr>
          <w:rFonts w:ascii="Book Antiqua" w:hAnsi="Book Antiqua"/>
          <w:lang w:val="es-ES_tradnl"/>
        </w:rPr>
        <w:t>un término de ciento ochenta (180) días contados a partir de la aprobación de esta Resolución Conjunta,</w:t>
      </w:r>
      <w:r>
        <w:rPr>
          <w:rFonts w:ascii="Book Antiqua" w:hAnsi="Book Antiqua"/>
          <w:lang w:val="es-ES_tradnl"/>
        </w:rPr>
        <w:t xml:space="preserve"> para tener en funcionamiento </w:t>
      </w:r>
      <w:r w:rsidRPr="00A0661C">
        <w:rPr>
          <w:rFonts w:ascii="Book Antiqua" w:hAnsi="Book Antiqua"/>
          <w:lang w:val="es-ES_tradnl"/>
        </w:rPr>
        <w:t xml:space="preserve">en su </w:t>
      </w:r>
      <w:r>
        <w:rPr>
          <w:rFonts w:ascii="Book Antiqua" w:hAnsi="Book Antiqua"/>
          <w:lang w:val="es-ES_tradnl"/>
        </w:rPr>
        <w:t>portal</w:t>
      </w:r>
      <w:r w:rsidRPr="00A0661C">
        <w:rPr>
          <w:rFonts w:ascii="Book Antiqua" w:hAnsi="Book Antiqua"/>
          <w:lang w:val="es-ES_tradnl"/>
        </w:rPr>
        <w:t xml:space="preserve"> digital</w:t>
      </w:r>
      <w:r>
        <w:rPr>
          <w:rFonts w:ascii="Book Antiqua" w:hAnsi="Book Antiqua"/>
          <w:lang w:val="es-ES_tradnl"/>
        </w:rPr>
        <w:t>, de acceso libre y gratuito,</w:t>
      </w:r>
      <w:r w:rsidRPr="00A0661C">
        <w:rPr>
          <w:rFonts w:ascii="Book Antiqua" w:hAnsi="Book Antiqua"/>
          <w:lang w:val="es-ES_tradnl"/>
        </w:rPr>
        <w:t xml:space="preserve"> </w:t>
      </w:r>
      <w:r>
        <w:rPr>
          <w:rFonts w:ascii="Book Antiqua" w:hAnsi="Book Antiqua"/>
          <w:lang w:val="es-ES_tradnl"/>
        </w:rPr>
        <w:t>el</w:t>
      </w:r>
      <w:r w:rsidRPr="00A0661C">
        <w:rPr>
          <w:rFonts w:ascii="Book Antiqua" w:hAnsi="Book Antiqua"/>
          <w:lang w:val="es-ES_tradnl"/>
        </w:rPr>
        <w:t xml:space="preserve"> Sistema de Consulta Pública de Casos Administrativos</w:t>
      </w:r>
      <w:r>
        <w:rPr>
          <w:rFonts w:ascii="Book Antiqua" w:hAnsi="Book Antiqua"/>
          <w:lang w:val="es-ES_tradnl"/>
        </w:rPr>
        <w:t xml:space="preserve"> ordenado en esta Resolución Conjunta.  </w:t>
      </w:r>
    </w:p>
    <w:p w14:paraId="7631F883" w14:textId="77777777" w:rsidR="00044E84" w:rsidRDefault="00044E84" w:rsidP="00AA1D92">
      <w:pPr>
        <w:spacing w:line="480" w:lineRule="auto"/>
        <w:ind w:firstLine="360"/>
        <w:jc w:val="both"/>
        <w:rPr>
          <w:rFonts w:ascii="Book Antiqua" w:hAnsi="Book Antiqua"/>
          <w:lang w:val="es-ES_tradnl"/>
        </w:rPr>
      </w:pPr>
      <w:r>
        <w:rPr>
          <w:rFonts w:ascii="Book Antiqua" w:hAnsi="Book Antiqua"/>
          <w:lang w:val="es-ES_tradnl"/>
        </w:rPr>
        <w:t xml:space="preserve">Además, </w:t>
      </w:r>
      <w:r w:rsidRPr="00722AF8">
        <w:rPr>
          <w:rFonts w:ascii="Book Antiqua" w:hAnsi="Book Antiqua"/>
          <w:lang w:val="es-ES_tradnl"/>
        </w:rPr>
        <w:t xml:space="preserve">rendirá a la Asamblea Legislativa un informe escrito sobre el cumplimiento de esta Resolución Conjunta dentro de un término no mayor de noventa (90) días contados a partir de su aprobación. Dicho informe deberá detallar el estado de desarrollo e implantación del </w:t>
      </w:r>
      <w:r>
        <w:rPr>
          <w:rFonts w:ascii="Book Antiqua" w:hAnsi="Book Antiqua"/>
          <w:lang w:val="es-ES_tradnl"/>
        </w:rPr>
        <w:t>Sistema</w:t>
      </w:r>
      <w:r w:rsidRPr="00722AF8">
        <w:rPr>
          <w:rFonts w:ascii="Book Antiqua" w:hAnsi="Book Antiqua"/>
          <w:lang w:val="es-ES_tradnl"/>
        </w:rPr>
        <w:t xml:space="preserve"> de Consulta Pública de Casos, así como cualquier recomendación adicional para fortalecer el acceso a la información.</w:t>
      </w:r>
    </w:p>
    <w:p w14:paraId="46584F6C" w14:textId="65EAA388" w:rsidR="00721626" w:rsidRPr="00D739EF" w:rsidRDefault="00044E84" w:rsidP="00AA1D92">
      <w:pPr>
        <w:spacing w:line="480" w:lineRule="auto"/>
        <w:ind w:firstLine="720"/>
        <w:jc w:val="both"/>
        <w:rPr>
          <w:rFonts w:ascii="Book Antiqua" w:hAnsi="Book Antiqua"/>
          <w:lang w:val="es-ES"/>
        </w:rPr>
      </w:pPr>
      <w:r>
        <w:rPr>
          <w:rFonts w:ascii="Book Antiqua" w:hAnsi="Book Antiqua"/>
          <w:lang w:val="es-ES_tradnl"/>
        </w:rPr>
        <w:lastRenderedPageBreak/>
        <w:t xml:space="preserve">Sección 6. – Esta Resolución </w:t>
      </w:r>
      <w:r>
        <w:rPr>
          <w:rFonts w:ascii="Book Antiqua" w:hAnsi="Book Antiqua"/>
          <w:color w:val="000000"/>
          <w:lang w:val="es-ES_tradnl"/>
        </w:rPr>
        <w:t>Conjunta</w:t>
      </w:r>
      <w:r>
        <w:rPr>
          <w:rFonts w:ascii="Book Antiqua" w:hAnsi="Book Antiqua"/>
          <w:lang w:val="es-ES_tradnl"/>
        </w:rPr>
        <w:t xml:space="preserve"> entrará en vigor inmediatamente después de su aprobación.</w:t>
      </w:r>
    </w:p>
    <w:sectPr w:rsidR="00721626" w:rsidRPr="00D739EF" w:rsidSect="0072162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4AC06" w14:textId="77777777" w:rsidR="00937C93" w:rsidRDefault="00937C93">
      <w:r>
        <w:separator/>
      </w:r>
    </w:p>
  </w:endnote>
  <w:endnote w:type="continuationSeparator" w:id="0">
    <w:p w14:paraId="725F700D" w14:textId="77777777" w:rsidR="00937C93" w:rsidRDefault="00937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FD948" w14:textId="77777777" w:rsidR="00937C93" w:rsidRDefault="00937C93">
      <w:r>
        <w:separator/>
      </w:r>
    </w:p>
  </w:footnote>
  <w:footnote w:type="continuationSeparator" w:id="0">
    <w:p w14:paraId="431B57F6" w14:textId="77777777" w:rsidR="00937C93" w:rsidRDefault="00937C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4F71"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D66F5">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24DDF"/>
    <w:multiLevelType w:val="hybridMultilevel"/>
    <w:tmpl w:val="406AA23E"/>
    <w:lvl w:ilvl="0" w:tplc="4A864D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FD1287"/>
    <w:multiLevelType w:val="hybridMultilevel"/>
    <w:tmpl w:val="C02A8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BA0FB6"/>
    <w:multiLevelType w:val="hybridMultilevel"/>
    <w:tmpl w:val="1C1821D6"/>
    <w:lvl w:ilvl="0" w:tplc="0FA8F2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0897C53"/>
    <w:multiLevelType w:val="hybridMultilevel"/>
    <w:tmpl w:val="103044AA"/>
    <w:lvl w:ilvl="0" w:tplc="5FB042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9591E14"/>
    <w:multiLevelType w:val="hybridMultilevel"/>
    <w:tmpl w:val="0BD08270"/>
    <w:lvl w:ilvl="0" w:tplc="6414C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33048945">
    <w:abstractNumId w:val="4"/>
  </w:num>
  <w:num w:numId="2" w16cid:durableId="1248224247">
    <w:abstractNumId w:val="1"/>
  </w:num>
  <w:num w:numId="3" w16cid:durableId="1160119246">
    <w:abstractNumId w:val="3"/>
  </w:num>
  <w:num w:numId="4" w16cid:durableId="1234511223">
    <w:abstractNumId w:val="2"/>
  </w:num>
  <w:num w:numId="5" w16cid:durableId="272638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1626"/>
    <w:rsid w:val="00020BBB"/>
    <w:rsid w:val="00044E84"/>
    <w:rsid w:val="00056024"/>
    <w:rsid w:val="00095AE1"/>
    <w:rsid w:val="000A31D0"/>
    <w:rsid w:val="000A6B6C"/>
    <w:rsid w:val="000B0DBB"/>
    <w:rsid w:val="000C570A"/>
    <w:rsid w:val="00111E71"/>
    <w:rsid w:val="00127C6A"/>
    <w:rsid w:val="001363FE"/>
    <w:rsid w:val="0013690C"/>
    <w:rsid w:val="00154A2C"/>
    <w:rsid w:val="00157C82"/>
    <w:rsid w:val="0017132B"/>
    <w:rsid w:val="001F4CA3"/>
    <w:rsid w:val="001F612A"/>
    <w:rsid w:val="001F63BD"/>
    <w:rsid w:val="00205E3A"/>
    <w:rsid w:val="00211396"/>
    <w:rsid w:val="00226AE6"/>
    <w:rsid w:val="00245B34"/>
    <w:rsid w:val="00263355"/>
    <w:rsid w:val="00273792"/>
    <w:rsid w:val="002D1566"/>
    <w:rsid w:val="002D4AC8"/>
    <w:rsid w:val="002F4EDD"/>
    <w:rsid w:val="0030418B"/>
    <w:rsid w:val="00320D78"/>
    <w:rsid w:val="0033085C"/>
    <w:rsid w:val="00351CD3"/>
    <w:rsid w:val="003800CB"/>
    <w:rsid w:val="00380FE5"/>
    <w:rsid w:val="003924DD"/>
    <w:rsid w:val="00394FCB"/>
    <w:rsid w:val="003963F4"/>
    <w:rsid w:val="003B2885"/>
    <w:rsid w:val="003B5254"/>
    <w:rsid w:val="003B75A6"/>
    <w:rsid w:val="004061CA"/>
    <w:rsid w:val="00415689"/>
    <w:rsid w:val="00417FED"/>
    <w:rsid w:val="004219B9"/>
    <w:rsid w:val="004440CB"/>
    <w:rsid w:val="004713D2"/>
    <w:rsid w:val="00521639"/>
    <w:rsid w:val="005219EE"/>
    <w:rsid w:val="00532BB7"/>
    <w:rsid w:val="005332E4"/>
    <w:rsid w:val="0053550C"/>
    <w:rsid w:val="00555018"/>
    <w:rsid w:val="005723DC"/>
    <w:rsid w:val="00597003"/>
    <w:rsid w:val="006210DC"/>
    <w:rsid w:val="0064349D"/>
    <w:rsid w:val="00685549"/>
    <w:rsid w:val="006B7365"/>
    <w:rsid w:val="006C2D81"/>
    <w:rsid w:val="006C7DF8"/>
    <w:rsid w:val="006D3459"/>
    <w:rsid w:val="006F2296"/>
    <w:rsid w:val="00703136"/>
    <w:rsid w:val="00721626"/>
    <w:rsid w:val="00725872"/>
    <w:rsid w:val="00750FC8"/>
    <w:rsid w:val="007533D0"/>
    <w:rsid w:val="00755069"/>
    <w:rsid w:val="00775DF5"/>
    <w:rsid w:val="0079546A"/>
    <w:rsid w:val="007B0660"/>
    <w:rsid w:val="007E3868"/>
    <w:rsid w:val="00820C41"/>
    <w:rsid w:val="00850256"/>
    <w:rsid w:val="008F2F35"/>
    <w:rsid w:val="0093686F"/>
    <w:rsid w:val="00937C93"/>
    <w:rsid w:val="00942FD4"/>
    <w:rsid w:val="00951997"/>
    <w:rsid w:val="00990352"/>
    <w:rsid w:val="009E031C"/>
    <w:rsid w:val="009E6721"/>
    <w:rsid w:val="00A03405"/>
    <w:rsid w:val="00A1528A"/>
    <w:rsid w:val="00A266BD"/>
    <w:rsid w:val="00A32D0F"/>
    <w:rsid w:val="00A33918"/>
    <w:rsid w:val="00A7629F"/>
    <w:rsid w:val="00AA1D92"/>
    <w:rsid w:val="00AD66F5"/>
    <w:rsid w:val="00AF0CEE"/>
    <w:rsid w:val="00B1042B"/>
    <w:rsid w:val="00B667AD"/>
    <w:rsid w:val="00B725C6"/>
    <w:rsid w:val="00B84C38"/>
    <w:rsid w:val="00B86C00"/>
    <w:rsid w:val="00B947F6"/>
    <w:rsid w:val="00BF16AA"/>
    <w:rsid w:val="00BF3496"/>
    <w:rsid w:val="00C0699C"/>
    <w:rsid w:val="00C32428"/>
    <w:rsid w:val="00C354B8"/>
    <w:rsid w:val="00C52517"/>
    <w:rsid w:val="00C60921"/>
    <w:rsid w:val="00C62936"/>
    <w:rsid w:val="00C653F2"/>
    <w:rsid w:val="00C679E6"/>
    <w:rsid w:val="00C908F9"/>
    <w:rsid w:val="00CA0917"/>
    <w:rsid w:val="00CA1099"/>
    <w:rsid w:val="00CF47BF"/>
    <w:rsid w:val="00D417C2"/>
    <w:rsid w:val="00D60936"/>
    <w:rsid w:val="00D709EB"/>
    <w:rsid w:val="00D739EF"/>
    <w:rsid w:val="00D74714"/>
    <w:rsid w:val="00D77115"/>
    <w:rsid w:val="00D82F3F"/>
    <w:rsid w:val="00D921C6"/>
    <w:rsid w:val="00D958C2"/>
    <w:rsid w:val="00DC3B7D"/>
    <w:rsid w:val="00E04AB5"/>
    <w:rsid w:val="00E4235A"/>
    <w:rsid w:val="00E47628"/>
    <w:rsid w:val="00E50EEA"/>
    <w:rsid w:val="00E52F58"/>
    <w:rsid w:val="00E5399A"/>
    <w:rsid w:val="00E6293C"/>
    <w:rsid w:val="00E675C3"/>
    <w:rsid w:val="00E76B44"/>
    <w:rsid w:val="00E81959"/>
    <w:rsid w:val="00EC26AA"/>
    <w:rsid w:val="00EC5D3B"/>
    <w:rsid w:val="00ED7A53"/>
    <w:rsid w:val="00EE4273"/>
    <w:rsid w:val="00EF6CD7"/>
    <w:rsid w:val="00F02004"/>
    <w:rsid w:val="00F042CB"/>
    <w:rsid w:val="00F11984"/>
    <w:rsid w:val="00F2777D"/>
    <w:rsid w:val="00F60A20"/>
    <w:rsid w:val="00F60F15"/>
    <w:rsid w:val="00FC0A95"/>
    <w:rsid w:val="00FC3D9C"/>
    <w:rsid w:val="00FF0153"/>
    <w:rsid w:val="00FF4DD7"/>
    <w:rsid w:val="00FF6424"/>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84F51"/>
  <w15:chartTrackingRefBased/>
  <w15:docId w15:val="{D2261BAF-1988-4F3E-B15A-6655CE53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205E3A"/>
    <w:pPr>
      <w:ind w:left="720"/>
      <w:contextualSpacing/>
    </w:pPr>
  </w:style>
  <w:style w:type="paragraph" w:customStyle="1" w:styleId="sectext">
    <w:name w:val="sectext"/>
    <w:rsid w:val="00205E3A"/>
    <w:pPr>
      <w:widowControl w:val="0"/>
      <w:autoSpaceDE w:val="0"/>
      <w:autoSpaceDN w:val="0"/>
      <w:adjustRightInd w:val="0"/>
    </w:pPr>
    <w:rPr>
      <w:sz w:val="24"/>
      <w:szCs w:val="24"/>
      <w:lang w:val="en-US" w:eastAsia="en-US"/>
    </w:rPr>
  </w:style>
  <w:style w:type="paragraph" w:styleId="Textonotapie">
    <w:name w:val="footnote text"/>
    <w:basedOn w:val="Normal"/>
    <w:link w:val="TextonotapieCar"/>
    <w:uiPriority w:val="99"/>
    <w:semiHidden/>
    <w:unhideWhenUsed/>
    <w:rsid w:val="00E4235A"/>
    <w:rPr>
      <w:sz w:val="20"/>
      <w:lang w:val="es-PR"/>
    </w:rPr>
  </w:style>
  <w:style w:type="character" w:customStyle="1" w:styleId="TextonotapieCar">
    <w:name w:val="Texto nota pie Car"/>
    <w:basedOn w:val="Fuentedeprrafopredeter"/>
    <w:link w:val="Textonotapie"/>
    <w:uiPriority w:val="99"/>
    <w:semiHidden/>
    <w:rsid w:val="00E4235A"/>
    <w:rPr>
      <w:lang w:eastAsia="en-US"/>
    </w:rPr>
  </w:style>
  <w:style w:type="character" w:styleId="Refdenotaalpie">
    <w:name w:val="footnote reference"/>
    <w:basedOn w:val="Fuentedeprrafopredeter"/>
    <w:uiPriority w:val="99"/>
    <w:semiHidden/>
    <w:unhideWhenUsed/>
    <w:rsid w:val="00E423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1176</Words>
  <Characters>6881</Characters>
  <Application>Microsoft Office Word</Application>
  <DocSecurity>0</DocSecurity>
  <Lines>137</Lines>
  <Paragraphs>34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5</cp:revision>
  <cp:lastPrinted>2026-03-04T15:09:00Z</cp:lastPrinted>
  <dcterms:created xsi:type="dcterms:W3CDTF">2026-03-04T19:17:00Z</dcterms:created>
  <dcterms:modified xsi:type="dcterms:W3CDTF">2026-03-06T18:36:00Z</dcterms:modified>
</cp:coreProperties>
</file>