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68167" w14:textId="09F7F9C2" w:rsidR="00FF6BD2" w:rsidRDefault="00457C09" w:rsidP="00640AB5">
      <w:pPr>
        <w:jc w:val="center"/>
        <w:rPr>
          <w:rFonts w:ascii="Book Antiqua" w:hAnsi="Book Antiqua"/>
          <w:sz w:val="28"/>
          <w:lang w:val="es-ES_tradnl"/>
        </w:rPr>
      </w:pPr>
      <w:r w:rsidRPr="00E72EB0">
        <w:rPr>
          <w:rFonts w:ascii="Book Antiqua" w:hAnsi="Book Antiqua"/>
          <w:sz w:val="28"/>
          <w:lang w:val="es-ES_tradnl"/>
        </w:rPr>
        <w:t>GOBIERNO</w:t>
      </w:r>
      <w:r>
        <w:rPr>
          <w:rFonts w:ascii="Book Antiqua" w:hAnsi="Book Antiqua"/>
          <w:sz w:val="28"/>
          <w:lang w:val="es-ES_tradnl"/>
        </w:rPr>
        <w:t xml:space="preserve"> DE PUERTO RICO</w:t>
      </w:r>
    </w:p>
    <w:p w14:paraId="21FF212A" w14:textId="77777777" w:rsidR="00457C09" w:rsidRPr="00F0126B" w:rsidRDefault="00457C09" w:rsidP="00640AB5">
      <w:pPr>
        <w:jc w:val="center"/>
        <w:rPr>
          <w:rFonts w:ascii="Book Antiqua" w:hAnsi="Book Antiqua"/>
          <w:szCs w:val="18"/>
          <w:lang w:val="es-ES_tradnl"/>
        </w:rPr>
      </w:pPr>
    </w:p>
    <w:p w14:paraId="53A80C71" w14:textId="16117717" w:rsidR="00457C09" w:rsidRDefault="00E72EB0" w:rsidP="00640AB5">
      <w:pPr>
        <w:pStyle w:val="Title2"/>
        <w:rPr>
          <w:rFonts w:ascii="Book Antiqua" w:hAnsi="Book Antiqua"/>
          <w:lang w:val="es-ES_tradnl"/>
        </w:rPr>
      </w:pPr>
      <w:r>
        <w:rPr>
          <w:rFonts w:ascii="Book Antiqua" w:hAnsi="Book Antiqua"/>
          <w:lang w:val="es-ES_tradnl"/>
        </w:rPr>
        <w:t>20m</w:t>
      </w:r>
      <w:r w:rsidR="00457C09">
        <w:rPr>
          <w:rFonts w:ascii="Book Antiqua" w:hAnsi="Book Antiqua"/>
          <w:lang w:val="es-ES_tradnl"/>
        </w:rPr>
        <w:t>a. Asamblea</w:t>
      </w:r>
      <w:r>
        <w:rPr>
          <w:rFonts w:ascii="Book Antiqua" w:hAnsi="Book Antiqua"/>
          <w:lang w:val="es-ES_tradnl"/>
        </w:rPr>
        <w:tab/>
      </w:r>
      <w:r w:rsidR="00E208BD">
        <w:rPr>
          <w:rFonts w:ascii="Book Antiqua" w:hAnsi="Book Antiqua"/>
          <w:lang w:val="es-ES_tradnl"/>
        </w:rPr>
        <w:t>3</w:t>
      </w:r>
      <w:r w:rsidR="00457C09">
        <w:rPr>
          <w:rFonts w:ascii="Book Antiqua" w:hAnsi="Book Antiqua"/>
          <w:lang w:val="es-ES_tradnl"/>
        </w:rPr>
        <w:t xml:space="preserve">ra. </w:t>
      </w:r>
      <w:r w:rsidR="00457C09">
        <w:rPr>
          <w:rFonts w:ascii="Book Antiqua" w:hAnsi="Book Antiqua"/>
          <w:lang w:val="es-ES_tradnl"/>
        </w:rPr>
        <w:tab/>
        <w:t>Sesión</w:t>
      </w:r>
    </w:p>
    <w:p w14:paraId="70F23020" w14:textId="77777777" w:rsidR="00457C09" w:rsidRDefault="00457C09" w:rsidP="00640AB5">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62D3D1B" w14:textId="77777777" w:rsidR="00457C09" w:rsidRDefault="00457C09" w:rsidP="00640AB5">
      <w:pPr>
        <w:rPr>
          <w:lang w:val="es-ES_tradnl"/>
        </w:rPr>
      </w:pPr>
    </w:p>
    <w:p w14:paraId="608DE37D" w14:textId="77777777" w:rsidR="00457C09" w:rsidRDefault="00457C09" w:rsidP="00640AB5">
      <w:pPr>
        <w:jc w:val="center"/>
        <w:rPr>
          <w:rFonts w:ascii="Book Antiqua" w:hAnsi="Book Antiqua"/>
          <w:b/>
          <w:sz w:val="36"/>
          <w:lang w:val="es-ES_tradnl"/>
        </w:rPr>
      </w:pPr>
      <w:r>
        <w:rPr>
          <w:rFonts w:ascii="Book Antiqua" w:hAnsi="Book Antiqua"/>
          <w:b/>
          <w:sz w:val="36"/>
          <w:lang w:val="es-ES_tradnl"/>
        </w:rPr>
        <w:t>CÁMARA DE REPRESENTANTES</w:t>
      </w:r>
    </w:p>
    <w:p w14:paraId="3E5D1278" w14:textId="77777777" w:rsidR="00457C09" w:rsidRPr="00640AB5" w:rsidRDefault="00457C09" w:rsidP="00640AB5">
      <w:pPr>
        <w:jc w:val="center"/>
        <w:rPr>
          <w:rFonts w:ascii="Book Antiqua" w:hAnsi="Book Antiqua"/>
          <w:b/>
          <w:szCs w:val="24"/>
          <w:lang w:val="es-ES_tradnl"/>
        </w:rPr>
      </w:pPr>
    </w:p>
    <w:p w14:paraId="139A5A31" w14:textId="53519A2B" w:rsidR="00457C09" w:rsidRDefault="00457C09" w:rsidP="00640AB5">
      <w:pPr>
        <w:jc w:val="center"/>
        <w:rPr>
          <w:rFonts w:ascii="Book Antiqua" w:hAnsi="Book Antiqua"/>
          <w:b/>
          <w:sz w:val="52"/>
          <w:lang w:val="es-ES_tradnl"/>
        </w:rPr>
      </w:pPr>
      <w:r>
        <w:rPr>
          <w:rFonts w:ascii="Book Antiqua" w:hAnsi="Book Antiqua"/>
          <w:b/>
          <w:sz w:val="52"/>
          <w:lang w:val="es-ES_tradnl"/>
        </w:rPr>
        <w:t xml:space="preserve">P. de la C. </w:t>
      </w:r>
      <w:r w:rsidR="001D19FE">
        <w:rPr>
          <w:rFonts w:ascii="Book Antiqua" w:hAnsi="Book Antiqua"/>
          <w:b/>
          <w:sz w:val="52"/>
          <w:lang w:val="es-ES_tradnl"/>
        </w:rPr>
        <w:t>1172</w:t>
      </w:r>
    </w:p>
    <w:p w14:paraId="2382C00D" w14:textId="77777777" w:rsidR="00640AB5" w:rsidRPr="00640AB5" w:rsidRDefault="00640AB5" w:rsidP="00640AB5">
      <w:pPr>
        <w:jc w:val="center"/>
        <w:rPr>
          <w:rFonts w:ascii="Book Antiqua" w:hAnsi="Book Antiqua"/>
          <w:b/>
          <w:szCs w:val="24"/>
          <w:lang w:val="es-ES_tradnl"/>
        </w:rPr>
      </w:pPr>
    </w:p>
    <w:p w14:paraId="6A0E79AD" w14:textId="7B33BE48" w:rsidR="00457C09" w:rsidRDefault="001D19FE" w:rsidP="00640AB5">
      <w:pPr>
        <w:jc w:val="center"/>
        <w:rPr>
          <w:rFonts w:ascii="Book Antiqua" w:hAnsi="Book Antiqua"/>
          <w:lang w:val="es-ES_tradnl"/>
        </w:rPr>
      </w:pPr>
      <w:r>
        <w:rPr>
          <w:rFonts w:ascii="Book Antiqua" w:hAnsi="Book Antiqua"/>
          <w:lang w:val="es-ES_tradnl"/>
        </w:rPr>
        <w:t>9</w:t>
      </w:r>
      <w:r w:rsidR="00961B92">
        <w:rPr>
          <w:rFonts w:ascii="Book Antiqua" w:hAnsi="Book Antiqua"/>
          <w:lang w:val="es-ES_tradnl"/>
        </w:rPr>
        <w:t xml:space="preserve"> </w:t>
      </w:r>
      <w:r w:rsidR="00457C09">
        <w:rPr>
          <w:rFonts w:ascii="Book Antiqua" w:hAnsi="Book Antiqua"/>
          <w:lang w:val="es-ES_tradnl"/>
        </w:rPr>
        <w:t xml:space="preserve">DE </w:t>
      </w:r>
      <w:r w:rsidR="002C790D">
        <w:rPr>
          <w:rFonts w:ascii="Book Antiqua" w:hAnsi="Book Antiqua"/>
          <w:lang w:val="es-ES_tradnl"/>
        </w:rPr>
        <w:t>MARZO</w:t>
      </w:r>
      <w:r w:rsidR="00457C09">
        <w:rPr>
          <w:rFonts w:ascii="Book Antiqua" w:hAnsi="Book Antiqua"/>
          <w:lang w:val="es-ES_tradnl"/>
        </w:rPr>
        <w:t xml:space="preserve"> DE 202</w:t>
      </w:r>
      <w:r w:rsidR="002C790D">
        <w:rPr>
          <w:rFonts w:ascii="Book Antiqua" w:hAnsi="Book Antiqua"/>
          <w:lang w:val="es-ES_tradnl"/>
        </w:rPr>
        <w:t>6</w:t>
      </w:r>
    </w:p>
    <w:p w14:paraId="485EE293" w14:textId="77777777" w:rsidR="00640AB5" w:rsidRDefault="00640AB5" w:rsidP="00640AB5">
      <w:pPr>
        <w:jc w:val="center"/>
        <w:rPr>
          <w:rFonts w:ascii="Book Antiqua" w:hAnsi="Book Antiqua"/>
          <w:lang w:val="es-ES_tradnl"/>
        </w:rPr>
      </w:pPr>
    </w:p>
    <w:p w14:paraId="7B26FD7C" w14:textId="77777777" w:rsidR="00457C09" w:rsidRDefault="00457C09" w:rsidP="00640AB5">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Román López</w:t>
      </w:r>
    </w:p>
    <w:p w14:paraId="21D78751" w14:textId="77777777" w:rsidR="00640AB5" w:rsidRDefault="00640AB5" w:rsidP="00640AB5">
      <w:pPr>
        <w:jc w:val="center"/>
        <w:rPr>
          <w:rFonts w:ascii="Book Antiqua" w:hAnsi="Book Antiqua"/>
          <w:lang w:val="es-ES_tradnl"/>
        </w:rPr>
      </w:pPr>
    </w:p>
    <w:p w14:paraId="646EFF46" w14:textId="50EEE03A" w:rsidR="00457C09" w:rsidRDefault="00855C91" w:rsidP="00640AB5">
      <w:pPr>
        <w:jc w:val="center"/>
        <w:rPr>
          <w:rFonts w:ascii="Book Antiqua" w:hAnsi="Book Antiqua"/>
          <w:lang w:val="es-ES_tradnl"/>
        </w:rPr>
      </w:pPr>
      <w:r w:rsidRPr="00855C91">
        <w:rPr>
          <w:rFonts w:ascii="Book Antiqua" w:hAnsi="Book Antiqua"/>
          <w:lang w:val="es-ES_tradnl"/>
        </w:rPr>
        <w:t xml:space="preserve">Referido a la Comisión </w:t>
      </w:r>
      <w:r w:rsidR="00965D5C">
        <w:rPr>
          <w:rFonts w:ascii="Book Antiqua" w:hAnsi="Book Antiqua"/>
          <w:lang w:val="es-ES_tradnl"/>
        </w:rPr>
        <w:t>Educación</w:t>
      </w:r>
    </w:p>
    <w:p w14:paraId="1143F9E6" w14:textId="77777777" w:rsidR="00457C09" w:rsidRDefault="00457C09" w:rsidP="00640AB5">
      <w:pPr>
        <w:jc w:val="both"/>
        <w:rPr>
          <w:rFonts w:ascii="Book Antiqua" w:hAnsi="Book Antiqua"/>
          <w:lang w:val="es-ES_tradnl"/>
        </w:rPr>
      </w:pPr>
    </w:p>
    <w:p w14:paraId="77D69B62" w14:textId="77777777" w:rsidR="00457C09" w:rsidRDefault="00457C09" w:rsidP="00640AB5">
      <w:pPr>
        <w:jc w:val="center"/>
        <w:rPr>
          <w:rFonts w:ascii="Book Antiqua" w:hAnsi="Book Antiqua"/>
          <w:b/>
          <w:sz w:val="28"/>
          <w:lang w:val="es-ES_tradnl"/>
        </w:rPr>
      </w:pPr>
      <w:r>
        <w:rPr>
          <w:rFonts w:ascii="Book Antiqua" w:hAnsi="Book Antiqua"/>
          <w:b/>
          <w:sz w:val="28"/>
          <w:lang w:val="es-ES_tradnl"/>
        </w:rPr>
        <w:t>LEY</w:t>
      </w:r>
    </w:p>
    <w:p w14:paraId="7F13EC98" w14:textId="77777777" w:rsidR="00457C09" w:rsidRDefault="00457C09" w:rsidP="00640AB5">
      <w:pPr>
        <w:jc w:val="both"/>
        <w:rPr>
          <w:rFonts w:ascii="Book Antiqua" w:hAnsi="Book Antiqua"/>
          <w:lang w:val="es-ES_tradnl"/>
        </w:rPr>
      </w:pPr>
    </w:p>
    <w:p w14:paraId="3A6875EF" w14:textId="74D0AF45" w:rsidR="00457C09" w:rsidRPr="00457C09" w:rsidRDefault="00457C09" w:rsidP="00640AB5">
      <w:pPr>
        <w:ind w:left="720" w:hanging="720"/>
        <w:jc w:val="both"/>
        <w:rPr>
          <w:rFonts w:ascii="Book Antiqua" w:hAnsi="Book Antiqua"/>
          <w:lang w:val="es-PR"/>
        </w:rPr>
      </w:pPr>
      <w:r>
        <w:rPr>
          <w:rFonts w:ascii="Book Antiqua" w:hAnsi="Book Antiqua"/>
          <w:lang w:val="es-ES_tradnl"/>
        </w:rPr>
        <w:t xml:space="preserve">Para </w:t>
      </w:r>
      <w:r w:rsidRPr="00457C09">
        <w:rPr>
          <w:rFonts w:ascii="Book Antiqua" w:hAnsi="Book Antiqua"/>
          <w:lang w:val="es-PR"/>
        </w:rPr>
        <w:t xml:space="preserve">enmendar el </w:t>
      </w:r>
      <w:r w:rsidR="00DD6B67" w:rsidRPr="00DD6B67">
        <w:rPr>
          <w:rFonts w:ascii="Book Antiqua" w:hAnsi="Book Antiqua"/>
          <w:lang w:val="es-ES"/>
        </w:rPr>
        <w:t xml:space="preserve">Artículo 4-A de la Ley Núm. 88-1986, conocida como “Ley de Menores de Puerto Rico”, según enmendada, a los fines de establecer una excepción a la exigencia de agotar los remedios administrativos </w:t>
      </w:r>
      <w:r w:rsidR="00813FE9" w:rsidRPr="00813FE9">
        <w:rPr>
          <w:rFonts w:ascii="Book Antiqua" w:hAnsi="Book Antiqua"/>
          <w:lang w:val="es-ES"/>
        </w:rPr>
        <w:t xml:space="preserve">cuando la persona menor de edad haya egresado por graduación, cesado voluntariamente su matrícula o sido trasladada voluntariamente de manera permanente, </w:t>
      </w:r>
      <w:r w:rsidR="0093277C" w:rsidRPr="0093277C">
        <w:rPr>
          <w:rFonts w:ascii="Book Antiqua" w:hAnsi="Book Antiqua"/>
          <w:lang w:val="es-ES"/>
        </w:rPr>
        <w:t>y como consecuencia de ello el sistema de educación pública o privada, según sea el caso, haya perdido jurisdicción administrativa</w:t>
      </w:r>
      <w:r w:rsidR="00DD6B67" w:rsidRPr="00DD6B67">
        <w:rPr>
          <w:rFonts w:ascii="Book Antiqua" w:hAnsi="Book Antiqua"/>
          <w:lang w:val="es-ES"/>
        </w:rPr>
        <w:t>; y para otros fines relacionados.</w:t>
      </w:r>
    </w:p>
    <w:p w14:paraId="54812F42" w14:textId="77777777" w:rsidR="00457C09" w:rsidRPr="00457C09" w:rsidRDefault="00457C09" w:rsidP="00640AB5">
      <w:pPr>
        <w:ind w:left="360" w:hanging="360"/>
        <w:jc w:val="both"/>
        <w:rPr>
          <w:rFonts w:ascii="Book Antiqua" w:hAnsi="Book Antiqua"/>
          <w:lang w:val="es-PR"/>
        </w:rPr>
      </w:pPr>
    </w:p>
    <w:p w14:paraId="1F86321B" w14:textId="7A186F50" w:rsidR="00640AB5" w:rsidRDefault="00457C09" w:rsidP="00F35175">
      <w:pPr>
        <w:ind w:firstLine="360"/>
        <w:jc w:val="center"/>
        <w:rPr>
          <w:rFonts w:ascii="Book Antiqua" w:hAnsi="Book Antiqua"/>
          <w:lang w:val="es-ES_tradnl"/>
        </w:rPr>
      </w:pPr>
      <w:r>
        <w:rPr>
          <w:rFonts w:ascii="Book Antiqua" w:hAnsi="Book Antiqua"/>
          <w:lang w:val="es-ES_tradnl"/>
        </w:rPr>
        <w:t>EXPOSICIÓN DE MOTIVOS</w:t>
      </w:r>
    </w:p>
    <w:p w14:paraId="71D60529" w14:textId="77777777" w:rsidR="00F35175" w:rsidRDefault="00F35175" w:rsidP="00F35175">
      <w:pPr>
        <w:ind w:firstLine="360"/>
        <w:jc w:val="center"/>
        <w:rPr>
          <w:rFonts w:ascii="Book Antiqua" w:hAnsi="Book Antiqua"/>
          <w:lang w:val="es-ES_tradnl"/>
        </w:rPr>
      </w:pPr>
    </w:p>
    <w:p w14:paraId="15DF0D06" w14:textId="027D1276" w:rsidR="00E208BD" w:rsidRDefault="00E208BD" w:rsidP="00E208BD">
      <w:pPr>
        <w:ind w:firstLine="360"/>
        <w:jc w:val="both"/>
        <w:rPr>
          <w:rFonts w:ascii="Book Antiqua" w:hAnsi="Book Antiqua"/>
          <w:lang w:val="es-ES"/>
        </w:rPr>
      </w:pPr>
      <w:r w:rsidRPr="00E208BD">
        <w:rPr>
          <w:rFonts w:ascii="Book Antiqua" w:hAnsi="Book Antiqua"/>
          <w:lang w:val="es-ES"/>
        </w:rPr>
        <w:t>La Ley Núm. 47-2022 enmendó la Ley Núm. 88 de 9 de julio de 1986, según enmendada, conocida como la “Ley de Menores de Puerto Rico”, con el propósito de reducir la intervención judicial en incidentes ocurridos dentro del entorno escolar que pudieran ser atendidos mediante procedimientos administrativos internos. Como parte de dicha política pública, se incorporó el Artículo 4-A, el cual dispone que, antes de que el Tribunal de Menores pueda asumir jurisdicción sobre una querella relacionada con hechos ocurridos en un plantel escolar, deberán agotarse los remedios administrativos correspondientes ante el Departamento de Educación</w:t>
      </w:r>
      <w:r w:rsidR="0093277C">
        <w:rPr>
          <w:rFonts w:ascii="Book Antiqua" w:hAnsi="Book Antiqua"/>
          <w:lang w:val="es-ES"/>
        </w:rPr>
        <w:t xml:space="preserve"> o institución privada, según sea el caso</w:t>
      </w:r>
      <w:r w:rsidRPr="00E208BD">
        <w:rPr>
          <w:rFonts w:ascii="Book Antiqua" w:hAnsi="Book Antiqua"/>
          <w:lang w:val="es-ES"/>
        </w:rPr>
        <w:t>.</w:t>
      </w:r>
    </w:p>
    <w:p w14:paraId="7B6DAE5F" w14:textId="77777777" w:rsidR="00E208BD" w:rsidRPr="00E208BD" w:rsidRDefault="00E208BD" w:rsidP="00E208BD">
      <w:pPr>
        <w:ind w:firstLine="360"/>
        <w:jc w:val="both"/>
        <w:rPr>
          <w:rFonts w:ascii="Book Antiqua" w:hAnsi="Book Antiqua"/>
          <w:lang w:val="es-ES"/>
        </w:rPr>
      </w:pPr>
    </w:p>
    <w:p w14:paraId="027DA691" w14:textId="520E8017" w:rsidR="00E208BD" w:rsidRDefault="00E208BD" w:rsidP="00E208BD">
      <w:pPr>
        <w:ind w:firstLine="360"/>
        <w:jc w:val="both"/>
        <w:rPr>
          <w:rFonts w:ascii="Book Antiqua" w:hAnsi="Book Antiqua"/>
          <w:lang w:val="es-ES"/>
        </w:rPr>
      </w:pPr>
      <w:r w:rsidRPr="00E208BD">
        <w:rPr>
          <w:rFonts w:ascii="Book Antiqua" w:hAnsi="Book Antiqua"/>
          <w:lang w:val="es-ES"/>
        </w:rPr>
        <w:t xml:space="preserve">La intención legislativa </w:t>
      </w:r>
      <w:r>
        <w:rPr>
          <w:rFonts w:ascii="Book Antiqua" w:hAnsi="Book Antiqua"/>
          <w:lang w:val="es-ES"/>
        </w:rPr>
        <w:t>del momento fue</w:t>
      </w:r>
      <w:r w:rsidRPr="00E208BD">
        <w:rPr>
          <w:rFonts w:ascii="Book Antiqua" w:hAnsi="Book Antiqua"/>
          <w:lang w:val="es-ES"/>
        </w:rPr>
        <w:t xml:space="preserve"> evitar la criminalización innecesaria de menores por incidentes de naturaleza escolar que pueden corregirse mediante medidas disciplinarias internas, preservando así su rehabilitación y evitando </w:t>
      </w:r>
      <w:r>
        <w:rPr>
          <w:rFonts w:ascii="Book Antiqua" w:hAnsi="Book Antiqua"/>
          <w:lang w:val="es-ES"/>
        </w:rPr>
        <w:t xml:space="preserve">tortuosos </w:t>
      </w:r>
      <w:r w:rsidRPr="00E208BD">
        <w:rPr>
          <w:rFonts w:ascii="Book Antiqua" w:hAnsi="Book Antiqua"/>
          <w:lang w:val="es-ES"/>
        </w:rPr>
        <w:t xml:space="preserve">procesos judiciales. Esta política pública continúa </w:t>
      </w:r>
      <w:r>
        <w:rPr>
          <w:rFonts w:ascii="Book Antiqua" w:hAnsi="Book Antiqua"/>
          <w:lang w:val="es-ES"/>
        </w:rPr>
        <w:t>vigente</w:t>
      </w:r>
      <w:r w:rsidRPr="00E208BD">
        <w:rPr>
          <w:rFonts w:ascii="Book Antiqua" w:hAnsi="Book Antiqua"/>
          <w:lang w:val="es-ES"/>
        </w:rPr>
        <w:t xml:space="preserve"> y responde a principios fundamentales </w:t>
      </w:r>
      <w:r w:rsidRPr="00E208BD">
        <w:rPr>
          <w:rFonts w:ascii="Book Antiqua" w:hAnsi="Book Antiqua"/>
          <w:lang w:val="es-ES"/>
        </w:rPr>
        <w:lastRenderedPageBreak/>
        <w:t>de justicia juvenil restaurativa.</w:t>
      </w:r>
      <w:r>
        <w:rPr>
          <w:rFonts w:ascii="Book Antiqua" w:hAnsi="Book Antiqua"/>
          <w:lang w:val="es-ES"/>
        </w:rPr>
        <w:t xml:space="preserve"> </w:t>
      </w:r>
      <w:r w:rsidRPr="00E208BD">
        <w:rPr>
          <w:rFonts w:ascii="Book Antiqua" w:hAnsi="Book Antiqua"/>
          <w:lang w:val="es-ES"/>
        </w:rPr>
        <w:t>No obstante, la experiencia en la implantación del Artículo 4-A ha evidenciado un vacío que no fue contemplado expresamente al momento de su aprobación. El texto vigente presupone la existencia de un procedimiento administrativo disponible y viable que pueda iniciarse y culminarse dentro del sistema escolar. Sin embargo, no contempla aquellas circunstancias en que la persona menor de edad haya cesado su matrícula, egresado del sistema educativo o perdido su vínculo oficial con la institución escolar antes de iniciarse o completarse el procedimiento disciplinario correspondiente.</w:t>
      </w:r>
    </w:p>
    <w:p w14:paraId="15ADBA0D" w14:textId="77777777" w:rsidR="00E208BD" w:rsidRPr="00E208BD" w:rsidRDefault="00E208BD" w:rsidP="00E208BD">
      <w:pPr>
        <w:ind w:firstLine="360"/>
        <w:jc w:val="both"/>
        <w:rPr>
          <w:rFonts w:ascii="Book Antiqua" w:hAnsi="Book Antiqua"/>
          <w:lang w:val="es-ES"/>
        </w:rPr>
      </w:pPr>
    </w:p>
    <w:p w14:paraId="296BADEB" w14:textId="7859D66B" w:rsidR="00E208BD" w:rsidRDefault="00E208BD" w:rsidP="00E208BD">
      <w:pPr>
        <w:ind w:firstLine="360"/>
        <w:jc w:val="both"/>
        <w:rPr>
          <w:rFonts w:ascii="Book Antiqua" w:hAnsi="Book Antiqua"/>
          <w:lang w:val="es-ES"/>
        </w:rPr>
      </w:pPr>
      <w:r w:rsidRPr="00E208BD">
        <w:rPr>
          <w:rFonts w:ascii="Book Antiqua" w:hAnsi="Book Antiqua"/>
          <w:lang w:val="es-ES"/>
        </w:rPr>
        <w:t xml:space="preserve">En tales casos, el requisito de agotamiento de remedios administrativos puede tornarse impracticable o imposible, al carecer el Departamento de Educación </w:t>
      </w:r>
      <w:r w:rsidR="00F11D01">
        <w:rPr>
          <w:rFonts w:ascii="Book Antiqua" w:hAnsi="Book Antiqua"/>
          <w:lang w:val="es-ES"/>
        </w:rPr>
        <w:t xml:space="preserve">o la escuela </w:t>
      </w:r>
      <w:r w:rsidRPr="00E208BD">
        <w:rPr>
          <w:rFonts w:ascii="Book Antiqua" w:hAnsi="Book Antiqua"/>
          <w:lang w:val="es-ES"/>
        </w:rPr>
        <w:t xml:space="preserve">de jurisdicción efectiva para iniciar o concluir el proceso disciplinario. Esta situación puede generar incertidumbre procesal, dilaciones indebidas y controversias innecesarias </w:t>
      </w:r>
      <w:r w:rsidR="00E27FF3">
        <w:rPr>
          <w:rFonts w:ascii="Book Antiqua" w:hAnsi="Book Antiqua"/>
          <w:lang w:val="es-ES"/>
        </w:rPr>
        <w:t>en</w:t>
      </w:r>
      <w:r w:rsidRPr="00E208BD">
        <w:rPr>
          <w:rFonts w:ascii="Book Antiqua" w:hAnsi="Book Antiqua"/>
          <w:lang w:val="es-ES"/>
        </w:rPr>
        <w:t xml:space="preserve"> </w:t>
      </w:r>
      <w:r w:rsidR="0093277C">
        <w:rPr>
          <w:rFonts w:ascii="Book Antiqua" w:hAnsi="Book Antiqua"/>
          <w:lang w:val="es-ES"/>
        </w:rPr>
        <w:t>el Tribunal de Menores</w:t>
      </w:r>
      <w:r w:rsidRPr="00E208BD">
        <w:rPr>
          <w:rFonts w:ascii="Book Antiqua" w:hAnsi="Book Antiqua"/>
          <w:lang w:val="es-ES"/>
        </w:rPr>
        <w:t>, afectando tanto la protección de derechos como la adecuada administración de la justicia.</w:t>
      </w:r>
    </w:p>
    <w:p w14:paraId="30E16F08" w14:textId="77777777" w:rsidR="00E208BD" w:rsidRPr="00E208BD" w:rsidRDefault="00E208BD" w:rsidP="00E208BD">
      <w:pPr>
        <w:ind w:firstLine="360"/>
        <w:jc w:val="both"/>
        <w:rPr>
          <w:rFonts w:ascii="Book Antiqua" w:hAnsi="Book Antiqua"/>
          <w:lang w:val="es-ES"/>
        </w:rPr>
      </w:pPr>
    </w:p>
    <w:p w14:paraId="22FBCE6B" w14:textId="64AFA2EF" w:rsidR="00E208BD" w:rsidRPr="00E208BD" w:rsidRDefault="00E208BD" w:rsidP="00E208BD">
      <w:pPr>
        <w:ind w:firstLine="360"/>
        <w:jc w:val="both"/>
        <w:rPr>
          <w:rFonts w:ascii="Book Antiqua" w:hAnsi="Book Antiqua"/>
          <w:lang w:val="es-ES"/>
        </w:rPr>
      </w:pPr>
      <w:r w:rsidRPr="00E208BD">
        <w:rPr>
          <w:rFonts w:ascii="Book Antiqua" w:hAnsi="Book Antiqua"/>
          <w:lang w:val="es-ES"/>
        </w:rPr>
        <w:t>Durante la consideración de propuestas legislativas relacionadas con el Artículo 4-A, agencias como el Departamento de Educación y el Departamento de Seguridad Pública han reconocido las dificultades prácticas que pueden surgir cuando la aplicación estricta del requisito de agotamiento impide una intervención oportuna del sistema de justicia en determinados escenarios. Aunque tales propuestas</w:t>
      </w:r>
      <w:r w:rsidR="0093277C">
        <w:rPr>
          <w:rFonts w:ascii="Book Antiqua" w:hAnsi="Book Antiqua"/>
          <w:lang w:val="es-ES"/>
        </w:rPr>
        <w:t>, al momento, no han sido</w:t>
      </w:r>
      <w:r w:rsidRPr="00E208BD">
        <w:rPr>
          <w:rFonts w:ascii="Book Antiqua" w:hAnsi="Book Antiqua"/>
          <w:lang w:val="es-ES"/>
        </w:rPr>
        <w:t xml:space="preserve"> convertidas en ley, los planteamientos formulados en los memoriales explicativos evidencian la necesidad de continuar afinando el marco </w:t>
      </w:r>
      <w:r w:rsidR="0093277C">
        <w:rPr>
          <w:rFonts w:ascii="Book Antiqua" w:hAnsi="Book Antiqua"/>
          <w:lang w:val="es-ES"/>
        </w:rPr>
        <w:t>legal</w:t>
      </w:r>
      <w:r w:rsidRPr="00E208BD">
        <w:rPr>
          <w:rFonts w:ascii="Book Antiqua" w:hAnsi="Book Antiqua"/>
          <w:lang w:val="es-ES"/>
        </w:rPr>
        <w:t xml:space="preserve"> para garantizar coherencia procesal y certeza jurídica.</w:t>
      </w:r>
    </w:p>
    <w:p w14:paraId="3FA536CE" w14:textId="77777777" w:rsidR="00E208BD" w:rsidRPr="00E208BD" w:rsidRDefault="00E208BD" w:rsidP="00E208BD">
      <w:pPr>
        <w:ind w:firstLine="360"/>
        <w:jc w:val="both"/>
        <w:rPr>
          <w:rFonts w:ascii="Book Antiqua" w:hAnsi="Book Antiqua"/>
          <w:lang w:val="es-ES"/>
        </w:rPr>
      </w:pPr>
    </w:p>
    <w:p w14:paraId="493A5222" w14:textId="5E4F88A0" w:rsidR="00E208BD" w:rsidRPr="00E208BD" w:rsidRDefault="00E208BD" w:rsidP="00EB34E4">
      <w:pPr>
        <w:ind w:firstLine="360"/>
        <w:jc w:val="both"/>
        <w:rPr>
          <w:rFonts w:ascii="Book Antiqua" w:hAnsi="Book Antiqua"/>
          <w:lang w:val="es-ES"/>
        </w:rPr>
      </w:pPr>
      <w:r w:rsidRPr="00E208BD">
        <w:rPr>
          <w:rFonts w:ascii="Book Antiqua" w:hAnsi="Book Antiqua"/>
          <w:lang w:val="es-ES"/>
        </w:rPr>
        <w:t xml:space="preserve">La presente medida no altera la política pública dirigida a evitar la judicialización innecesaria de menores por faltas de </w:t>
      </w:r>
      <w:r w:rsidR="0093277C">
        <w:rPr>
          <w:rFonts w:ascii="Book Antiqua" w:hAnsi="Book Antiqua"/>
          <w:lang w:val="es-ES"/>
        </w:rPr>
        <w:t xml:space="preserve">diversa </w:t>
      </w:r>
      <w:r w:rsidRPr="00E208BD">
        <w:rPr>
          <w:rFonts w:ascii="Book Antiqua" w:hAnsi="Book Antiqua"/>
          <w:lang w:val="es-ES"/>
        </w:rPr>
        <w:t>naturaleza, ni debilita el principio de re</w:t>
      </w:r>
      <w:r w:rsidR="0047364C">
        <w:rPr>
          <w:rFonts w:ascii="Book Antiqua" w:hAnsi="Book Antiqua"/>
          <w:lang w:val="es-ES"/>
        </w:rPr>
        <w:t>educación</w:t>
      </w:r>
      <w:r w:rsidRPr="00E208BD">
        <w:rPr>
          <w:rFonts w:ascii="Book Antiqua" w:hAnsi="Book Antiqua"/>
          <w:lang w:val="es-ES"/>
        </w:rPr>
        <w:t xml:space="preserve"> que </w:t>
      </w:r>
      <w:r w:rsidR="0047364C">
        <w:rPr>
          <w:rFonts w:ascii="Book Antiqua" w:hAnsi="Book Antiqua"/>
          <w:lang w:val="es-ES"/>
        </w:rPr>
        <w:t xml:space="preserve">rige </w:t>
      </w:r>
      <w:r w:rsidRPr="00E208BD">
        <w:rPr>
          <w:rFonts w:ascii="Book Antiqua" w:hAnsi="Book Antiqua"/>
          <w:lang w:val="es-ES"/>
        </w:rPr>
        <w:t>nuestro ordenamiento. Con esta aclaración legislativa se evita que la pérdida de jurisdicción administrativa por razón del egreso del estudiante convierta el requisito de agotamiento en un obstáculo absoluto a</w:t>
      </w:r>
      <w:r w:rsidR="00EB34E4">
        <w:rPr>
          <w:rFonts w:ascii="Book Antiqua" w:hAnsi="Book Antiqua"/>
          <w:lang w:val="es-ES"/>
        </w:rPr>
        <w:t xml:space="preserve"> la justicia juvenil</w:t>
      </w:r>
      <w:r w:rsidRPr="00E208BD">
        <w:rPr>
          <w:rFonts w:ascii="Book Antiqua" w:hAnsi="Book Antiqua"/>
          <w:lang w:val="es-ES"/>
        </w:rPr>
        <w:t>. Se trata de dotar al Artículo 4-A de coherencia</w:t>
      </w:r>
      <w:r w:rsidR="0047364C">
        <w:rPr>
          <w:rFonts w:ascii="Book Antiqua" w:hAnsi="Book Antiqua"/>
          <w:lang w:val="es-ES"/>
        </w:rPr>
        <w:t xml:space="preserve"> procesal</w:t>
      </w:r>
      <w:r w:rsidRPr="00E208BD">
        <w:rPr>
          <w:rFonts w:ascii="Book Antiqua" w:hAnsi="Book Antiqua"/>
          <w:lang w:val="es-ES"/>
        </w:rPr>
        <w:t>, asegurando que el ordenamiento jurídico no exija lo imposible ni fomente litigios innecesarios.</w:t>
      </w:r>
    </w:p>
    <w:p w14:paraId="1666F07A" w14:textId="77777777" w:rsidR="00E208BD" w:rsidRPr="00E208BD" w:rsidRDefault="00E208BD" w:rsidP="00E208BD">
      <w:pPr>
        <w:ind w:firstLine="360"/>
        <w:jc w:val="both"/>
        <w:rPr>
          <w:rFonts w:ascii="Book Antiqua" w:hAnsi="Book Antiqua"/>
          <w:lang w:val="es-ES"/>
        </w:rPr>
      </w:pPr>
    </w:p>
    <w:p w14:paraId="5D6DBFDC" w14:textId="1CAE956B" w:rsidR="00E208BD" w:rsidRPr="00E208BD" w:rsidRDefault="0047364C" w:rsidP="00E208BD">
      <w:pPr>
        <w:ind w:firstLine="360"/>
        <w:jc w:val="both"/>
        <w:rPr>
          <w:rFonts w:ascii="Book Antiqua" w:hAnsi="Book Antiqua"/>
          <w:lang w:val="es-ES"/>
        </w:rPr>
      </w:pPr>
      <w:r>
        <w:rPr>
          <w:rFonts w:ascii="Book Antiqua" w:hAnsi="Book Antiqua"/>
          <w:lang w:val="es-ES"/>
        </w:rPr>
        <w:t>Desde l</w:t>
      </w:r>
      <w:r w:rsidR="00E208BD" w:rsidRPr="00E208BD">
        <w:rPr>
          <w:rFonts w:ascii="Book Antiqua" w:hAnsi="Book Antiqua"/>
          <w:lang w:val="es-ES"/>
        </w:rPr>
        <w:t>a Asamblea Legislativa t</w:t>
      </w:r>
      <w:r>
        <w:rPr>
          <w:rFonts w:ascii="Book Antiqua" w:hAnsi="Book Antiqua"/>
          <w:lang w:val="es-ES"/>
        </w:rPr>
        <w:t>enemos</w:t>
      </w:r>
      <w:r w:rsidR="00E208BD" w:rsidRPr="00E208BD">
        <w:rPr>
          <w:rFonts w:ascii="Book Antiqua" w:hAnsi="Book Antiqua"/>
          <w:lang w:val="es-ES"/>
        </w:rPr>
        <w:t xml:space="preserve"> el deber de revisar y perfeccionar la legislación vigente cuando la experiencia práctica revela situaciones no previstas originalmente. Esta enmienda responde a ese deber y procura armonizar la protección de los derechos del menor con la necesidad de mantener un sistema de justicia juvenil funcional, justo y </w:t>
      </w:r>
      <w:r>
        <w:rPr>
          <w:rFonts w:ascii="Book Antiqua" w:hAnsi="Book Antiqua"/>
          <w:lang w:val="es-ES"/>
        </w:rPr>
        <w:t>libre de impunidad</w:t>
      </w:r>
      <w:r w:rsidR="00E208BD" w:rsidRPr="00E208BD">
        <w:rPr>
          <w:rFonts w:ascii="Book Antiqua" w:hAnsi="Book Antiqua"/>
          <w:lang w:val="es-ES"/>
        </w:rPr>
        <w:t>.</w:t>
      </w:r>
    </w:p>
    <w:p w14:paraId="1752ED2E" w14:textId="77777777" w:rsidR="00476FAF" w:rsidRPr="00457C09" w:rsidRDefault="00476FAF" w:rsidP="00640AB5">
      <w:pPr>
        <w:ind w:firstLine="360"/>
        <w:jc w:val="both"/>
        <w:rPr>
          <w:rFonts w:ascii="Book Antiqua" w:hAnsi="Book Antiqua"/>
          <w:lang w:val="es-PR"/>
        </w:rPr>
      </w:pPr>
    </w:p>
    <w:p w14:paraId="42E75752" w14:textId="77777777" w:rsidR="007E65F8" w:rsidRDefault="007E65F8" w:rsidP="00640AB5">
      <w:pPr>
        <w:spacing w:line="480" w:lineRule="auto"/>
        <w:rPr>
          <w:rFonts w:ascii="Book Antiqua" w:hAnsi="Book Antiqua"/>
          <w:i/>
          <w:lang w:val="es-ES_tradnl"/>
        </w:rPr>
      </w:pPr>
    </w:p>
    <w:p w14:paraId="6BAA28E6" w14:textId="77777777" w:rsidR="007E65F8" w:rsidRDefault="007E65F8" w:rsidP="00640AB5">
      <w:pPr>
        <w:spacing w:line="480" w:lineRule="auto"/>
        <w:rPr>
          <w:rFonts w:ascii="Book Antiqua" w:hAnsi="Book Antiqua"/>
          <w:i/>
          <w:lang w:val="es-ES_tradnl"/>
        </w:rPr>
      </w:pPr>
    </w:p>
    <w:p w14:paraId="2EA72B4F" w14:textId="400DC778" w:rsidR="00457C09" w:rsidRDefault="00457C09" w:rsidP="00640AB5">
      <w:pPr>
        <w:spacing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5E35372F" w14:textId="77777777" w:rsidR="00457C09" w:rsidRDefault="00457C09" w:rsidP="00457C09">
      <w:pPr>
        <w:spacing w:line="480" w:lineRule="auto"/>
        <w:jc w:val="both"/>
        <w:rPr>
          <w:rFonts w:ascii="Book Antiqua" w:hAnsi="Book Antiqua"/>
          <w:lang w:val="es-ES_tradnl"/>
        </w:rPr>
        <w:sectPr w:rsidR="00457C09">
          <w:headerReference w:type="default" r:id="rId8"/>
          <w:type w:val="continuous"/>
          <w:pgSz w:w="12240" w:h="15840" w:code="1"/>
          <w:pgMar w:top="1440" w:right="1440" w:bottom="1440" w:left="1440" w:header="720" w:footer="720" w:gutter="0"/>
          <w:cols w:space="720"/>
          <w:titlePg/>
        </w:sectPr>
      </w:pPr>
    </w:p>
    <w:p w14:paraId="3A92FCD6" w14:textId="55288992" w:rsidR="00457C09" w:rsidRPr="00457C09" w:rsidRDefault="00457C09" w:rsidP="00457C09">
      <w:pPr>
        <w:spacing w:line="480" w:lineRule="auto"/>
        <w:ind w:firstLine="360"/>
        <w:jc w:val="both"/>
        <w:rPr>
          <w:rFonts w:ascii="Book Antiqua" w:hAnsi="Book Antiqua"/>
          <w:lang w:val="es-PR"/>
        </w:rPr>
      </w:pPr>
      <w:r w:rsidRPr="00457C09">
        <w:rPr>
          <w:rFonts w:ascii="Book Antiqua" w:hAnsi="Book Antiqua"/>
          <w:lang w:val="es-PR"/>
        </w:rPr>
        <w:t xml:space="preserve">Sección 1.-Se enmienda el </w:t>
      </w:r>
      <w:r w:rsidR="00880A6C" w:rsidRPr="00A366CD">
        <w:rPr>
          <w:rFonts w:ascii="Book Antiqua" w:hAnsi="Book Antiqua"/>
          <w:lang w:val="es-ES"/>
        </w:rPr>
        <w:t>Artículo 4-A de la Ley Núm. 88-1986</w:t>
      </w:r>
      <w:r w:rsidRPr="00457C09">
        <w:rPr>
          <w:rFonts w:ascii="Book Antiqua" w:hAnsi="Book Antiqua"/>
          <w:lang w:val="es-PR"/>
        </w:rPr>
        <w:t xml:space="preserve">, según enmendada que leerá como sigue: </w:t>
      </w:r>
    </w:p>
    <w:p w14:paraId="38E95970" w14:textId="3BDDA530" w:rsidR="00457C09" w:rsidRPr="00A366CD" w:rsidRDefault="00A366CD" w:rsidP="00A366CD">
      <w:pPr>
        <w:spacing w:line="480" w:lineRule="auto"/>
        <w:ind w:firstLine="360"/>
        <w:jc w:val="both"/>
        <w:rPr>
          <w:rFonts w:ascii="Book Antiqua" w:hAnsi="Book Antiqua"/>
          <w:lang w:val="es-ES"/>
        </w:rPr>
      </w:pPr>
      <w:r w:rsidRPr="00A366CD">
        <w:rPr>
          <w:rFonts w:ascii="Book Antiqua" w:hAnsi="Book Antiqua"/>
          <w:lang w:val="es-ES"/>
        </w:rPr>
        <w:t xml:space="preserve">“Artículo 4-A – Agotamiento de remedios administrativos </w:t>
      </w:r>
      <w:r w:rsidR="00457C09" w:rsidRPr="00A366CD">
        <w:rPr>
          <w:rFonts w:ascii="Book Antiqua" w:hAnsi="Book Antiqua"/>
          <w:lang w:val="es-PR"/>
        </w:rPr>
        <w:tab/>
      </w:r>
    </w:p>
    <w:p w14:paraId="00E75F8B" w14:textId="00B55887" w:rsidR="00880A6C" w:rsidRPr="00A366CD" w:rsidRDefault="00A366CD" w:rsidP="00880A6C">
      <w:pPr>
        <w:spacing w:line="480" w:lineRule="auto"/>
        <w:jc w:val="both"/>
        <w:rPr>
          <w:rFonts w:ascii="Book Antiqua" w:hAnsi="Book Antiqua"/>
          <w:i/>
          <w:iCs/>
          <w:lang w:val="es-PR"/>
        </w:rPr>
      </w:pPr>
      <w:r w:rsidRPr="00880A6C">
        <w:rPr>
          <w:rFonts w:ascii="Book Antiqua" w:hAnsi="Book Antiqua"/>
          <w:lang w:val="es-ES"/>
        </w:rPr>
        <w:t xml:space="preserve">Antes del Tribunal ejercer su jurisdicción sobre la persona menor de edad, deberá agotarse </w:t>
      </w:r>
      <w:r w:rsidRPr="00A366CD">
        <w:rPr>
          <w:rFonts w:ascii="Book Antiqua" w:hAnsi="Book Antiqua"/>
          <w:lang w:val="es-ES"/>
        </w:rPr>
        <w:t>todo remedio administrativo establecido en el sistema de educación pública o privada, según sea</w:t>
      </w:r>
      <w:r w:rsidRPr="00880A6C">
        <w:rPr>
          <w:rFonts w:ascii="Book Antiqua" w:hAnsi="Book Antiqua"/>
          <w:lang w:val="es-ES"/>
        </w:rPr>
        <w:t xml:space="preserve"> </w:t>
      </w:r>
      <w:r w:rsidRPr="00A366CD">
        <w:rPr>
          <w:rFonts w:ascii="Book Antiqua" w:hAnsi="Book Antiqua"/>
          <w:lang w:val="es-ES"/>
        </w:rPr>
        <w:t>el caso, cuando la falta que se impute haya tenido lugar en un plantel escolar, ya sea en las</w:t>
      </w:r>
      <w:r w:rsidRPr="00880A6C">
        <w:rPr>
          <w:rFonts w:ascii="Book Antiqua" w:hAnsi="Book Antiqua"/>
          <w:lang w:val="es-ES"/>
        </w:rPr>
        <w:t xml:space="preserve"> </w:t>
      </w:r>
      <w:r w:rsidRPr="00A366CD">
        <w:rPr>
          <w:rFonts w:ascii="Book Antiqua" w:hAnsi="Book Antiqua"/>
          <w:lang w:val="es-ES"/>
        </w:rPr>
        <w:t>inmediaciones de la escuela, en la transportación escolar o en actividades escolares, deportivas con</w:t>
      </w:r>
      <w:r w:rsidRPr="00880A6C">
        <w:rPr>
          <w:lang w:val="es-ES"/>
        </w:rPr>
        <w:t xml:space="preserve"> </w:t>
      </w:r>
      <w:r w:rsidRPr="00880A6C">
        <w:rPr>
          <w:rFonts w:ascii="Book Antiqua" w:hAnsi="Book Antiqua"/>
          <w:lang w:val="es-ES"/>
        </w:rPr>
        <w:t>fin recreativo, cultural o académico.</w:t>
      </w:r>
      <w:r w:rsidRPr="00A366CD">
        <w:rPr>
          <w:rFonts w:ascii="Book Antiqua" w:hAnsi="Book Antiqua"/>
          <w:b/>
          <w:bCs/>
          <w:lang w:val="es-ES"/>
        </w:rPr>
        <w:t xml:space="preserve"> </w:t>
      </w:r>
    </w:p>
    <w:p w14:paraId="6BB6C3DA" w14:textId="16971A89" w:rsidR="006A173B" w:rsidRPr="006A173B" w:rsidRDefault="006A173B" w:rsidP="00A44020">
      <w:pPr>
        <w:spacing w:line="480" w:lineRule="auto"/>
        <w:jc w:val="both"/>
        <w:rPr>
          <w:rFonts w:ascii="Book Antiqua" w:hAnsi="Book Antiqua"/>
          <w:i/>
          <w:iCs/>
          <w:lang w:val="es-ES"/>
        </w:rPr>
      </w:pPr>
      <w:r>
        <w:rPr>
          <w:rFonts w:ascii="Book Antiqua" w:hAnsi="Book Antiqua"/>
          <w:i/>
          <w:iCs/>
          <w:lang w:val="es-ES"/>
        </w:rPr>
        <w:t>No obstante</w:t>
      </w:r>
      <w:r w:rsidRPr="006A173B">
        <w:rPr>
          <w:rFonts w:ascii="Book Antiqua" w:hAnsi="Book Antiqua"/>
          <w:i/>
          <w:iCs/>
          <w:lang w:val="es-ES"/>
        </w:rPr>
        <w:t xml:space="preserve">, no será </w:t>
      </w:r>
      <w:r>
        <w:rPr>
          <w:rFonts w:ascii="Book Antiqua" w:hAnsi="Book Antiqua"/>
          <w:i/>
          <w:iCs/>
          <w:lang w:val="es-ES"/>
        </w:rPr>
        <w:t>necesario</w:t>
      </w:r>
      <w:r w:rsidRPr="006A173B">
        <w:rPr>
          <w:rFonts w:ascii="Book Antiqua" w:hAnsi="Book Antiqua"/>
          <w:i/>
          <w:iCs/>
          <w:lang w:val="es-ES"/>
        </w:rPr>
        <w:t xml:space="preserve"> el agotamiento de remed</w:t>
      </w:r>
      <w:r w:rsidR="00813FE9">
        <w:rPr>
          <w:rFonts w:ascii="Book Antiqua" w:hAnsi="Book Antiqua"/>
          <w:i/>
          <w:iCs/>
          <w:lang w:val="es-ES"/>
        </w:rPr>
        <w:t>io</w:t>
      </w:r>
      <w:r w:rsidRPr="006A173B">
        <w:rPr>
          <w:rFonts w:ascii="Book Antiqua" w:hAnsi="Book Antiqua"/>
          <w:i/>
          <w:iCs/>
          <w:lang w:val="es-ES"/>
        </w:rPr>
        <w:t xml:space="preserve"> administrativo cuando la persona menor de edad haya egresado por graduación, cesado voluntariamente su matrícula o sido trasladada voluntariamente y de manera permanente fuera del sistema</w:t>
      </w:r>
      <w:r w:rsidR="00813FE9" w:rsidRPr="00813FE9">
        <w:rPr>
          <w:rFonts w:ascii="Book Antiqua" w:hAnsi="Book Antiqua"/>
          <w:lang w:val="es-ES"/>
        </w:rPr>
        <w:t xml:space="preserve"> </w:t>
      </w:r>
      <w:r w:rsidR="00813FE9" w:rsidRPr="00813FE9">
        <w:rPr>
          <w:rFonts w:ascii="Book Antiqua" w:hAnsi="Book Antiqua"/>
          <w:i/>
          <w:iCs/>
          <w:lang w:val="es-ES"/>
        </w:rPr>
        <w:t>de educación,</w:t>
      </w:r>
      <w:r w:rsidR="00813FE9">
        <w:rPr>
          <w:rFonts w:ascii="Book Antiqua" w:hAnsi="Book Antiqua"/>
          <w:i/>
          <w:iCs/>
          <w:lang w:val="es-ES"/>
        </w:rPr>
        <w:t xml:space="preserve"> </w:t>
      </w:r>
      <w:r w:rsidRPr="006A173B">
        <w:rPr>
          <w:rFonts w:ascii="Book Antiqua" w:hAnsi="Book Antiqua"/>
          <w:i/>
          <w:iCs/>
          <w:lang w:val="es-ES"/>
        </w:rPr>
        <w:t xml:space="preserve">donde ocurrieron los hechos imputados, y como consecuencia de ello </w:t>
      </w:r>
      <w:r w:rsidR="00813FE9" w:rsidRPr="00813FE9">
        <w:rPr>
          <w:rFonts w:ascii="Book Antiqua" w:hAnsi="Book Antiqua"/>
          <w:i/>
          <w:iCs/>
          <w:lang w:val="es-ES"/>
        </w:rPr>
        <w:t>el sistema de educación pública o privada, según sea el caso</w:t>
      </w:r>
      <w:r w:rsidR="00813FE9">
        <w:rPr>
          <w:rFonts w:ascii="Book Antiqua" w:hAnsi="Book Antiqua"/>
          <w:i/>
          <w:iCs/>
          <w:lang w:val="es-ES"/>
        </w:rPr>
        <w:t xml:space="preserve">, </w:t>
      </w:r>
      <w:r w:rsidRPr="006A173B">
        <w:rPr>
          <w:rFonts w:ascii="Book Antiqua" w:hAnsi="Book Antiqua"/>
          <w:i/>
          <w:iCs/>
          <w:lang w:val="es-ES"/>
        </w:rPr>
        <w:t>haya perdido jurisdicción administrativa para iniciar o culminar el procedimiento disciplinario correspondiente. Lo anterior no aplicará cuando el cese o traslado sea el resultado de una sanción disciplinaria o medida administrativa relacionada con los hechos imputados.</w:t>
      </w:r>
    </w:p>
    <w:p w14:paraId="1FFB9A13" w14:textId="69408838" w:rsidR="00A366CD" w:rsidRPr="00880A6C" w:rsidRDefault="00A366CD" w:rsidP="00A44020">
      <w:pPr>
        <w:spacing w:line="480" w:lineRule="auto"/>
        <w:jc w:val="both"/>
        <w:rPr>
          <w:rFonts w:ascii="Book Antiqua" w:hAnsi="Book Antiqua"/>
          <w:i/>
          <w:iCs/>
          <w:lang w:val="es-PR"/>
        </w:rPr>
      </w:pPr>
      <w:r w:rsidRPr="00880A6C">
        <w:rPr>
          <w:rFonts w:ascii="Book Antiqua" w:hAnsi="Book Antiqua"/>
          <w:lang w:val="es-ES"/>
        </w:rPr>
        <w:t>En caso del tribunal tener que asumir su jurisdicción sobre la persona menor, nada de esto se entenderá en menoscabo del derecho del(de la) menor a que su caso sea referido a mediación o desvío, si cualifica según lo establece esta Ley y las Reglas de Asuntos de Menores.</w:t>
      </w:r>
      <w:r w:rsidR="0060700C">
        <w:rPr>
          <w:rFonts w:ascii="Book Antiqua" w:hAnsi="Book Antiqua"/>
          <w:lang w:val="es-ES"/>
        </w:rPr>
        <w:t>”</w:t>
      </w:r>
    </w:p>
    <w:p w14:paraId="6B18FF2B" w14:textId="54F084E4" w:rsidR="00457C09" w:rsidRPr="00457C09" w:rsidRDefault="00457C09" w:rsidP="00DA6964">
      <w:pPr>
        <w:spacing w:line="480" w:lineRule="auto"/>
        <w:ind w:firstLine="360"/>
        <w:jc w:val="both"/>
        <w:rPr>
          <w:rFonts w:ascii="Book Antiqua" w:hAnsi="Book Antiqua"/>
          <w:lang w:val="es-PR"/>
        </w:rPr>
      </w:pPr>
      <w:r w:rsidRPr="00457C09">
        <w:rPr>
          <w:rFonts w:ascii="Book Antiqua" w:hAnsi="Book Antiqua"/>
          <w:lang w:val="es-PR"/>
        </w:rPr>
        <w:lastRenderedPageBreak/>
        <w:t xml:space="preserve">Sección 2.-El Secretario del Departamento de </w:t>
      </w:r>
      <w:r w:rsidR="00880A6C">
        <w:rPr>
          <w:rFonts w:ascii="Book Antiqua" w:hAnsi="Book Antiqua"/>
          <w:lang w:val="es-PR"/>
        </w:rPr>
        <w:t xml:space="preserve">Educación </w:t>
      </w:r>
      <w:r w:rsidRPr="00457C09">
        <w:rPr>
          <w:rFonts w:ascii="Book Antiqua" w:hAnsi="Book Antiqua"/>
          <w:lang w:val="es-PR"/>
        </w:rPr>
        <w:t>adoptará la reglamentación necesaria y conveniente para cumplir con los propósitos de esta Ley, dentro de ciento veinte (120) días contados desde la aprobación de esta Ley</w:t>
      </w:r>
      <w:r w:rsidR="00880A6C">
        <w:rPr>
          <w:rFonts w:ascii="Book Antiqua" w:hAnsi="Book Antiqua"/>
          <w:lang w:val="es-PR"/>
        </w:rPr>
        <w:t>.</w:t>
      </w:r>
    </w:p>
    <w:p w14:paraId="5A9D1655" w14:textId="6D720758" w:rsidR="005430F6" w:rsidRPr="005430F6" w:rsidRDefault="005430F6" w:rsidP="005430F6">
      <w:pPr>
        <w:spacing w:line="480" w:lineRule="auto"/>
        <w:ind w:firstLine="360"/>
        <w:jc w:val="both"/>
        <w:rPr>
          <w:rFonts w:ascii="Book Antiqua" w:hAnsi="Book Antiqua"/>
          <w:lang w:val="es-PR"/>
        </w:rPr>
      </w:pPr>
      <w:r w:rsidRPr="005430F6">
        <w:rPr>
          <w:rFonts w:ascii="Book Antiqua" w:hAnsi="Book Antiqua"/>
          <w:lang w:val="es-PR"/>
        </w:rPr>
        <w:t xml:space="preserve">Sección </w:t>
      </w:r>
      <w:r w:rsidR="00164C97">
        <w:rPr>
          <w:rFonts w:ascii="Book Antiqua" w:hAnsi="Book Antiqua"/>
          <w:lang w:val="es-PR"/>
        </w:rPr>
        <w:t>3</w:t>
      </w:r>
      <w:r w:rsidRPr="005430F6">
        <w:rPr>
          <w:rFonts w:ascii="Book Antiqua" w:hAnsi="Book Antiqua"/>
          <w:lang w:val="es-PR"/>
        </w:rPr>
        <w:t>.-Clausula de Supremacía</w:t>
      </w:r>
    </w:p>
    <w:p w14:paraId="66F125DC" w14:textId="72DDE2CE" w:rsidR="005430F6" w:rsidRDefault="005430F6" w:rsidP="005430F6">
      <w:pPr>
        <w:spacing w:line="480" w:lineRule="auto"/>
        <w:ind w:firstLine="360"/>
        <w:jc w:val="both"/>
        <w:rPr>
          <w:rFonts w:ascii="Book Antiqua" w:hAnsi="Book Antiqua"/>
          <w:lang w:val="es-PR"/>
        </w:rPr>
      </w:pPr>
      <w:r w:rsidRPr="005430F6">
        <w:rPr>
          <w:rFonts w:ascii="Book Antiqua" w:hAnsi="Book Antiqua"/>
          <w:lang w:val="es-PR"/>
        </w:rPr>
        <w:t>Las disposiciones de esta Ley prevalecerán sobre cualquier otra disposición general o específica de cualquier otra ley o reglamento del Gobierno de Puerto Rico que sea inconsistente con esta Ley.</w:t>
      </w:r>
    </w:p>
    <w:p w14:paraId="302948F6" w14:textId="77777777" w:rsidR="00164C97" w:rsidRPr="00164C97" w:rsidRDefault="00164C97" w:rsidP="00164C97">
      <w:pPr>
        <w:spacing w:line="480" w:lineRule="auto"/>
        <w:ind w:firstLine="360"/>
        <w:jc w:val="both"/>
        <w:rPr>
          <w:rFonts w:ascii="Book Antiqua" w:hAnsi="Book Antiqua"/>
          <w:lang w:val="es-ES_tradnl"/>
        </w:rPr>
      </w:pPr>
      <w:r w:rsidRPr="00164C97">
        <w:rPr>
          <w:rFonts w:ascii="Book Antiqua" w:hAnsi="Book Antiqua"/>
          <w:lang w:val="es-ES_tradnl"/>
        </w:rPr>
        <w:t>Sección 4.-Clausula de Separabilidad</w:t>
      </w:r>
    </w:p>
    <w:p w14:paraId="35B9BB45" w14:textId="376E6C79" w:rsidR="00164C97" w:rsidRPr="00164C97" w:rsidRDefault="00164C97" w:rsidP="00164C97">
      <w:pPr>
        <w:spacing w:line="480" w:lineRule="auto"/>
        <w:ind w:firstLine="360"/>
        <w:jc w:val="both"/>
        <w:rPr>
          <w:rFonts w:ascii="Book Antiqua" w:hAnsi="Book Antiqua"/>
          <w:lang w:val="es-ES_tradnl"/>
        </w:rPr>
      </w:pPr>
      <w:r w:rsidRPr="00164C97">
        <w:rPr>
          <w:rFonts w:ascii="Book Antiqua" w:hAnsi="Book Antiqua"/>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17B87DEC" w14:textId="5E080D07" w:rsidR="00457C09" w:rsidRPr="00457C09" w:rsidRDefault="00457C09" w:rsidP="00457C09">
      <w:pPr>
        <w:spacing w:line="480" w:lineRule="auto"/>
        <w:ind w:firstLine="360"/>
        <w:jc w:val="both"/>
        <w:rPr>
          <w:rFonts w:ascii="Book Antiqua" w:hAnsi="Book Antiqua"/>
          <w:lang w:val="es-PR"/>
        </w:rPr>
      </w:pPr>
      <w:r w:rsidRPr="00457C09">
        <w:rPr>
          <w:rFonts w:ascii="Book Antiqua" w:hAnsi="Book Antiqua"/>
          <w:lang w:val="es-PR"/>
        </w:rPr>
        <w:t xml:space="preserve">Sección </w:t>
      </w:r>
      <w:r w:rsidR="005430F6">
        <w:rPr>
          <w:rFonts w:ascii="Book Antiqua" w:hAnsi="Book Antiqua"/>
          <w:lang w:val="es-PR"/>
        </w:rPr>
        <w:t>5</w:t>
      </w:r>
      <w:r w:rsidRPr="00457C09">
        <w:rPr>
          <w:rFonts w:ascii="Book Antiqua" w:hAnsi="Book Antiqua"/>
          <w:lang w:val="es-PR"/>
        </w:rPr>
        <w:t>.-Vigencia</w:t>
      </w:r>
    </w:p>
    <w:p w14:paraId="1BC3848E" w14:textId="77777777" w:rsidR="00457C09" w:rsidRPr="00457C09" w:rsidRDefault="00457C09" w:rsidP="00457C09">
      <w:pPr>
        <w:spacing w:line="480" w:lineRule="auto"/>
        <w:ind w:firstLine="360"/>
        <w:jc w:val="both"/>
        <w:rPr>
          <w:rFonts w:ascii="Book Antiqua" w:hAnsi="Book Antiqua"/>
          <w:lang w:val="es-PR"/>
        </w:rPr>
      </w:pPr>
      <w:r w:rsidRPr="00457C09">
        <w:rPr>
          <w:rFonts w:ascii="Book Antiqua" w:hAnsi="Book Antiqua"/>
          <w:lang w:val="es-PR"/>
        </w:rPr>
        <w:t xml:space="preserve">Esta Ley comenzará a regir inmediatamente luego de su aprobación. </w:t>
      </w:r>
    </w:p>
    <w:sectPr w:rsidR="00457C09" w:rsidRPr="00457C09" w:rsidSect="00874A0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771FC" w14:textId="77777777" w:rsidR="00D65ECA" w:rsidRDefault="00D65ECA">
      <w:r>
        <w:separator/>
      </w:r>
    </w:p>
  </w:endnote>
  <w:endnote w:type="continuationSeparator" w:id="0">
    <w:p w14:paraId="6DCE1C1D" w14:textId="77777777" w:rsidR="00D65ECA" w:rsidRDefault="00D65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DCD6A" w14:textId="77777777" w:rsidR="00D65ECA" w:rsidRDefault="00D65ECA">
      <w:r>
        <w:separator/>
      </w:r>
    </w:p>
  </w:footnote>
  <w:footnote w:type="continuationSeparator" w:id="0">
    <w:p w14:paraId="6C28CF8A" w14:textId="77777777" w:rsidR="00D65ECA" w:rsidRDefault="00D65E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5B489"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105A32">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3AC1"/>
    <w:multiLevelType w:val="hybridMultilevel"/>
    <w:tmpl w:val="F0162B4A"/>
    <w:lvl w:ilvl="0" w:tplc="3E189F18">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2120563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57C09"/>
    <w:rsid w:val="00020BBB"/>
    <w:rsid w:val="00025D95"/>
    <w:rsid w:val="00051051"/>
    <w:rsid w:val="00056024"/>
    <w:rsid w:val="00080F11"/>
    <w:rsid w:val="00090AB6"/>
    <w:rsid w:val="00095AE1"/>
    <w:rsid w:val="000A6B6C"/>
    <w:rsid w:val="000B0DBB"/>
    <w:rsid w:val="000B1B73"/>
    <w:rsid w:val="00105A32"/>
    <w:rsid w:val="00111E71"/>
    <w:rsid w:val="00127C6A"/>
    <w:rsid w:val="001363FE"/>
    <w:rsid w:val="00164C97"/>
    <w:rsid w:val="0017132B"/>
    <w:rsid w:val="001D19FE"/>
    <w:rsid w:val="001F612A"/>
    <w:rsid w:val="001F6BCC"/>
    <w:rsid w:val="00203EBB"/>
    <w:rsid w:val="00211396"/>
    <w:rsid w:val="00226AE6"/>
    <w:rsid w:val="002425D2"/>
    <w:rsid w:val="00245B34"/>
    <w:rsid w:val="00263355"/>
    <w:rsid w:val="00273792"/>
    <w:rsid w:val="002762E2"/>
    <w:rsid w:val="002819F7"/>
    <w:rsid w:val="002C790D"/>
    <w:rsid w:val="002D4AC8"/>
    <w:rsid w:val="002F7499"/>
    <w:rsid w:val="00320D78"/>
    <w:rsid w:val="003350CF"/>
    <w:rsid w:val="00342674"/>
    <w:rsid w:val="003525DB"/>
    <w:rsid w:val="00380FE5"/>
    <w:rsid w:val="003924DD"/>
    <w:rsid w:val="00394FCB"/>
    <w:rsid w:val="003963F4"/>
    <w:rsid w:val="003B5254"/>
    <w:rsid w:val="003B75A6"/>
    <w:rsid w:val="004061CA"/>
    <w:rsid w:val="00415689"/>
    <w:rsid w:val="00422BE0"/>
    <w:rsid w:val="004440CB"/>
    <w:rsid w:val="00457C09"/>
    <w:rsid w:val="004713D2"/>
    <w:rsid w:val="0047364C"/>
    <w:rsid w:val="00476FAF"/>
    <w:rsid w:val="00510A73"/>
    <w:rsid w:val="00521639"/>
    <w:rsid w:val="0052444C"/>
    <w:rsid w:val="00532BB7"/>
    <w:rsid w:val="005332E4"/>
    <w:rsid w:val="0053550C"/>
    <w:rsid w:val="005430F6"/>
    <w:rsid w:val="00555018"/>
    <w:rsid w:val="0056066C"/>
    <w:rsid w:val="005723DC"/>
    <w:rsid w:val="0060700C"/>
    <w:rsid w:val="006210DC"/>
    <w:rsid w:val="006372F5"/>
    <w:rsid w:val="00640AB5"/>
    <w:rsid w:val="0064349D"/>
    <w:rsid w:val="00685549"/>
    <w:rsid w:val="00690B0A"/>
    <w:rsid w:val="006A173B"/>
    <w:rsid w:val="006B7365"/>
    <w:rsid w:val="006C2D81"/>
    <w:rsid w:val="006C7DF8"/>
    <w:rsid w:val="00750FC8"/>
    <w:rsid w:val="007533D0"/>
    <w:rsid w:val="00755069"/>
    <w:rsid w:val="007930D2"/>
    <w:rsid w:val="00794B38"/>
    <w:rsid w:val="00796486"/>
    <w:rsid w:val="007B0660"/>
    <w:rsid w:val="007D662C"/>
    <w:rsid w:val="007E3868"/>
    <w:rsid w:val="007E65F8"/>
    <w:rsid w:val="007F605F"/>
    <w:rsid w:val="00813FE9"/>
    <w:rsid w:val="00820C41"/>
    <w:rsid w:val="00835646"/>
    <w:rsid w:val="00850256"/>
    <w:rsid w:val="00855C91"/>
    <w:rsid w:val="00880A6C"/>
    <w:rsid w:val="00886405"/>
    <w:rsid w:val="0093277C"/>
    <w:rsid w:val="00932D19"/>
    <w:rsid w:val="00940CEE"/>
    <w:rsid w:val="00942FD4"/>
    <w:rsid w:val="00951997"/>
    <w:rsid w:val="00961B92"/>
    <w:rsid w:val="00965D5C"/>
    <w:rsid w:val="00990352"/>
    <w:rsid w:val="009D0521"/>
    <w:rsid w:val="00A03405"/>
    <w:rsid w:val="00A1528A"/>
    <w:rsid w:val="00A33918"/>
    <w:rsid w:val="00A366CD"/>
    <w:rsid w:val="00A44020"/>
    <w:rsid w:val="00A506BF"/>
    <w:rsid w:val="00A7629F"/>
    <w:rsid w:val="00A82138"/>
    <w:rsid w:val="00AD59D6"/>
    <w:rsid w:val="00AF0CEE"/>
    <w:rsid w:val="00B53165"/>
    <w:rsid w:val="00B667AD"/>
    <w:rsid w:val="00B84C38"/>
    <w:rsid w:val="00B86C00"/>
    <w:rsid w:val="00B947F6"/>
    <w:rsid w:val="00BF16AA"/>
    <w:rsid w:val="00C056E3"/>
    <w:rsid w:val="00C325AD"/>
    <w:rsid w:val="00C354B8"/>
    <w:rsid w:val="00C52517"/>
    <w:rsid w:val="00C554DB"/>
    <w:rsid w:val="00C60921"/>
    <w:rsid w:val="00C62936"/>
    <w:rsid w:val="00C653F2"/>
    <w:rsid w:val="00C679E6"/>
    <w:rsid w:val="00C71FBD"/>
    <w:rsid w:val="00C908F9"/>
    <w:rsid w:val="00CA0917"/>
    <w:rsid w:val="00CE0337"/>
    <w:rsid w:val="00CE2D97"/>
    <w:rsid w:val="00D011DD"/>
    <w:rsid w:val="00D417C2"/>
    <w:rsid w:val="00D60936"/>
    <w:rsid w:val="00D65ECA"/>
    <w:rsid w:val="00D709EB"/>
    <w:rsid w:val="00D74714"/>
    <w:rsid w:val="00D82F3F"/>
    <w:rsid w:val="00D921C6"/>
    <w:rsid w:val="00D958C2"/>
    <w:rsid w:val="00DA6964"/>
    <w:rsid w:val="00DD6B67"/>
    <w:rsid w:val="00E04AB5"/>
    <w:rsid w:val="00E208BD"/>
    <w:rsid w:val="00E27FF3"/>
    <w:rsid w:val="00E50EEA"/>
    <w:rsid w:val="00E52F58"/>
    <w:rsid w:val="00E72EB0"/>
    <w:rsid w:val="00E81585"/>
    <w:rsid w:val="00E838CE"/>
    <w:rsid w:val="00EB34E4"/>
    <w:rsid w:val="00EC26AA"/>
    <w:rsid w:val="00ED7A53"/>
    <w:rsid w:val="00EE4273"/>
    <w:rsid w:val="00EF0C4D"/>
    <w:rsid w:val="00F0126B"/>
    <w:rsid w:val="00F02004"/>
    <w:rsid w:val="00F042CB"/>
    <w:rsid w:val="00F11D01"/>
    <w:rsid w:val="00F31C6B"/>
    <w:rsid w:val="00F35175"/>
    <w:rsid w:val="00F73BA6"/>
    <w:rsid w:val="00F819EB"/>
    <w:rsid w:val="00FC0A95"/>
    <w:rsid w:val="00FC3D9C"/>
    <w:rsid w:val="00FF0153"/>
    <w:rsid w:val="00FF1400"/>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F8A33"/>
  <w15:chartTrackingRefBased/>
  <w15:docId w15:val="{C415FC71-D1E3-4972-A27E-3A2A85E5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2E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759311">
      <w:bodyDiv w:val="1"/>
      <w:marLeft w:val="0"/>
      <w:marRight w:val="0"/>
      <w:marTop w:val="0"/>
      <w:marBottom w:val="0"/>
      <w:divBdr>
        <w:top w:val="none" w:sz="0" w:space="0" w:color="auto"/>
        <w:left w:val="none" w:sz="0" w:space="0" w:color="auto"/>
        <w:bottom w:val="none" w:sz="0" w:space="0" w:color="auto"/>
        <w:right w:val="none" w:sz="0" w:space="0" w:color="auto"/>
      </w:divBdr>
    </w:div>
    <w:div w:id="504513996">
      <w:bodyDiv w:val="1"/>
      <w:marLeft w:val="0"/>
      <w:marRight w:val="0"/>
      <w:marTop w:val="0"/>
      <w:marBottom w:val="0"/>
      <w:divBdr>
        <w:top w:val="none" w:sz="0" w:space="0" w:color="auto"/>
        <w:left w:val="none" w:sz="0" w:space="0" w:color="auto"/>
        <w:bottom w:val="none" w:sz="0" w:space="0" w:color="auto"/>
        <w:right w:val="none" w:sz="0" w:space="0" w:color="auto"/>
      </w:divBdr>
    </w:div>
    <w:div w:id="861287682">
      <w:bodyDiv w:val="1"/>
      <w:marLeft w:val="0"/>
      <w:marRight w:val="0"/>
      <w:marTop w:val="0"/>
      <w:marBottom w:val="0"/>
      <w:divBdr>
        <w:top w:val="none" w:sz="0" w:space="0" w:color="auto"/>
        <w:left w:val="none" w:sz="0" w:space="0" w:color="auto"/>
        <w:bottom w:val="none" w:sz="0" w:space="0" w:color="auto"/>
        <w:right w:val="none" w:sz="0" w:space="0" w:color="auto"/>
      </w:divBdr>
    </w:div>
    <w:div w:id="1338652885">
      <w:bodyDiv w:val="1"/>
      <w:marLeft w:val="0"/>
      <w:marRight w:val="0"/>
      <w:marTop w:val="0"/>
      <w:marBottom w:val="0"/>
      <w:divBdr>
        <w:top w:val="none" w:sz="0" w:space="0" w:color="auto"/>
        <w:left w:val="none" w:sz="0" w:space="0" w:color="auto"/>
        <w:bottom w:val="none" w:sz="0" w:space="0" w:color="auto"/>
        <w:right w:val="none" w:sz="0" w:space="0" w:color="auto"/>
      </w:divBdr>
    </w:div>
    <w:div w:id="1377048143">
      <w:bodyDiv w:val="1"/>
      <w:marLeft w:val="0"/>
      <w:marRight w:val="0"/>
      <w:marTop w:val="0"/>
      <w:marBottom w:val="0"/>
      <w:divBdr>
        <w:top w:val="none" w:sz="0" w:space="0" w:color="auto"/>
        <w:left w:val="none" w:sz="0" w:space="0" w:color="auto"/>
        <w:bottom w:val="none" w:sz="0" w:space="0" w:color="auto"/>
        <w:right w:val="none" w:sz="0" w:space="0" w:color="auto"/>
      </w:divBdr>
      <w:divsChild>
        <w:div w:id="910966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6478097">
      <w:bodyDiv w:val="1"/>
      <w:marLeft w:val="0"/>
      <w:marRight w:val="0"/>
      <w:marTop w:val="0"/>
      <w:marBottom w:val="0"/>
      <w:divBdr>
        <w:top w:val="none" w:sz="0" w:space="0" w:color="auto"/>
        <w:left w:val="none" w:sz="0" w:space="0" w:color="auto"/>
        <w:bottom w:val="none" w:sz="0" w:space="0" w:color="auto"/>
        <w:right w:val="none" w:sz="0" w:space="0" w:color="auto"/>
      </w:divBdr>
    </w:div>
    <w:div w:id="1543250064">
      <w:bodyDiv w:val="1"/>
      <w:marLeft w:val="0"/>
      <w:marRight w:val="0"/>
      <w:marTop w:val="0"/>
      <w:marBottom w:val="0"/>
      <w:divBdr>
        <w:top w:val="none" w:sz="0" w:space="0" w:color="auto"/>
        <w:left w:val="none" w:sz="0" w:space="0" w:color="auto"/>
        <w:bottom w:val="none" w:sz="0" w:space="0" w:color="auto"/>
        <w:right w:val="none" w:sz="0" w:space="0" w:color="auto"/>
      </w:divBdr>
    </w:div>
    <w:div w:id="1695838212">
      <w:bodyDiv w:val="1"/>
      <w:marLeft w:val="0"/>
      <w:marRight w:val="0"/>
      <w:marTop w:val="0"/>
      <w:marBottom w:val="0"/>
      <w:divBdr>
        <w:top w:val="none" w:sz="0" w:space="0" w:color="auto"/>
        <w:left w:val="none" w:sz="0" w:space="0" w:color="auto"/>
        <w:bottom w:val="none" w:sz="0" w:space="0" w:color="auto"/>
        <w:right w:val="none" w:sz="0" w:space="0" w:color="auto"/>
      </w:divBdr>
      <w:divsChild>
        <w:div w:id="5598310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6547720">
      <w:bodyDiv w:val="1"/>
      <w:marLeft w:val="0"/>
      <w:marRight w:val="0"/>
      <w:marTop w:val="0"/>
      <w:marBottom w:val="0"/>
      <w:divBdr>
        <w:top w:val="none" w:sz="0" w:space="0" w:color="auto"/>
        <w:left w:val="none" w:sz="0" w:space="0" w:color="auto"/>
        <w:bottom w:val="none" w:sz="0" w:space="0" w:color="auto"/>
        <w:right w:val="none" w:sz="0" w:space="0" w:color="auto"/>
      </w:divBdr>
    </w:div>
    <w:div w:id="213478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Secretaria\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9</TotalTime>
  <Pages>4</Pages>
  <Words>1001</Words>
  <Characters>5854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Rocío Alayón Morell</cp:lastModifiedBy>
  <cp:revision>4</cp:revision>
  <cp:lastPrinted>2026-03-03T17:36:00Z</cp:lastPrinted>
  <dcterms:created xsi:type="dcterms:W3CDTF">2026-03-09T17:09:00Z</dcterms:created>
  <dcterms:modified xsi:type="dcterms:W3CDTF">2026-03-10T14:53:00Z</dcterms:modified>
</cp:coreProperties>
</file>