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B637D" w14:textId="77777777" w:rsidR="00FF6BD2" w:rsidRDefault="00817CB3" w:rsidP="003B2A5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449132" w14:textId="77777777" w:rsidR="00817CB3" w:rsidRPr="003B2A59" w:rsidRDefault="00817CB3" w:rsidP="003B2A59">
      <w:pPr>
        <w:jc w:val="center"/>
        <w:rPr>
          <w:rFonts w:ascii="Book Antiqua" w:hAnsi="Book Antiqua"/>
          <w:lang w:val="es-ES_tradnl"/>
        </w:rPr>
      </w:pPr>
    </w:p>
    <w:p w14:paraId="5082FC63" w14:textId="4C682D2B" w:rsidR="00817CB3" w:rsidRDefault="00FD7B7C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B2A59">
        <w:rPr>
          <w:rFonts w:ascii="Book Antiqua" w:hAnsi="Book Antiqua"/>
          <w:lang w:val="es-ES_tradnl"/>
        </w:rPr>
        <w:t xml:space="preserve">a. </w:t>
      </w:r>
      <w:r w:rsidR="00817CB3">
        <w:rPr>
          <w:rFonts w:ascii="Book Antiqua" w:hAnsi="Book Antiqua"/>
          <w:lang w:val="es-ES_tradnl"/>
        </w:rPr>
        <w:t>Asamblea</w:t>
      </w:r>
      <w:r w:rsidR="00817CB3">
        <w:rPr>
          <w:rFonts w:ascii="Book Antiqua" w:hAnsi="Book Antiqua"/>
          <w:lang w:val="es-ES_tradnl"/>
        </w:rPr>
        <w:tab/>
      </w:r>
      <w:r w:rsidR="007C18CD">
        <w:rPr>
          <w:rFonts w:ascii="Book Antiqua" w:hAnsi="Book Antiqua"/>
          <w:lang w:val="es-ES_tradnl"/>
        </w:rPr>
        <w:t>3</w:t>
      </w:r>
      <w:r w:rsidR="003B2A59">
        <w:rPr>
          <w:rFonts w:ascii="Book Antiqua" w:hAnsi="Book Antiqua"/>
          <w:lang w:val="es-ES_tradnl"/>
        </w:rPr>
        <w:t xml:space="preserve">ra. </w:t>
      </w:r>
      <w:r w:rsidR="00817CB3">
        <w:rPr>
          <w:rFonts w:ascii="Book Antiqua" w:hAnsi="Book Antiqua"/>
          <w:lang w:val="es-ES_tradnl"/>
        </w:rPr>
        <w:t>Sesión</w:t>
      </w:r>
    </w:p>
    <w:p w14:paraId="4C1937E8" w14:textId="77777777" w:rsidR="00817CB3" w:rsidRDefault="00817CB3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3B2A59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7E82A63B" w14:textId="77777777" w:rsidR="00817CB3" w:rsidRDefault="00817CB3" w:rsidP="003B2A59">
      <w:pPr>
        <w:rPr>
          <w:lang w:val="es-ES_tradnl"/>
        </w:rPr>
      </w:pPr>
    </w:p>
    <w:p w14:paraId="7530154C" w14:textId="77777777" w:rsidR="00817CB3" w:rsidRDefault="00817CB3" w:rsidP="003B2A5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AE0C27" w14:textId="77777777" w:rsidR="00817CB3" w:rsidRPr="003B2A59" w:rsidRDefault="00817CB3" w:rsidP="003B2A59">
      <w:pPr>
        <w:jc w:val="center"/>
        <w:rPr>
          <w:rFonts w:ascii="Book Antiqua" w:hAnsi="Book Antiqua"/>
          <w:b/>
          <w:lang w:val="es-ES_tradnl"/>
        </w:rPr>
      </w:pPr>
    </w:p>
    <w:p w14:paraId="401524A3" w14:textId="794F157C" w:rsidR="00817CB3" w:rsidRDefault="00817CB3" w:rsidP="003B2A5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A34E3E">
        <w:rPr>
          <w:rFonts w:ascii="Book Antiqua" w:hAnsi="Book Antiqua"/>
          <w:b/>
          <w:sz w:val="52"/>
          <w:lang w:val="es-ES_tradnl"/>
        </w:rPr>
        <w:t>117</w:t>
      </w:r>
      <w:r w:rsidR="009E2AFD">
        <w:rPr>
          <w:rFonts w:ascii="Book Antiqua" w:hAnsi="Book Antiqua"/>
          <w:b/>
          <w:sz w:val="52"/>
          <w:lang w:val="es-ES_tradnl"/>
        </w:rPr>
        <w:t>3</w:t>
      </w:r>
    </w:p>
    <w:p w14:paraId="062B4D59" w14:textId="77777777" w:rsidR="003B2A59" w:rsidRPr="003B2A59" w:rsidRDefault="003B2A59" w:rsidP="003B2A5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42F16D" w14:textId="4B9ED71C" w:rsidR="00817CB3" w:rsidRDefault="00A34E3E" w:rsidP="003B2A5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9 </w:t>
      </w:r>
      <w:r w:rsidR="00817CB3">
        <w:rPr>
          <w:rFonts w:ascii="Book Antiqua" w:hAnsi="Book Antiqua"/>
          <w:lang w:val="es-ES_tradnl"/>
        </w:rPr>
        <w:t xml:space="preserve">DE </w:t>
      </w:r>
      <w:r w:rsidR="007C18CD">
        <w:rPr>
          <w:rFonts w:ascii="Book Antiqua" w:hAnsi="Book Antiqua"/>
          <w:lang w:val="es-ES_tradnl"/>
        </w:rPr>
        <w:t>MARZO</w:t>
      </w:r>
      <w:r w:rsidR="00817CB3">
        <w:rPr>
          <w:rFonts w:ascii="Book Antiqua" w:hAnsi="Book Antiqua"/>
          <w:lang w:val="es-ES_tradnl"/>
        </w:rPr>
        <w:t xml:space="preserve"> DE 20</w:t>
      </w:r>
      <w:r w:rsidR="00FD7B7C">
        <w:rPr>
          <w:rFonts w:ascii="Book Antiqua" w:hAnsi="Book Antiqua"/>
          <w:lang w:val="es-ES_tradnl"/>
        </w:rPr>
        <w:t>2</w:t>
      </w:r>
      <w:r w:rsidR="007C18CD">
        <w:rPr>
          <w:rFonts w:ascii="Book Antiqua" w:hAnsi="Book Antiqua"/>
          <w:lang w:val="es-ES_tradnl"/>
        </w:rPr>
        <w:t>6</w:t>
      </w:r>
    </w:p>
    <w:p w14:paraId="1134AEE1" w14:textId="77777777" w:rsidR="003B2A59" w:rsidRDefault="003B2A59" w:rsidP="003B2A59">
      <w:pPr>
        <w:jc w:val="center"/>
        <w:rPr>
          <w:rFonts w:ascii="Book Antiqua" w:hAnsi="Book Antiqua"/>
          <w:lang w:val="es-ES_tradnl"/>
        </w:rPr>
      </w:pPr>
    </w:p>
    <w:p w14:paraId="2D259DC5" w14:textId="3B3CE000" w:rsidR="00817CB3" w:rsidRDefault="00817CB3" w:rsidP="003B2A59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FD7B7C">
        <w:rPr>
          <w:rFonts w:ascii="Book Antiqua" w:hAnsi="Book Antiqua"/>
          <w:i/>
          <w:lang w:val="es-ES_tradnl"/>
        </w:rPr>
        <w:t>Nieves Rosario</w:t>
      </w:r>
    </w:p>
    <w:p w14:paraId="7EDCFA0A" w14:textId="77777777" w:rsidR="001A3B4C" w:rsidRDefault="001A3B4C" w:rsidP="003B2A59">
      <w:pPr>
        <w:jc w:val="center"/>
        <w:rPr>
          <w:rFonts w:ascii="Book Antiqua" w:hAnsi="Book Antiqua"/>
          <w:i/>
          <w:lang w:val="es-ES_tradnl"/>
        </w:rPr>
      </w:pPr>
    </w:p>
    <w:p w14:paraId="07485878" w14:textId="3317CA45" w:rsidR="001A3B4C" w:rsidRPr="003F05AA" w:rsidRDefault="001A3B4C" w:rsidP="003B2A59">
      <w:pPr>
        <w:jc w:val="center"/>
        <w:rPr>
          <w:rFonts w:ascii="Book Antiqua" w:hAnsi="Book Antiqua"/>
          <w:iCs/>
          <w:lang w:val="es-ES_tradnl"/>
        </w:rPr>
      </w:pPr>
      <w:r w:rsidRPr="003F05AA">
        <w:rPr>
          <w:rFonts w:ascii="Book Antiqua" w:hAnsi="Book Antiqua"/>
          <w:iCs/>
          <w:lang w:val="es-ES_tradnl"/>
        </w:rPr>
        <w:t>Referido a</w:t>
      </w:r>
      <w:r w:rsidR="00114BE5">
        <w:rPr>
          <w:rFonts w:ascii="Book Antiqua" w:hAnsi="Book Antiqua"/>
          <w:iCs/>
          <w:lang w:val="es-ES_tradnl"/>
        </w:rPr>
        <w:t xml:space="preserve"> la Comisión de Turismo</w:t>
      </w:r>
      <w:r w:rsidRPr="003F05AA">
        <w:rPr>
          <w:rFonts w:ascii="Book Antiqua" w:hAnsi="Book Antiqua"/>
          <w:iCs/>
          <w:lang w:val="es-ES_tradnl"/>
        </w:rPr>
        <w:t xml:space="preserve"> </w:t>
      </w:r>
    </w:p>
    <w:p w14:paraId="7A7AF058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59635AA0" w14:textId="77777777" w:rsidR="00817CB3" w:rsidRDefault="00817CB3" w:rsidP="003B2A5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5398934D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0DE75906" w14:textId="34660FA8" w:rsidR="007C18CD" w:rsidRPr="00472125" w:rsidRDefault="00817CB3" w:rsidP="007C18CD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7C18CD" w:rsidRPr="000F3B3A">
        <w:rPr>
          <w:rFonts w:ascii="Book Antiqua" w:hAnsi="Book Antiqua"/>
          <w:lang w:val="es-ES_tradnl"/>
        </w:rPr>
        <w:t xml:space="preserve">designar con el nombre de </w:t>
      </w:r>
      <w:r w:rsidR="007C18CD" w:rsidRPr="000F3B3A">
        <w:rPr>
          <w:rFonts w:ascii="Book Antiqua" w:hAnsi="Book Antiqua"/>
          <w:i/>
          <w:iCs/>
          <w:lang w:val="es-ES_tradnl"/>
        </w:rPr>
        <w:t>“Sabor de las Atenas”</w:t>
      </w:r>
      <w:r w:rsidR="007C18CD" w:rsidRPr="000F3B3A">
        <w:rPr>
          <w:rFonts w:ascii="Book Antiqua" w:hAnsi="Book Antiqua"/>
          <w:lang w:val="es-ES_tradnl"/>
        </w:rPr>
        <w:t xml:space="preserve"> a la Ruta Gastronómica y </w:t>
      </w:r>
      <w:r w:rsidR="007C18CD" w:rsidRPr="00472125">
        <w:rPr>
          <w:rFonts w:ascii="Book Antiqua" w:hAnsi="Book Antiqua"/>
          <w:lang w:val="es-ES_tradnl"/>
        </w:rPr>
        <w:t xml:space="preserve">Panorámica que transcurre la carretera estatal PR-685 que atraviesa el municipio de Manatí; establecer un </w:t>
      </w:r>
      <w:r w:rsidR="007C18CD" w:rsidRPr="001D79BF">
        <w:rPr>
          <w:rFonts w:ascii="Book Antiqua" w:hAnsi="Book Antiqua"/>
          <w:lang w:val="es-ES_tradnl"/>
        </w:rPr>
        <w:t>Comité de Trabajo de la</w:t>
      </w:r>
      <w:r w:rsidR="007C18CD" w:rsidRPr="001D79BF">
        <w:rPr>
          <w:rFonts w:ascii="Book Antiqua" w:hAnsi="Book Antiqua"/>
          <w:strike/>
          <w:lang w:val="es-ES_tradnl"/>
        </w:rPr>
        <w:t xml:space="preserve"> Compañía de Turismo de Puerto Rico</w:t>
      </w:r>
      <w:r w:rsidR="001D79BF">
        <w:rPr>
          <w:rFonts w:ascii="Book Antiqua" w:hAnsi="Book Antiqua"/>
          <w:lang w:val="es-ES_tradnl"/>
        </w:rPr>
        <w:t xml:space="preserve"> </w:t>
      </w:r>
      <w:r w:rsidR="001D79BF" w:rsidRPr="001D79BF">
        <w:rPr>
          <w:rFonts w:ascii="Book Antiqua" w:hAnsi="Book Antiqua"/>
          <w:i/>
          <w:iCs/>
          <w:u w:val="single"/>
          <w:lang w:val="es-ES_tradnl"/>
        </w:rPr>
        <w:t>Oficina de Turismo del Departamento de Desarrollo Económico y Comercio o cualquier ente jurídico sucesor</w:t>
      </w:r>
      <w:r w:rsidR="007C18CD" w:rsidRPr="00472125">
        <w:rPr>
          <w:rFonts w:ascii="Book Antiqua" w:hAnsi="Book Antiqua"/>
          <w:lang w:val="es-ES_tradnl"/>
        </w:rPr>
        <w:t>, para que pueda identificar, tomar acción afirmativa y dar debido cumplimiento a todos los requerimientos dispuestos en esta Ley;</w:t>
      </w:r>
      <w:r w:rsidR="007C18CD">
        <w:rPr>
          <w:rFonts w:ascii="Book Antiqua" w:hAnsi="Book Antiqua"/>
          <w:lang w:val="es-ES_tradnl"/>
        </w:rPr>
        <w:t xml:space="preserve"> incluyendo el establecimiento de acuerdos colaborativos con el Municipio de Manatí y/o cualquier otra entidad pública o privada;</w:t>
      </w:r>
      <w:r w:rsidR="007C18CD" w:rsidRPr="00472125">
        <w:rPr>
          <w:rFonts w:ascii="Book Antiqua" w:hAnsi="Book Antiqua"/>
          <w:lang w:val="es-ES_tradnl"/>
        </w:rPr>
        <w:t xml:space="preserve"> desarrollar los planes de mercadeo y promoción que se estime necesario; someter un Informe Anual ante la Asamblea Legislativa pormenorizando su cumplimiento con los requerimientos y exigencias de esta Ley; coordinar con otras agencias y para otros fines.</w:t>
      </w:r>
    </w:p>
    <w:p w14:paraId="06BBB759" w14:textId="7F4EF519" w:rsidR="003B2A59" w:rsidRDefault="003B2A59" w:rsidP="007C18CD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6A759584" w14:textId="77777777" w:rsidR="00817CB3" w:rsidRDefault="00817CB3" w:rsidP="0008132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BF5CE08" w14:textId="77777777" w:rsidR="003B2A59" w:rsidRDefault="003B2A59" w:rsidP="003B2A59">
      <w:pPr>
        <w:ind w:firstLine="360"/>
        <w:jc w:val="center"/>
        <w:rPr>
          <w:rFonts w:ascii="Book Antiqua" w:hAnsi="Book Antiqua"/>
          <w:lang w:val="es-ES_tradnl"/>
        </w:rPr>
      </w:pPr>
    </w:p>
    <w:p w14:paraId="017DD390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 xml:space="preserve">Nuestra condición de isla faculta enormemente el crecimiento económico a través del turismo. El turismo en Puerto </w:t>
      </w:r>
      <w:r w:rsidRPr="00472125">
        <w:rPr>
          <w:rFonts w:ascii="Book Antiqua" w:hAnsi="Book Antiqua"/>
          <w:lang w:val="es-PR"/>
        </w:rPr>
        <w:t>Rico se ha</w:t>
      </w:r>
      <w:r w:rsidRPr="00472125">
        <w:rPr>
          <w:rFonts w:ascii="Book Antiqua" w:hAnsi="Book Antiqua"/>
          <w:lang w:val="es-ES_tradnl"/>
        </w:rPr>
        <w:t xml:space="preserve"> concentrado mayormente en la zona costera. </w:t>
      </w:r>
    </w:p>
    <w:p w14:paraId="5329FF59" w14:textId="77777777" w:rsidR="007C18CD" w:rsidRPr="00472125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0D35D07A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 xml:space="preserve">El turismo consiste en la visita a las playas, ríos, cascadas, montañas y llanos que nos pueda ofrecer el país anfitrión. El mencionado sector ha evolucionado para atemperarse a nuestra realidad actual. Así también, existe el turismo gastronómico, el cual consiste en ofrecerle al turista la máxima experiencia culinaria posible, siendo el atractivo principal la elaboración y presentación del plato. </w:t>
      </w:r>
    </w:p>
    <w:p w14:paraId="648BA0C6" w14:textId="77777777" w:rsidR="007C18CD" w:rsidRPr="00472125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5BA3BE92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lastRenderedPageBreak/>
        <w:t>A través de toda nuestra Isla, coexisten varias rutas gastronómicas, como,</w:t>
      </w:r>
      <w:r>
        <w:rPr>
          <w:rFonts w:ascii="Book Antiqua" w:hAnsi="Book Antiqua"/>
          <w:lang w:val="es-ES_tradnl"/>
        </w:rPr>
        <w:t xml:space="preserve"> por</w:t>
      </w:r>
      <w:r w:rsidRPr="00472125">
        <w:rPr>
          <w:rFonts w:ascii="Book Antiqua" w:hAnsi="Book Antiqua"/>
          <w:lang w:val="es-ES_tradnl"/>
        </w:rPr>
        <w:t xml:space="preserve"> ejemplo, la Ruta del Plátano en Corozal, la Ruta de la Tradición </w:t>
      </w:r>
      <w:proofErr w:type="spellStart"/>
      <w:r w:rsidRPr="00472125">
        <w:rPr>
          <w:rFonts w:ascii="Book Antiqua" w:hAnsi="Book Antiqua"/>
          <w:lang w:val="es-ES_tradnl"/>
        </w:rPr>
        <w:t>Loiceña</w:t>
      </w:r>
      <w:proofErr w:type="spellEnd"/>
      <w:r w:rsidRPr="00472125">
        <w:rPr>
          <w:rFonts w:ascii="Book Antiqua" w:hAnsi="Book Antiqua"/>
          <w:lang w:val="es-ES_tradnl"/>
        </w:rPr>
        <w:t xml:space="preserve"> que transcurre los barrios Piñones y Torrecilla Baja del municipio de Loíza, entre otras. Estas mencionadas rutas tienen un enfoque puramente gastronómico. Dichas rutas colaboran al desarrollo y crecimiento económico de la región.</w:t>
      </w:r>
    </w:p>
    <w:p w14:paraId="33D2BD6F" w14:textId="77777777" w:rsidR="007C18CD" w:rsidRPr="00472125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36BA0F5C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 xml:space="preserve">Contemplar el atardecer desde la costa de Manatí se ha convertido en un llamativo para nuestros visitantes. Ahora bien, cuando fusionamos ambos elementos, las vistas panorámicas y la gastronomía resulta en una experiencia única para nuestros visitantes, locales e internacionales. </w:t>
      </w:r>
    </w:p>
    <w:p w14:paraId="1AEC1391" w14:textId="77777777" w:rsidR="007C18CD" w:rsidRPr="00472125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6DB75EAA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>Al turista que visite la “Ruta Gastronómica y Panorámica Sabor de las Atenas” le podremos ofrecer la experiencia de visitar nuestros “chinchorros”; degustar los platos de los restaurantes del área; las comidas y bebidas típicas de la zona y los productos agrícolas que se cultivan en dicha región; además, visitar las hospederías que ubican en dicha ruta. De esta forma, se fomentará el turismo gastronómico a través de comercios que apoyan la agricultura local. Así mismo, fortaleceremos nuestros pequeños y</w:t>
      </w:r>
      <w:r w:rsidRPr="000F3B3A">
        <w:rPr>
          <w:rFonts w:ascii="Book Antiqua" w:hAnsi="Book Antiqua"/>
          <w:lang w:val="es-ES_tradnl"/>
        </w:rPr>
        <w:t xml:space="preserve"> </w:t>
      </w:r>
      <w:r w:rsidRPr="00472125">
        <w:rPr>
          <w:rFonts w:ascii="Book Antiqua" w:hAnsi="Book Antiqua"/>
          <w:lang w:val="es-ES_tradnl"/>
        </w:rPr>
        <w:t>medianos comerciantes y demostraremos al turista local e internacional lo mejor de la isla en gastronomía, agricultura y entretenimiento.</w:t>
      </w:r>
    </w:p>
    <w:p w14:paraId="2EB79A6B" w14:textId="77777777" w:rsidR="007C18CD" w:rsidRPr="00472125" w:rsidRDefault="007C18CD" w:rsidP="007C18CD">
      <w:pPr>
        <w:ind w:firstLine="720"/>
        <w:jc w:val="both"/>
        <w:rPr>
          <w:rFonts w:ascii="Book Antiqua" w:hAnsi="Book Antiqua"/>
          <w:highlight w:val="yellow"/>
          <w:lang w:val="es-ES_tradnl"/>
        </w:rPr>
      </w:pPr>
    </w:p>
    <w:p w14:paraId="54ABBBAF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>Con la designación de la “Ruta Gastronómica y Panorámica Sabor de las Atenas</w:t>
      </w:r>
      <w:r w:rsidRPr="00472125">
        <w:rPr>
          <w:rFonts w:ascii="Book Antiqua" w:hAnsi="Book Antiqua"/>
          <w:i/>
          <w:lang w:val="es-ES_tradnl"/>
        </w:rPr>
        <w:t xml:space="preserve">” </w:t>
      </w:r>
      <w:r w:rsidRPr="00472125">
        <w:rPr>
          <w:rFonts w:ascii="Book Antiqua" w:hAnsi="Book Antiqua"/>
          <w:lang w:val="es-ES_tradnl"/>
        </w:rPr>
        <w:t xml:space="preserve">estaremos fomentando </w:t>
      </w:r>
      <w:r w:rsidRPr="00B047B5">
        <w:rPr>
          <w:rFonts w:ascii="Book Antiqua" w:hAnsi="Book Antiqua"/>
          <w:lang w:val="es-ES_tradnl"/>
        </w:rPr>
        <w:t xml:space="preserve">un modelo de </w:t>
      </w:r>
      <w:r w:rsidRPr="00B047B5">
        <w:rPr>
          <w:rFonts w:ascii="Book Antiqua" w:hAnsi="Book Antiqua"/>
          <w:bCs/>
          <w:lang w:val="es-ES_tradnl"/>
        </w:rPr>
        <w:t>desarrollo sostenible</w:t>
      </w:r>
      <w:r w:rsidRPr="00B047B5">
        <w:rPr>
          <w:rFonts w:ascii="Book Antiqua" w:hAnsi="Book Antiqua"/>
          <w:lang w:val="es-ES_tradnl"/>
        </w:rPr>
        <w:t xml:space="preserve"> que beneficiará a los comerciantes locales, ampliará la oferta culinaria y fomentará la integración comunitaria</w:t>
      </w:r>
      <w:r w:rsidRPr="00472125">
        <w:rPr>
          <w:rFonts w:ascii="Book Antiqua" w:hAnsi="Book Antiqua"/>
          <w:lang w:val="es-ES_tradnl"/>
        </w:rPr>
        <w:t xml:space="preserve"> de la Región Norte, en su misión de conquistar nuevos turistas.  </w:t>
      </w:r>
    </w:p>
    <w:p w14:paraId="2DEC02C6" w14:textId="77777777" w:rsidR="003B2A59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52332804" w14:textId="77777777" w:rsidR="00817CB3" w:rsidRDefault="00817CB3" w:rsidP="003B2A5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F93033D" w14:textId="77777777" w:rsidR="00817CB3" w:rsidRDefault="00817CB3" w:rsidP="00817CB3">
      <w:pPr>
        <w:spacing w:line="480" w:lineRule="auto"/>
        <w:jc w:val="both"/>
        <w:rPr>
          <w:rFonts w:ascii="Book Antiqua" w:hAnsi="Book Antiqua"/>
          <w:lang w:val="es-ES_tradnl"/>
        </w:rPr>
        <w:sectPr w:rsidR="00817CB3">
          <w:headerReference w:type="default" r:id="rId11"/>
          <w:headerReference w:type="firs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9C0934A" w14:textId="0DB5B136" w:rsidR="007C18CD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 1.-Se designa</w:t>
      </w:r>
      <w:r w:rsidRPr="003A2439">
        <w:rPr>
          <w:rFonts w:ascii="Book Antiqua" w:hAnsi="Book Antiqua"/>
          <w:lang w:val="es-ES_tradnl"/>
        </w:rPr>
        <w:t xml:space="preserve"> con el nombre de “</w:t>
      </w:r>
      <w:r>
        <w:rPr>
          <w:rFonts w:ascii="Book Antiqua" w:hAnsi="Book Antiqua"/>
          <w:i/>
          <w:lang w:val="es-ES_tradnl"/>
        </w:rPr>
        <w:t>Sabor de las Atenas</w:t>
      </w:r>
      <w:r w:rsidRPr="003A2439">
        <w:rPr>
          <w:rFonts w:ascii="Book Antiqua" w:hAnsi="Book Antiqua"/>
          <w:lang w:val="es-ES_tradnl"/>
        </w:rPr>
        <w:t>” a la Ruta Gastronómica y Panorámica que transcurre por la carrete</w:t>
      </w:r>
      <w:r>
        <w:rPr>
          <w:rFonts w:ascii="Book Antiqua" w:hAnsi="Book Antiqua"/>
          <w:lang w:val="es-ES_tradnl"/>
        </w:rPr>
        <w:t>ra</w:t>
      </w:r>
      <w:r w:rsidRPr="003A2439">
        <w:rPr>
          <w:rFonts w:ascii="Book Antiqua" w:hAnsi="Book Antiqua"/>
          <w:lang w:val="es-ES_tradnl"/>
        </w:rPr>
        <w:t xml:space="preserve"> estatal PR-</w:t>
      </w:r>
      <w:r>
        <w:rPr>
          <w:rFonts w:ascii="Book Antiqua" w:hAnsi="Book Antiqua"/>
          <w:lang w:val="es-ES_tradnl"/>
        </w:rPr>
        <w:t xml:space="preserve">685 </w:t>
      </w:r>
      <w:r w:rsidRPr="003A2439">
        <w:rPr>
          <w:rFonts w:ascii="Book Antiqua" w:hAnsi="Book Antiqua"/>
          <w:lang w:val="es-ES_tradnl"/>
        </w:rPr>
        <w:t xml:space="preserve">que </w:t>
      </w:r>
      <w:r w:rsidRPr="001D79BF">
        <w:rPr>
          <w:rFonts w:ascii="Book Antiqua" w:hAnsi="Book Antiqua"/>
          <w:strike/>
          <w:lang w:val="es-ES_tradnl"/>
        </w:rPr>
        <w:t>atraviesan</w:t>
      </w:r>
      <w:r w:rsidRPr="003A2439">
        <w:rPr>
          <w:rFonts w:ascii="Book Antiqua" w:hAnsi="Book Antiqua"/>
          <w:lang w:val="es-ES_tradnl"/>
        </w:rPr>
        <w:t xml:space="preserve"> </w:t>
      </w:r>
      <w:r w:rsidR="001D79BF">
        <w:rPr>
          <w:rFonts w:ascii="Book Antiqua" w:hAnsi="Book Antiqua"/>
          <w:i/>
          <w:iCs/>
          <w:u w:val="single"/>
          <w:lang w:val="es-ES_tradnl"/>
        </w:rPr>
        <w:t>atraviesa</w:t>
      </w:r>
      <w:r w:rsidR="001D79B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el </w:t>
      </w:r>
      <w:r w:rsidRPr="003A2439">
        <w:rPr>
          <w:rFonts w:ascii="Book Antiqua" w:hAnsi="Book Antiqua"/>
          <w:lang w:val="es-ES_tradnl"/>
        </w:rPr>
        <w:t>municipio</w:t>
      </w:r>
      <w:r>
        <w:rPr>
          <w:rFonts w:ascii="Book Antiqua" w:hAnsi="Book Antiqua"/>
          <w:lang w:val="es-ES_tradnl"/>
        </w:rPr>
        <w:t xml:space="preserve"> de Manatí. </w:t>
      </w:r>
    </w:p>
    <w:p w14:paraId="3951363D" w14:textId="2216D4F4" w:rsidR="007C18CD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 w:rsidRPr="007C18CD">
        <w:rPr>
          <w:rFonts w:ascii="Book Antiqua" w:hAnsi="Book Antiqua"/>
          <w:lang w:val="es-ES_tradnl"/>
        </w:rPr>
        <w:t xml:space="preserve">Artículo 2.-El Secretario del Departamento de Transportación y Obras Públicas deberá rotular el tramo de </w:t>
      </w:r>
      <w:r w:rsidRPr="001D79BF">
        <w:rPr>
          <w:rFonts w:ascii="Book Antiqua" w:hAnsi="Book Antiqua"/>
          <w:strike/>
          <w:lang w:val="es-ES_tradnl"/>
        </w:rPr>
        <w:t>las carreteras designadas</w:t>
      </w:r>
      <w:r w:rsidRPr="007C18CD">
        <w:rPr>
          <w:rFonts w:ascii="Book Antiqua" w:hAnsi="Book Antiqua"/>
          <w:lang w:val="es-ES_tradnl"/>
        </w:rPr>
        <w:t xml:space="preserve"> </w:t>
      </w:r>
      <w:r w:rsidR="001D79BF">
        <w:rPr>
          <w:rFonts w:ascii="Book Antiqua" w:hAnsi="Book Antiqua"/>
          <w:i/>
          <w:iCs/>
          <w:u w:val="single"/>
          <w:lang w:val="es-ES_tradnl"/>
        </w:rPr>
        <w:t>la carretera estatal PR-685</w:t>
      </w:r>
      <w:r w:rsidR="001D79BF">
        <w:rPr>
          <w:rFonts w:ascii="Book Antiqua" w:hAnsi="Book Antiqua"/>
          <w:lang w:val="es-ES_tradnl"/>
        </w:rPr>
        <w:t xml:space="preserve"> </w:t>
      </w:r>
      <w:r w:rsidRPr="007C18CD">
        <w:rPr>
          <w:rFonts w:ascii="Book Antiqua" w:hAnsi="Book Antiqua"/>
          <w:lang w:val="es-ES_tradnl"/>
        </w:rPr>
        <w:t>como “Ruta Gastronómica y Panorámica Sabor de las Atenas”, de conformidad con las disposiciones de esta Ley.</w:t>
      </w:r>
    </w:p>
    <w:p w14:paraId="1E558D01" w14:textId="399B1D1D" w:rsidR="007C18CD" w:rsidRPr="001D79BF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 w:rsidRPr="000501E7">
        <w:rPr>
          <w:rFonts w:ascii="Book Antiqua" w:hAnsi="Book Antiqua"/>
          <w:lang w:val="es-ES_tradnl"/>
        </w:rPr>
        <w:lastRenderedPageBreak/>
        <w:t>Artículo 3.-</w:t>
      </w:r>
      <w:r w:rsidRPr="00E6317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Facultades y Deberes de la </w:t>
      </w:r>
      <w:r w:rsidRPr="001D79BF">
        <w:rPr>
          <w:rFonts w:ascii="Book Antiqua" w:hAnsi="Book Antiqua"/>
          <w:strike/>
          <w:lang w:val="es-ES_tradnl"/>
        </w:rPr>
        <w:t>Compañía de Turismo de Puerto Rico</w:t>
      </w:r>
      <w:r w:rsidR="001D79BF">
        <w:rPr>
          <w:rFonts w:ascii="Book Antiqua" w:hAnsi="Book Antiqua"/>
          <w:lang w:val="es-ES_tradnl"/>
        </w:rPr>
        <w:t xml:space="preserve"> </w:t>
      </w:r>
      <w:r w:rsidR="001D79BF" w:rsidRPr="001D79BF">
        <w:rPr>
          <w:rFonts w:ascii="Book Antiqua" w:hAnsi="Book Antiqua"/>
          <w:i/>
          <w:iCs/>
          <w:u w:val="single"/>
          <w:lang w:val="es-ES_tradnl"/>
        </w:rPr>
        <w:t>Oficina de Turismo del Departamento de Desarrollo Económico y Comercio</w:t>
      </w:r>
      <w:r w:rsidR="001D79BF">
        <w:rPr>
          <w:rFonts w:ascii="Book Antiqua" w:hAnsi="Book Antiqua"/>
          <w:lang w:val="es-ES_tradnl"/>
        </w:rPr>
        <w:t>.</w:t>
      </w:r>
    </w:p>
    <w:p w14:paraId="530F123D" w14:textId="498BC4E4" w:rsidR="007C18CD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 w:rsidRPr="000501E7">
        <w:rPr>
          <w:rFonts w:ascii="Book Antiqua" w:hAnsi="Book Antiqua"/>
          <w:lang w:val="es-ES_tradnl"/>
        </w:rPr>
        <w:t xml:space="preserve">Se </w:t>
      </w:r>
      <w:r w:rsidRPr="000F3B3A">
        <w:rPr>
          <w:rFonts w:ascii="Book Antiqua" w:hAnsi="Book Antiqua"/>
          <w:lang w:val="es-ES_tradnl"/>
        </w:rPr>
        <w:t xml:space="preserve">le </w:t>
      </w:r>
      <w:r w:rsidRPr="000501E7">
        <w:rPr>
          <w:rFonts w:ascii="Book Antiqua" w:hAnsi="Book Antiqua"/>
          <w:lang w:val="es-ES_tradnl"/>
        </w:rPr>
        <w:t xml:space="preserve">ordena a la </w:t>
      </w:r>
      <w:r w:rsidRPr="001D79BF">
        <w:rPr>
          <w:rFonts w:ascii="Book Antiqua" w:hAnsi="Book Antiqua"/>
          <w:strike/>
          <w:lang w:val="es-ES_tradnl"/>
        </w:rPr>
        <w:t>Compañía de Turismo de Puerto Rico</w:t>
      </w:r>
      <w:r w:rsidRPr="000F3B3A">
        <w:rPr>
          <w:rFonts w:ascii="Book Antiqua" w:hAnsi="Book Antiqua"/>
          <w:lang w:val="es-ES_tradnl"/>
        </w:rPr>
        <w:t xml:space="preserve"> </w:t>
      </w:r>
      <w:r w:rsidR="001D79BF" w:rsidRPr="001D79BF">
        <w:rPr>
          <w:rFonts w:ascii="Book Antiqua" w:hAnsi="Book Antiqua"/>
          <w:i/>
          <w:iCs/>
          <w:u w:val="single"/>
          <w:lang w:val="es-ES_tradnl"/>
        </w:rPr>
        <w:t xml:space="preserve">Oficina de Turismo del Departamento de Desarrollo Económico y </w:t>
      </w:r>
      <w:r w:rsidR="001D79BF">
        <w:rPr>
          <w:rFonts w:ascii="Book Antiqua" w:hAnsi="Book Antiqua"/>
          <w:i/>
          <w:iCs/>
          <w:u w:val="single"/>
          <w:lang w:val="es-ES_tradnl"/>
        </w:rPr>
        <w:t>Comercio</w:t>
      </w:r>
      <w:r w:rsidR="001D79BF">
        <w:rPr>
          <w:rFonts w:ascii="Book Antiqua" w:hAnsi="Book Antiqua"/>
          <w:lang w:val="es-ES_tradnl"/>
        </w:rPr>
        <w:t xml:space="preserve"> </w:t>
      </w:r>
      <w:r w:rsidRPr="000F3B3A">
        <w:rPr>
          <w:rFonts w:ascii="Book Antiqua" w:hAnsi="Book Antiqua"/>
          <w:lang w:val="es-ES_tradnl"/>
        </w:rPr>
        <w:t>a:</w:t>
      </w:r>
      <w:r w:rsidRPr="000501E7">
        <w:rPr>
          <w:rFonts w:ascii="Book Antiqua" w:hAnsi="Book Antiqua"/>
          <w:lang w:val="es-ES_tradnl"/>
        </w:rPr>
        <w:t xml:space="preserve"> </w:t>
      </w:r>
    </w:p>
    <w:p w14:paraId="3D03102D" w14:textId="2BAE7587" w:rsidR="007C18CD" w:rsidRPr="007C18CD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Establecer un Comité de Trabajo, </w:t>
      </w:r>
      <w:proofErr w:type="gramStart"/>
      <w:r w:rsidRPr="000F3B3A">
        <w:rPr>
          <w:rFonts w:ascii="Book Antiqua" w:hAnsi="Book Antiqua"/>
          <w:lang w:val="es-ES_tradnl"/>
        </w:rPr>
        <w:t>que</w:t>
      </w:r>
      <w:proofErr w:type="gramEnd"/>
      <w:r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lang w:val="es-ES_tradnl"/>
        </w:rPr>
        <w:t>de</w:t>
      </w:r>
      <w:proofErr w:type="spellEnd"/>
      <w:r>
        <w:rPr>
          <w:rFonts w:ascii="Book Antiqua" w:hAnsi="Book Antiqua"/>
          <w:lang w:val="es-ES_tradnl"/>
        </w:rPr>
        <w:t xml:space="preserve"> </w:t>
      </w:r>
      <w:r w:rsidRPr="000F3B3A">
        <w:rPr>
          <w:rFonts w:ascii="Book Antiqua" w:hAnsi="Book Antiqua"/>
          <w:lang w:val="es-ES_tradnl"/>
        </w:rPr>
        <w:t xml:space="preserve">así entenderlo pertinente, contará con composición </w:t>
      </w:r>
      <w:proofErr w:type="spellStart"/>
      <w:r w:rsidRPr="000F3B3A">
        <w:rPr>
          <w:rFonts w:ascii="Book Antiqua" w:hAnsi="Book Antiqua"/>
          <w:lang w:val="es-ES_tradnl"/>
        </w:rPr>
        <w:t>interagencial</w:t>
      </w:r>
      <w:proofErr w:type="spellEnd"/>
      <w:r w:rsidRPr="000F3B3A">
        <w:rPr>
          <w:rFonts w:ascii="Book Antiqua" w:hAnsi="Book Antiqua"/>
          <w:lang w:val="es-ES_tradnl"/>
        </w:rPr>
        <w:t xml:space="preserve">, para que pueda identificar, tomar acción afirmativa y dar debido cumplimiento a todos los requerimientos aquí dispuestos. </w:t>
      </w:r>
      <w:r w:rsidRPr="00B047B5">
        <w:rPr>
          <w:rFonts w:ascii="Book Antiqua" w:hAnsi="Book Antiqua"/>
          <w:lang w:val="es-ES_tradnl"/>
        </w:rPr>
        <w:t xml:space="preserve">Este Comité de Trabajo deberá establecer los acuerdos colaborativos que sean necesarios con el Municipio de </w:t>
      </w:r>
      <w:r>
        <w:rPr>
          <w:rFonts w:ascii="Book Antiqua" w:hAnsi="Book Antiqua"/>
          <w:lang w:val="es-ES_tradnl"/>
        </w:rPr>
        <w:t>Manatí</w:t>
      </w:r>
      <w:r w:rsidRPr="00B047B5">
        <w:rPr>
          <w:rFonts w:ascii="Book Antiqua" w:hAnsi="Book Antiqua"/>
          <w:lang w:val="es-ES_tradnl"/>
        </w:rPr>
        <w:t xml:space="preserve"> y/o cualquier otra entidad pública o privada para poder</w:t>
      </w:r>
      <w:r>
        <w:rPr>
          <w:rFonts w:ascii="Book Antiqua" w:hAnsi="Book Antiqua"/>
          <w:lang w:val="es-ES_tradnl"/>
        </w:rPr>
        <w:t xml:space="preserve"> </w:t>
      </w:r>
      <w:r w:rsidRPr="00B047B5">
        <w:rPr>
          <w:rFonts w:ascii="Book Antiqua" w:hAnsi="Book Antiqua"/>
          <w:lang w:val="es-ES_tradnl"/>
        </w:rPr>
        <w:t xml:space="preserve">allegarse los recursos o presupuesto que sean necesarios para cumplir y hacer cumplir los propósitos de esta Ley. </w:t>
      </w:r>
      <w:r w:rsidRPr="000F3B3A">
        <w:rPr>
          <w:rFonts w:ascii="Book Antiqua" w:hAnsi="Book Antiqua"/>
          <w:lang w:val="es-ES_tradnl"/>
        </w:rPr>
        <w:t xml:space="preserve">No obstante, si el Comité de Trabajo identifica que alguno de los requerimientos no puede ser atendido con el presupuesto y los recursos existentes </w:t>
      </w:r>
      <w:r>
        <w:rPr>
          <w:rFonts w:ascii="Book Antiqua" w:hAnsi="Book Antiqua"/>
          <w:lang w:val="es-ES_tradnl"/>
        </w:rPr>
        <w:t>Municipio de Manatí</w:t>
      </w:r>
      <w:r w:rsidRPr="000F3B3A">
        <w:rPr>
          <w:rFonts w:ascii="Book Antiqua" w:hAnsi="Book Antiqua"/>
          <w:lang w:val="es-ES_tradnl"/>
        </w:rPr>
        <w:t xml:space="preserve">, ésta tendrá que asegurarse que los mismos estén específicamente consignados en los presupuestos subsiguientes. </w:t>
      </w:r>
    </w:p>
    <w:p w14:paraId="761632CB" w14:textId="327C2370" w:rsidR="007C18CD" w:rsidRPr="007C18CD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Incluir esta Ruta dentro de su plan estratégico regional correspondiente para así maximizar su potencial como promotor de desarrollo económico.</w:t>
      </w:r>
    </w:p>
    <w:p w14:paraId="52FFAABB" w14:textId="6A5DB9B1" w:rsidR="007C18CD" w:rsidRPr="007C18CD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Desarrollar los planes de mercadeo y promoción que se estimen necesario</w:t>
      </w:r>
      <w:r>
        <w:rPr>
          <w:rFonts w:ascii="Book Antiqua" w:hAnsi="Book Antiqua"/>
          <w:lang w:val="es-ES_tradnl"/>
        </w:rPr>
        <w:t>s</w:t>
      </w:r>
      <w:r w:rsidRPr="000F3B3A">
        <w:rPr>
          <w:rFonts w:ascii="Book Antiqua" w:hAnsi="Book Antiqua"/>
          <w:lang w:val="es-ES_tradnl"/>
        </w:rPr>
        <w:t>, incluyendo el adiestramiento y apoyo a los comerciantes de la Ruta, como también al personal pertinente del Municipio de Manatí.</w:t>
      </w:r>
    </w:p>
    <w:p w14:paraId="4E8F35BE" w14:textId="03316511" w:rsidR="007C18CD" w:rsidRPr="007C18CD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el Municipio de Manatí todo lo relacionado a la designación y establecimiento de esta Ruta; incluyendo, pero sin limitarse a, aspectos tales </w:t>
      </w:r>
      <w:r w:rsidRPr="000F3B3A">
        <w:rPr>
          <w:rFonts w:ascii="Book Antiqua" w:hAnsi="Book Antiqua"/>
          <w:lang w:val="es-ES_tradnl"/>
        </w:rPr>
        <w:lastRenderedPageBreak/>
        <w:t xml:space="preserve">como (1) toda legislación municipal que se estime necesaria y pertinente, (2) toda interacción con las disposiciones del Código de Orden Público, (3) la seguridad y vigilancia por parte de la Policía Municipal, (4) colaboración con asociaciones de comerciantes, residentes y asociaciones sin fines de lucro, (5) agilidad en los procesos de </w:t>
      </w:r>
      <w:proofErr w:type="spellStart"/>
      <w:r w:rsidRPr="000F3B3A">
        <w:rPr>
          <w:rFonts w:ascii="Book Antiqua" w:hAnsi="Book Antiqua"/>
          <w:lang w:val="es-ES_tradnl"/>
        </w:rPr>
        <w:t>permisología</w:t>
      </w:r>
      <w:proofErr w:type="spellEnd"/>
      <w:r w:rsidRPr="000F3B3A">
        <w:rPr>
          <w:rFonts w:ascii="Book Antiqua" w:hAnsi="Book Antiqua"/>
          <w:lang w:val="es-ES_tradnl"/>
        </w:rPr>
        <w:t xml:space="preserve"> requeridos a nivel municipal y (6) el diseño y utilización del logo distintivo de la Ruta.</w:t>
      </w:r>
    </w:p>
    <w:p w14:paraId="11135E42" w14:textId="0B50FF90" w:rsidR="007C18CD" w:rsidRPr="007C18CD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Coordinar con la Organización de Mercadeo de Destino, mejor conocida como el DMO por su acrónimo en inglés, todo lo relacionado a (1) la integración de la Ruta en sus esfuerzos y campañas de mercadeo de nuestro destino, incluyendo aquellas que se llevan a cabo por medio de redes sociales, plataformas virtuales o por conducto de “</w:t>
      </w:r>
      <w:proofErr w:type="spellStart"/>
      <w:r w:rsidRPr="000F3B3A">
        <w:rPr>
          <w:rFonts w:ascii="Book Antiqua" w:hAnsi="Book Antiqua"/>
          <w:lang w:val="es-ES_tradnl"/>
        </w:rPr>
        <w:t>influencers</w:t>
      </w:r>
      <w:proofErr w:type="spellEnd"/>
      <w:r w:rsidRPr="000F3B3A">
        <w:rPr>
          <w:rFonts w:ascii="Book Antiqua" w:hAnsi="Book Antiqua"/>
          <w:lang w:val="es-ES_tradnl"/>
        </w:rPr>
        <w:t>” y (2) ofrecer todo tipo de orientación y apoyo a los comerciantes de la Ruta, conforme ya vienen realizando con diversos componentes del sector turístico.</w:t>
      </w:r>
    </w:p>
    <w:p w14:paraId="260C9DA6" w14:textId="6079697A" w:rsidR="007C18CD" w:rsidRPr="007C18CD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el Departamento de Desarrollo Económico y Comercio todo lo relacionado a (1) la integración del mandato de política pública dispuesto por esta Ley, con los planes estratégicos de desarrollo económico del Departamento, (2) la identificación de todo tipo de fondos federales y/o estatales que puedan estar disponibles, particularmente para los comerciantes que operen en esta Ruta y (3) la agilidad en los procesos de </w:t>
      </w:r>
      <w:proofErr w:type="spellStart"/>
      <w:r w:rsidRPr="000F3B3A">
        <w:rPr>
          <w:rFonts w:ascii="Book Antiqua" w:hAnsi="Book Antiqua"/>
          <w:lang w:val="es-ES_tradnl"/>
        </w:rPr>
        <w:t>permisología</w:t>
      </w:r>
      <w:proofErr w:type="spellEnd"/>
      <w:r w:rsidRPr="000F3B3A">
        <w:rPr>
          <w:rFonts w:ascii="Book Antiqua" w:hAnsi="Book Antiqua"/>
          <w:lang w:val="es-ES_tradnl"/>
        </w:rPr>
        <w:t xml:space="preserve"> requeridos por la Oficina de Gerencia de Permisos.</w:t>
      </w:r>
    </w:p>
    <w:p w14:paraId="5F060FBB" w14:textId="1F2DC63F" w:rsidR="007C18CD" w:rsidRPr="007C18CD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lastRenderedPageBreak/>
        <w:t>Coordinar con la Junta de Planificación en torno a la posible designación de esta Ruta como una “Zona de Interés Turístico”, conforme a la Ley Núm. 374 de 14 de mayo de 1949, según enmendada.</w:t>
      </w:r>
    </w:p>
    <w:p w14:paraId="52E085D9" w14:textId="258ABC95" w:rsidR="007C18CD" w:rsidRPr="007C18CD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el Departamento de Transportación y Obras Públicas y la Autoridad de Carreteras </w:t>
      </w:r>
      <w:r>
        <w:rPr>
          <w:rFonts w:ascii="Book Antiqua" w:hAnsi="Book Antiqua"/>
          <w:lang w:val="es-ES_tradnl"/>
        </w:rPr>
        <w:t>y Transportación</w:t>
      </w:r>
      <w:r w:rsidRPr="00B047B5">
        <w:rPr>
          <w:rFonts w:ascii="Book Antiqua" w:hAnsi="Book Antiqua"/>
          <w:lang w:val="es-ES_tradnl"/>
        </w:rPr>
        <w:t xml:space="preserve"> </w:t>
      </w:r>
      <w:r w:rsidRPr="000F3B3A">
        <w:rPr>
          <w:rFonts w:ascii="Book Antiqua" w:hAnsi="Book Antiqua"/>
          <w:lang w:val="es-ES_tradnl"/>
        </w:rPr>
        <w:t xml:space="preserve">todo lo relacionado al mantenimiento y la rotulación de las calles y carreteras en la Ruta. </w:t>
      </w:r>
    </w:p>
    <w:p w14:paraId="45C74E64" w14:textId="5A8673FE" w:rsidR="007C18CD" w:rsidRPr="007C18CD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Coordinar con el Instituto de Cultura Puertorriqueña todo lo relacionado con la promoción de la Ruta por su vínculo con el quehacer cultural de nuestra Isla.</w:t>
      </w:r>
    </w:p>
    <w:p w14:paraId="342634E4" w14:textId="20800D23" w:rsidR="007C18CD" w:rsidRPr="007C18CD" w:rsidRDefault="007C18CD" w:rsidP="007C18CD">
      <w:pPr>
        <w:pStyle w:val="ListParagraph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Consultar con la Oficina de Gerencia y Presupuesto todo lo relacionado a las necesidades presupuestarias que pudiera requerir la implementación de esta Ley.</w:t>
      </w:r>
    </w:p>
    <w:p w14:paraId="2C8A0953" w14:textId="62E83633" w:rsid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Artículo 4.-</w:t>
      </w:r>
      <w:r w:rsidRPr="00D14BA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Reglamentación.</w:t>
      </w:r>
    </w:p>
    <w:p w14:paraId="494A79F5" w14:textId="37969F7E" w:rsid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B047B5">
        <w:rPr>
          <w:rFonts w:ascii="Book Antiqua" w:hAnsi="Book Antiqua"/>
          <w:lang w:val="es-ES_tradnl"/>
        </w:rPr>
        <w:t xml:space="preserve">La </w:t>
      </w:r>
      <w:r w:rsidRPr="006E3111">
        <w:rPr>
          <w:rFonts w:ascii="Book Antiqua" w:hAnsi="Book Antiqua"/>
          <w:bCs/>
          <w:strike/>
          <w:lang w:val="es-ES_tradnl"/>
        </w:rPr>
        <w:t>Compañía de Turismo de Puerto Rico</w:t>
      </w:r>
      <w:r w:rsidRPr="00B047B5">
        <w:rPr>
          <w:rFonts w:ascii="Book Antiqua" w:hAnsi="Book Antiqua"/>
          <w:bCs/>
          <w:lang w:val="es-ES_tradnl"/>
        </w:rPr>
        <w:t xml:space="preserve"> </w:t>
      </w:r>
      <w:r w:rsidR="006E3111" w:rsidRPr="001D79BF">
        <w:rPr>
          <w:rFonts w:ascii="Book Antiqua" w:hAnsi="Book Antiqua"/>
          <w:i/>
          <w:iCs/>
          <w:u w:val="single"/>
          <w:lang w:val="es-ES_tradnl"/>
        </w:rPr>
        <w:t>Oficina de Turismo del Departamento de Desarrollo Económico y Comercio o cualquier ente jurídico sucesor</w:t>
      </w:r>
      <w:r w:rsidR="006E3111" w:rsidRPr="00B047B5">
        <w:rPr>
          <w:rFonts w:ascii="Book Antiqua" w:hAnsi="Book Antiqua"/>
          <w:bCs/>
          <w:lang w:val="es-ES_tradnl"/>
        </w:rPr>
        <w:t xml:space="preserve"> </w:t>
      </w:r>
      <w:r w:rsidRPr="00B047B5">
        <w:rPr>
          <w:rFonts w:ascii="Book Antiqua" w:hAnsi="Book Antiqua"/>
          <w:bCs/>
          <w:lang w:val="es-ES_tradnl"/>
        </w:rPr>
        <w:t xml:space="preserve">y el Municipio de </w:t>
      </w:r>
      <w:r>
        <w:rPr>
          <w:rFonts w:ascii="Book Antiqua" w:hAnsi="Book Antiqua"/>
          <w:bCs/>
          <w:lang w:val="es-ES_tradnl"/>
        </w:rPr>
        <w:t>Manatí</w:t>
      </w:r>
      <w:r w:rsidRPr="00B047B5">
        <w:rPr>
          <w:rFonts w:ascii="Book Antiqua" w:hAnsi="Book Antiqua"/>
          <w:lang w:val="es-ES_tradnl"/>
        </w:rPr>
        <w:t xml:space="preserve"> aprobarán la reglamentación necesaria para cumplir con los propósitos de esta Ley dentro de los ciento ochenta (180) días calendario luego de </w:t>
      </w:r>
      <w:r>
        <w:rPr>
          <w:rFonts w:ascii="Book Antiqua" w:hAnsi="Book Antiqua"/>
          <w:lang w:val="es-ES_tradnl"/>
        </w:rPr>
        <w:t>su</w:t>
      </w:r>
      <w:r w:rsidRPr="00B047B5">
        <w:rPr>
          <w:rFonts w:ascii="Book Antiqua" w:hAnsi="Book Antiqua"/>
          <w:lang w:val="es-ES_tradnl"/>
        </w:rPr>
        <w:t xml:space="preserve"> aprobación</w:t>
      </w:r>
      <w:r>
        <w:rPr>
          <w:rFonts w:ascii="Book Antiqua" w:hAnsi="Book Antiqua"/>
          <w:lang w:val="es-ES_tradnl"/>
        </w:rPr>
        <w:t xml:space="preserve">. </w:t>
      </w:r>
    </w:p>
    <w:p w14:paraId="26BE113C" w14:textId="791E1CFB" w:rsid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Artículo </w:t>
      </w:r>
      <w:r>
        <w:rPr>
          <w:rFonts w:ascii="Book Antiqua" w:hAnsi="Book Antiqua"/>
          <w:lang w:val="es-ES_tradnl"/>
        </w:rPr>
        <w:t>5</w:t>
      </w:r>
      <w:r w:rsidRPr="000F3B3A">
        <w:rPr>
          <w:rFonts w:ascii="Book Antiqua" w:hAnsi="Book Antiqua"/>
          <w:lang w:val="es-ES_tradnl"/>
        </w:rPr>
        <w:t>.-</w:t>
      </w:r>
      <w:r w:rsidRPr="00D14BA0">
        <w:rPr>
          <w:rFonts w:ascii="Book Antiqua" w:hAnsi="Book Antiqua"/>
          <w:lang w:val="es-ES_tradnl"/>
        </w:rPr>
        <w:t xml:space="preserve"> </w:t>
      </w:r>
      <w:r w:rsidRPr="00B047B5">
        <w:rPr>
          <w:rFonts w:ascii="Book Antiqua" w:hAnsi="Book Antiqua"/>
          <w:lang w:val="es-ES_tradnl"/>
        </w:rPr>
        <w:t>Informe Anual.</w:t>
      </w:r>
    </w:p>
    <w:p w14:paraId="1B7C21C3" w14:textId="4D76CCA3" w:rsid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B047B5">
        <w:rPr>
          <w:rFonts w:ascii="Book Antiqua" w:hAnsi="Book Antiqua"/>
          <w:lang w:val="es-ES_tradnl"/>
        </w:rPr>
        <w:t xml:space="preserve">No más tarde del 1 de octubre de cada año, la </w:t>
      </w:r>
      <w:r w:rsidRPr="006E3111">
        <w:rPr>
          <w:rFonts w:ascii="Book Antiqua" w:hAnsi="Book Antiqua"/>
          <w:strike/>
          <w:lang w:val="es-ES_tradnl"/>
        </w:rPr>
        <w:t>Compañía de Turismo de Puerto Rico</w:t>
      </w:r>
      <w:r w:rsidRPr="00B047B5">
        <w:rPr>
          <w:rFonts w:ascii="Book Antiqua" w:hAnsi="Book Antiqua"/>
          <w:lang w:val="es-ES_tradnl"/>
        </w:rPr>
        <w:t xml:space="preserve"> </w:t>
      </w:r>
      <w:r w:rsidR="006E3111" w:rsidRPr="001D79BF">
        <w:rPr>
          <w:rFonts w:ascii="Book Antiqua" w:hAnsi="Book Antiqua"/>
          <w:i/>
          <w:iCs/>
          <w:u w:val="single"/>
          <w:lang w:val="es-ES_tradnl"/>
        </w:rPr>
        <w:t>Oficina de Turismo del Departamento de Desarrollo Económico y Comercio o cualquier ente jurídico sucesor</w:t>
      </w:r>
      <w:r w:rsidR="006E3111" w:rsidRPr="00B047B5">
        <w:rPr>
          <w:rFonts w:ascii="Book Antiqua" w:hAnsi="Book Antiqua"/>
          <w:lang w:val="es-ES_tradnl"/>
        </w:rPr>
        <w:t xml:space="preserve"> </w:t>
      </w:r>
      <w:r w:rsidRPr="00B047B5">
        <w:rPr>
          <w:rFonts w:ascii="Book Antiqua" w:hAnsi="Book Antiqua"/>
          <w:lang w:val="es-ES_tradnl"/>
        </w:rPr>
        <w:t>someterá ante la secretaría de ambos cuerpos legislativos un Informe Anual pormenorizando su cumplimiento con los requerimientos y exigencias de esta Ley.</w:t>
      </w:r>
    </w:p>
    <w:p w14:paraId="0C25A378" w14:textId="1624F3B8" w:rsidR="007C18CD" w:rsidRP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Artículo </w:t>
      </w:r>
      <w:r>
        <w:rPr>
          <w:rFonts w:ascii="Book Antiqua" w:hAnsi="Book Antiqua"/>
          <w:lang w:val="es-ES_tradnl"/>
        </w:rPr>
        <w:t>6</w:t>
      </w:r>
      <w:r w:rsidRPr="000F3B3A">
        <w:rPr>
          <w:rFonts w:ascii="Book Antiqua" w:hAnsi="Book Antiqua"/>
          <w:lang w:val="es-ES_tradnl"/>
        </w:rPr>
        <w:t>.-</w:t>
      </w:r>
      <w:r w:rsidRPr="00D14BA0">
        <w:rPr>
          <w:rFonts w:ascii="Book Antiqua" w:hAnsi="Book Antiqua"/>
          <w:szCs w:val="24"/>
          <w:lang w:val="es-ES_tradnl"/>
        </w:rPr>
        <w:t xml:space="preserve"> </w:t>
      </w:r>
      <w:r w:rsidRPr="00B047B5">
        <w:rPr>
          <w:rFonts w:ascii="Book Antiqua" w:hAnsi="Book Antiqua"/>
          <w:szCs w:val="24"/>
          <w:lang w:val="es-ES_tradnl"/>
        </w:rPr>
        <w:t>Vigencia.</w:t>
      </w:r>
    </w:p>
    <w:p w14:paraId="27CEF34D" w14:textId="66272EB3" w:rsidR="00817CB3" w:rsidRP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strike/>
          <w:szCs w:val="24"/>
          <w:lang w:val="es-ES_tradnl"/>
        </w:rPr>
      </w:pPr>
      <w:r w:rsidRPr="00B047B5">
        <w:rPr>
          <w:rFonts w:ascii="Book Antiqua" w:hAnsi="Book Antiqua"/>
          <w:lang w:val="es-ES_tradnl"/>
        </w:rPr>
        <w:lastRenderedPageBreak/>
        <w:t>Esta Ley comenzará a regir inmediatamente después de su aprobación.</w:t>
      </w:r>
    </w:p>
    <w:sectPr w:rsidR="00817CB3" w:rsidRPr="007C18CD" w:rsidSect="00817CB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5BAA4" w14:textId="77777777" w:rsidR="00C9501B" w:rsidRDefault="00C9501B">
      <w:r>
        <w:separator/>
      </w:r>
    </w:p>
  </w:endnote>
  <w:endnote w:type="continuationSeparator" w:id="0">
    <w:p w14:paraId="7898B171" w14:textId="77777777" w:rsidR="00C9501B" w:rsidRDefault="00C9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A528A" w14:textId="77777777" w:rsidR="00C9501B" w:rsidRDefault="00C9501B">
      <w:r>
        <w:separator/>
      </w:r>
    </w:p>
  </w:footnote>
  <w:footnote w:type="continuationSeparator" w:id="0">
    <w:p w14:paraId="674966B8" w14:textId="77777777" w:rsidR="00C9501B" w:rsidRDefault="00C9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B3545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2D7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67C78" w14:textId="0CF9273C" w:rsidR="001D79BF" w:rsidRDefault="001D79BF" w:rsidP="001D79BF">
    <w:pPr>
      <w:pStyle w:val="Header"/>
      <w:jc w:val="center"/>
    </w:pPr>
    <w:r>
      <w:t>(ENTIRILLADO ELECTRÓNICO)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F26C5"/>
    <w:multiLevelType w:val="hybridMultilevel"/>
    <w:tmpl w:val="84EA8FB0"/>
    <w:lvl w:ilvl="0" w:tplc="EE5035E2">
      <w:start w:val="1"/>
      <w:numFmt w:val="lowerLetter"/>
      <w:lvlText w:val="(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12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17CB3"/>
    <w:rsid w:val="00011814"/>
    <w:rsid w:val="00020BBB"/>
    <w:rsid w:val="00056024"/>
    <w:rsid w:val="0008132F"/>
    <w:rsid w:val="00095AE1"/>
    <w:rsid w:val="000A6B6C"/>
    <w:rsid w:val="000B0DBB"/>
    <w:rsid w:val="00111E71"/>
    <w:rsid w:val="00114BE5"/>
    <w:rsid w:val="00127C6A"/>
    <w:rsid w:val="001363FE"/>
    <w:rsid w:val="0017132B"/>
    <w:rsid w:val="001A3B4C"/>
    <w:rsid w:val="001A7DB2"/>
    <w:rsid w:val="001D56A3"/>
    <w:rsid w:val="001D79BF"/>
    <w:rsid w:val="001F612A"/>
    <w:rsid w:val="00203EBB"/>
    <w:rsid w:val="00211396"/>
    <w:rsid w:val="00226AE6"/>
    <w:rsid w:val="00245B34"/>
    <w:rsid w:val="00263355"/>
    <w:rsid w:val="00273792"/>
    <w:rsid w:val="002A1D09"/>
    <w:rsid w:val="002A5DA5"/>
    <w:rsid w:val="002D1B01"/>
    <w:rsid w:val="002D4AC8"/>
    <w:rsid w:val="00302D77"/>
    <w:rsid w:val="00320D78"/>
    <w:rsid w:val="00371002"/>
    <w:rsid w:val="00380FE5"/>
    <w:rsid w:val="003924DD"/>
    <w:rsid w:val="00394FCB"/>
    <w:rsid w:val="003963F4"/>
    <w:rsid w:val="003A2439"/>
    <w:rsid w:val="003B2A59"/>
    <w:rsid w:val="003B5254"/>
    <w:rsid w:val="003B75A6"/>
    <w:rsid w:val="003C085D"/>
    <w:rsid w:val="003E1FCD"/>
    <w:rsid w:val="003F05AA"/>
    <w:rsid w:val="004061CA"/>
    <w:rsid w:val="00415689"/>
    <w:rsid w:val="004440CB"/>
    <w:rsid w:val="004713D2"/>
    <w:rsid w:val="004F1B8F"/>
    <w:rsid w:val="00521639"/>
    <w:rsid w:val="00532BB7"/>
    <w:rsid w:val="005332E4"/>
    <w:rsid w:val="00534E5A"/>
    <w:rsid w:val="0053550C"/>
    <w:rsid w:val="00535B7C"/>
    <w:rsid w:val="00555018"/>
    <w:rsid w:val="005723DC"/>
    <w:rsid w:val="00593ADA"/>
    <w:rsid w:val="005B66AE"/>
    <w:rsid w:val="006210DC"/>
    <w:rsid w:val="0064349D"/>
    <w:rsid w:val="00643BDD"/>
    <w:rsid w:val="00685549"/>
    <w:rsid w:val="006A73B0"/>
    <w:rsid w:val="006B3542"/>
    <w:rsid w:val="006B7365"/>
    <w:rsid w:val="006C2D81"/>
    <w:rsid w:val="006C7DF8"/>
    <w:rsid w:val="006D16F1"/>
    <w:rsid w:val="006E3111"/>
    <w:rsid w:val="00701338"/>
    <w:rsid w:val="0073014F"/>
    <w:rsid w:val="007446D7"/>
    <w:rsid w:val="00750FC8"/>
    <w:rsid w:val="00752D7A"/>
    <w:rsid w:val="007533D0"/>
    <w:rsid w:val="00755069"/>
    <w:rsid w:val="00763FC5"/>
    <w:rsid w:val="007A75B0"/>
    <w:rsid w:val="007B0660"/>
    <w:rsid w:val="007B484A"/>
    <w:rsid w:val="007C18CD"/>
    <w:rsid w:val="007E3868"/>
    <w:rsid w:val="00817CB3"/>
    <w:rsid w:val="00820C41"/>
    <w:rsid w:val="0083212F"/>
    <w:rsid w:val="00850256"/>
    <w:rsid w:val="008848DE"/>
    <w:rsid w:val="00885E93"/>
    <w:rsid w:val="008C4BCB"/>
    <w:rsid w:val="00913E3A"/>
    <w:rsid w:val="00942FD4"/>
    <w:rsid w:val="00951997"/>
    <w:rsid w:val="00961B3F"/>
    <w:rsid w:val="00990352"/>
    <w:rsid w:val="009C78F7"/>
    <w:rsid w:val="009E2AFD"/>
    <w:rsid w:val="009F244B"/>
    <w:rsid w:val="00A03405"/>
    <w:rsid w:val="00A1528A"/>
    <w:rsid w:val="00A23B00"/>
    <w:rsid w:val="00A266E4"/>
    <w:rsid w:val="00A33918"/>
    <w:rsid w:val="00A34E3E"/>
    <w:rsid w:val="00A356C6"/>
    <w:rsid w:val="00A55370"/>
    <w:rsid w:val="00A60AE9"/>
    <w:rsid w:val="00A7629F"/>
    <w:rsid w:val="00A8670D"/>
    <w:rsid w:val="00AF0CEE"/>
    <w:rsid w:val="00B667AD"/>
    <w:rsid w:val="00B84C38"/>
    <w:rsid w:val="00B86C00"/>
    <w:rsid w:val="00B947F6"/>
    <w:rsid w:val="00BF16AA"/>
    <w:rsid w:val="00BF336D"/>
    <w:rsid w:val="00C354B8"/>
    <w:rsid w:val="00C52517"/>
    <w:rsid w:val="00C60921"/>
    <w:rsid w:val="00C62936"/>
    <w:rsid w:val="00C653F2"/>
    <w:rsid w:val="00C679E6"/>
    <w:rsid w:val="00C763E3"/>
    <w:rsid w:val="00C908F9"/>
    <w:rsid w:val="00C9501B"/>
    <w:rsid w:val="00CA0917"/>
    <w:rsid w:val="00D041A0"/>
    <w:rsid w:val="00D417C2"/>
    <w:rsid w:val="00D60936"/>
    <w:rsid w:val="00D709EB"/>
    <w:rsid w:val="00D74714"/>
    <w:rsid w:val="00D82F3F"/>
    <w:rsid w:val="00D921C6"/>
    <w:rsid w:val="00D958C2"/>
    <w:rsid w:val="00DA0D0C"/>
    <w:rsid w:val="00DD1BCF"/>
    <w:rsid w:val="00E04AB5"/>
    <w:rsid w:val="00E50EEA"/>
    <w:rsid w:val="00E52F58"/>
    <w:rsid w:val="00E64284"/>
    <w:rsid w:val="00EA1CDB"/>
    <w:rsid w:val="00EA63D2"/>
    <w:rsid w:val="00EB224D"/>
    <w:rsid w:val="00EB40C4"/>
    <w:rsid w:val="00EC26AA"/>
    <w:rsid w:val="00ED7A53"/>
    <w:rsid w:val="00EE4273"/>
    <w:rsid w:val="00F02004"/>
    <w:rsid w:val="00F042CB"/>
    <w:rsid w:val="00F51AFA"/>
    <w:rsid w:val="00FC0A95"/>
    <w:rsid w:val="00FC3D9C"/>
    <w:rsid w:val="00FD7B7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102845"/>
  <w15:chartTrackingRefBased/>
  <w15:docId w15:val="{26388C36-D2A4-46C6-BA38-D6B4B385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6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6D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8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A295FD8DD8242B2E1E79315B308BF" ma:contentTypeVersion="5" ma:contentTypeDescription="Create a new document." ma:contentTypeScope="" ma:versionID="221c18cb1e2667c6a256926527fa7485">
  <xsd:schema xmlns:xsd="http://www.w3.org/2001/XMLSchema" xmlns:xs="http://www.w3.org/2001/XMLSchema" xmlns:p="http://schemas.microsoft.com/office/2006/metadata/properties" xmlns:ns3="95e48a41-7bad-4f88-8890-f71225341836" targetNamespace="http://schemas.microsoft.com/office/2006/metadata/properties" ma:root="true" ma:fieldsID="41dda7f748711ec89e249099d51b5668" ns3:_="">
    <xsd:import namespace="95e48a41-7bad-4f88-8890-f7122534183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48a41-7bad-4f88-8890-f7122534183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A37B90E-EAF7-4391-B102-A82E3498D9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A471E4-AEE1-45F3-AFB1-6108DFDA27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C676B4-B294-449A-AB4B-E92B1B2B6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1</TotalTime>
  <Pages>6</Pages>
  <Words>1250</Words>
  <Characters>7125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Meilynn Ramos Rivera</dc:creator>
  <cp:keywords/>
  <cp:lastModifiedBy>Camyl Moreno Pantojas</cp:lastModifiedBy>
  <cp:revision>2</cp:revision>
  <cp:lastPrinted>2025-04-07T18:09:00Z</cp:lastPrinted>
  <dcterms:created xsi:type="dcterms:W3CDTF">2026-06-08T21:03:00Z</dcterms:created>
  <dcterms:modified xsi:type="dcterms:W3CDTF">2026-06-08T21:03:00Z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0x0101005F5A295FD8DD8242B2E1E79315B308BF</vt:lpwstr>
  </property>
</Properties>
</file>