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43A05" w14:textId="77777777" w:rsidR="00FA4986" w:rsidRPr="00BE2550" w:rsidRDefault="00FA4986" w:rsidP="00FA4986">
      <w:pPr>
        <w:tabs>
          <w:tab w:val="right" w:pos="709"/>
        </w:tabs>
        <w:spacing w:line="276" w:lineRule="auto"/>
        <w:jc w:val="center"/>
        <w:rPr>
          <w:rFonts w:ascii="Book Antiqua" w:hAnsi="Book Antiqua"/>
          <w:b/>
          <w:sz w:val="28"/>
          <w:szCs w:val="28"/>
          <w:lang w:val="es-ES"/>
        </w:rPr>
      </w:pPr>
      <w:r w:rsidRPr="00BE2550">
        <w:rPr>
          <w:rFonts w:ascii="Book Antiqua" w:hAnsi="Book Antiqua"/>
          <w:b/>
          <w:sz w:val="28"/>
          <w:szCs w:val="28"/>
          <w:lang w:val="es-ES"/>
        </w:rPr>
        <w:t xml:space="preserve">   GOBIERNO DE PUERTO RICO</w:t>
      </w:r>
    </w:p>
    <w:p w14:paraId="0B22B2ED" w14:textId="77777777" w:rsidR="00FA4986" w:rsidRPr="00BE2550" w:rsidRDefault="00FA4986" w:rsidP="00FA4986">
      <w:pPr>
        <w:suppressLineNumbers/>
        <w:tabs>
          <w:tab w:val="left" w:pos="7560"/>
        </w:tabs>
        <w:spacing w:line="276" w:lineRule="auto"/>
        <w:jc w:val="both"/>
        <w:rPr>
          <w:rFonts w:ascii="Book Antiqua" w:hAnsi="Book Antiqua"/>
          <w:lang w:val="es-ES"/>
        </w:rPr>
      </w:pPr>
      <w:r w:rsidRPr="00BE2550">
        <w:rPr>
          <w:rFonts w:ascii="Book Antiqua" w:hAnsi="Book Antiqua"/>
          <w:lang w:val="es-ES"/>
        </w:rPr>
        <w:t>20</w:t>
      </w:r>
      <w:r w:rsidRPr="00BE2550">
        <w:rPr>
          <w:rFonts w:ascii="Book Antiqua" w:hAnsi="Book Antiqua"/>
          <w:vertAlign w:val="superscript"/>
          <w:lang w:val="es-ES"/>
        </w:rPr>
        <w:t>ma.</w:t>
      </w:r>
      <w:r w:rsidRPr="00BE2550">
        <w:rPr>
          <w:rFonts w:ascii="Book Antiqua" w:hAnsi="Book Antiqua"/>
          <w:lang w:val="es-ES"/>
        </w:rPr>
        <w:t xml:space="preserve"> Asamblea</w:t>
      </w:r>
      <w:r w:rsidRPr="00BE2550">
        <w:rPr>
          <w:rFonts w:ascii="Book Antiqua" w:hAnsi="Book Antiqua"/>
          <w:lang w:val="es-ES"/>
        </w:rPr>
        <w:tab/>
        <w:t xml:space="preserve">    3</w:t>
      </w:r>
      <w:r w:rsidRPr="00BE2550">
        <w:rPr>
          <w:rFonts w:ascii="Book Antiqua" w:hAnsi="Book Antiqua"/>
          <w:vertAlign w:val="superscript"/>
          <w:lang w:val="es-ES"/>
        </w:rPr>
        <w:t>ra.</w:t>
      </w:r>
      <w:r w:rsidRPr="00BE2550">
        <w:rPr>
          <w:rFonts w:ascii="Book Antiqua" w:hAnsi="Book Antiqua"/>
          <w:lang w:val="es-ES"/>
        </w:rPr>
        <w:t xml:space="preserve">  Sesión </w:t>
      </w:r>
    </w:p>
    <w:p w14:paraId="4D36F128" w14:textId="77777777" w:rsidR="00FA4986" w:rsidRPr="00BE2550" w:rsidRDefault="00FA4986" w:rsidP="00FA4986">
      <w:pPr>
        <w:spacing w:line="276" w:lineRule="auto"/>
        <w:rPr>
          <w:rFonts w:ascii="Book Antiqua" w:hAnsi="Book Antiqua"/>
          <w:b/>
          <w:lang w:val="es-ES"/>
        </w:rPr>
      </w:pPr>
      <w:r w:rsidRPr="00BE2550">
        <w:rPr>
          <w:rFonts w:ascii="Book Antiqua" w:hAnsi="Book Antiqua"/>
          <w:lang w:val="es-ES"/>
        </w:rPr>
        <w:t xml:space="preserve">       Legislativa</w:t>
      </w:r>
      <w:r w:rsidRPr="00BE2550">
        <w:rPr>
          <w:rFonts w:ascii="Book Antiqua" w:hAnsi="Book Antiqua"/>
          <w:lang w:val="es-ES"/>
        </w:rPr>
        <w:tab/>
      </w:r>
      <w:r w:rsidRPr="00BE2550">
        <w:rPr>
          <w:rFonts w:ascii="Book Antiqua" w:hAnsi="Book Antiqua"/>
          <w:lang w:val="es-ES"/>
        </w:rPr>
        <w:tab/>
      </w:r>
      <w:r w:rsidRPr="00BE2550">
        <w:rPr>
          <w:rFonts w:ascii="Book Antiqua" w:hAnsi="Book Antiqua"/>
          <w:lang w:val="es-ES"/>
        </w:rPr>
        <w:tab/>
      </w:r>
      <w:r w:rsidRPr="00BE2550">
        <w:rPr>
          <w:rFonts w:ascii="Book Antiqua" w:hAnsi="Book Antiqua"/>
          <w:lang w:val="es-ES"/>
        </w:rPr>
        <w:tab/>
      </w:r>
      <w:r w:rsidRPr="00BE2550">
        <w:rPr>
          <w:rFonts w:ascii="Book Antiqua" w:hAnsi="Book Antiqua"/>
          <w:lang w:val="es-ES"/>
        </w:rPr>
        <w:tab/>
      </w:r>
      <w:r w:rsidRPr="00BE2550">
        <w:rPr>
          <w:rFonts w:ascii="Book Antiqua" w:hAnsi="Book Antiqua"/>
          <w:lang w:val="es-ES"/>
        </w:rPr>
        <w:tab/>
      </w:r>
      <w:r w:rsidRPr="00BE2550">
        <w:rPr>
          <w:rFonts w:ascii="Book Antiqua" w:hAnsi="Book Antiqua"/>
          <w:lang w:val="es-ES"/>
        </w:rPr>
        <w:tab/>
      </w:r>
      <w:r w:rsidRPr="00BE2550">
        <w:rPr>
          <w:rFonts w:ascii="Book Antiqua" w:hAnsi="Book Antiqua"/>
          <w:lang w:val="es-ES"/>
        </w:rPr>
        <w:tab/>
      </w:r>
      <w:r w:rsidRPr="00BE2550">
        <w:rPr>
          <w:rFonts w:ascii="Book Antiqua" w:hAnsi="Book Antiqua"/>
          <w:lang w:val="es-ES"/>
        </w:rPr>
        <w:tab/>
        <w:t xml:space="preserve">      Ordinaria</w:t>
      </w:r>
    </w:p>
    <w:p w14:paraId="4FCE7B2C" w14:textId="77777777" w:rsidR="00FA4986" w:rsidRPr="00BE2550" w:rsidRDefault="00FA4986" w:rsidP="00FA4986">
      <w:pPr>
        <w:spacing w:line="276" w:lineRule="auto"/>
        <w:jc w:val="center"/>
        <w:rPr>
          <w:rFonts w:ascii="Book Antiqua" w:hAnsi="Book Antiqua"/>
          <w:b/>
          <w:sz w:val="36"/>
          <w:szCs w:val="36"/>
          <w:lang w:val="es-ES"/>
        </w:rPr>
      </w:pPr>
    </w:p>
    <w:p w14:paraId="3F58398D" w14:textId="77777777" w:rsidR="00FA4986" w:rsidRPr="00BE2550" w:rsidRDefault="00FA4986" w:rsidP="00FA4986">
      <w:pPr>
        <w:spacing w:line="360" w:lineRule="auto"/>
        <w:jc w:val="center"/>
        <w:rPr>
          <w:rFonts w:ascii="Book Antiqua" w:hAnsi="Book Antiqua"/>
          <w:b/>
          <w:sz w:val="36"/>
          <w:szCs w:val="36"/>
          <w:lang w:val="es-ES"/>
        </w:rPr>
      </w:pPr>
      <w:r w:rsidRPr="00BE2550">
        <w:rPr>
          <w:rFonts w:ascii="Book Antiqua" w:hAnsi="Book Antiqua"/>
          <w:b/>
          <w:sz w:val="36"/>
          <w:szCs w:val="36"/>
          <w:lang w:val="es-ES"/>
        </w:rPr>
        <w:t>CÁMARA DE REPRESENTANTES</w:t>
      </w:r>
    </w:p>
    <w:p w14:paraId="36A4A5A6" w14:textId="34CBACCB" w:rsidR="00FA4986" w:rsidRPr="00BE2550" w:rsidRDefault="00FA4986" w:rsidP="00FA4986">
      <w:pPr>
        <w:spacing w:line="360" w:lineRule="auto"/>
        <w:jc w:val="center"/>
        <w:rPr>
          <w:rFonts w:ascii="Book Antiqua" w:hAnsi="Book Antiqua"/>
          <w:b/>
          <w:sz w:val="52"/>
          <w:szCs w:val="52"/>
          <w:lang w:val="es-ES"/>
        </w:rPr>
      </w:pPr>
      <w:r w:rsidRPr="00BE2550">
        <w:rPr>
          <w:rFonts w:ascii="Book Antiqua" w:hAnsi="Book Antiqua"/>
          <w:b/>
          <w:sz w:val="52"/>
          <w:szCs w:val="52"/>
          <w:lang w:val="es-ES"/>
        </w:rPr>
        <w:t xml:space="preserve">P. del C. </w:t>
      </w:r>
      <w:r>
        <w:rPr>
          <w:rFonts w:ascii="Book Antiqua" w:hAnsi="Book Antiqua"/>
          <w:b/>
          <w:sz w:val="52"/>
          <w:szCs w:val="52"/>
          <w:lang w:val="es-ES"/>
        </w:rPr>
        <w:t>1179</w:t>
      </w:r>
    </w:p>
    <w:p w14:paraId="65739975" w14:textId="77777777" w:rsidR="00FA4986" w:rsidRPr="00BE2550" w:rsidRDefault="00FA4986" w:rsidP="00FA4986">
      <w:pPr>
        <w:jc w:val="center"/>
        <w:rPr>
          <w:rFonts w:ascii="Book Antiqua" w:hAnsi="Book Antiqua"/>
          <w:b/>
          <w:sz w:val="28"/>
          <w:szCs w:val="28"/>
        </w:rPr>
      </w:pPr>
      <w:r w:rsidRPr="00BE2550">
        <w:rPr>
          <w:rFonts w:ascii="Book Antiqua" w:hAnsi="Book Antiqua"/>
          <w:b/>
          <w:sz w:val="28"/>
          <w:szCs w:val="28"/>
        </w:rPr>
        <w:t>INFORME POSITIVO</w:t>
      </w:r>
    </w:p>
    <w:p w14:paraId="1ED31AA3" w14:textId="77777777" w:rsidR="00FA4986" w:rsidRPr="00BE2550" w:rsidRDefault="00FA4986" w:rsidP="00FA4986">
      <w:pPr>
        <w:tabs>
          <w:tab w:val="left" w:pos="6180"/>
        </w:tabs>
        <w:spacing w:line="276" w:lineRule="auto"/>
        <w:rPr>
          <w:rFonts w:ascii="Book Antiqua" w:hAnsi="Book Antiqua"/>
          <w:b/>
          <w:sz w:val="28"/>
          <w:szCs w:val="28"/>
        </w:rPr>
      </w:pPr>
      <w:r w:rsidRPr="00BE2550">
        <w:rPr>
          <w:rFonts w:ascii="Book Antiqua" w:hAnsi="Book Antiqua"/>
          <w:b/>
          <w:sz w:val="28"/>
          <w:szCs w:val="28"/>
        </w:rPr>
        <w:tab/>
      </w:r>
    </w:p>
    <w:p w14:paraId="23B19FBB" w14:textId="010947EB" w:rsidR="00FA4986" w:rsidRPr="00BE2550" w:rsidRDefault="00BD64BC" w:rsidP="00DB7586">
      <w:pPr>
        <w:contextualSpacing/>
        <w:jc w:val="center"/>
        <w:rPr>
          <w:rFonts w:ascii="Book Antiqua" w:hAnsi="Book Antiqua"/>
        </w:rPr>
      </w:pPr>
      <w:r>
        <w:rPr>
          <w:rFonts w:ascii="Book Antiqua" w:hAnsi="Book Antiqua"/>
        </w:rPr>
        <w:t>30</w:t>
      </w:r>
      <w:r w:rsidR="00FA4986" w:rsidRPr="00BE2550">
        <w:rPr>
          <w:rFonts w:ascii="Book Antiqua" w:hAnsi="Book Antiqua"/>
        </w:rPr>
        <w:t xml:space="preserve"> de </w:t>
      </w:r>
      <w:r w:rsidR="00FA4986">
        <w:rPr>
          <w:rFonts w:ascii="Book Antiqua" w:hAnsi="Book Antiqua"/>
        </w:rPr>
        <w:t>abril</w:t>
      </w:r>
      <w:r w:rsidR="00FA4986" w:rsidRPr="00BE2550">
        <w:rPr>
          <w:rFonts w:ascii="Book Antiqua" w:hAnsi="Book Antiqua"/>
        </w:rPr>
        <w:t xml:space="preserve"> de 2026</w:t>
      </w:r>
    </w:p>
    <w:p w14:paraId="70498B78" w14:textId="77777777" w:rsidR="00FA4986" w:rsidRDefault="00FA4986" w:rsidP="00DB7586">
      <w:pPr>
        <w:contextualSpacing/>
        <w:rPr>
          <w:rFonts w:ascii="Book Antiqua" w:hAnsi="Book Antiqua"/>
          <w:b/>
        </w:rPr>
      </w:pPr>
    </w:p>
    <w:p w14:paraId="5436DD87" w14:textId="77777777" w:rsidR="00DB7586" w:rsidRPr="00BE2550" w:rsidRDefault="00DB7586" w:rsidP="00DB7586">
      <w:pPr>
        <w:contextualSpacing/>
        <w:rPr>
          <w:rFonts w:ascii="Book Antiqua" w:hAnsi="Book Antiqua"/>
          <w:b/>
        </w:rPr>
      </w:pPr>
    </w:p>
    <w:p w14:paraId="50785FD2" w14:textId="77777777" w:rsidR="00FA4986" w:rsidRPr="00BE2550" w:rsidRDefault="00FA4986" w:rsidP="00DB7586">
      <w:pPr>
        <w:contextualSpacing/>
        <w:rPr>
          <w:rFonts w:ascii="Book Antiqua" w:hAnsi="Book Antiqua"/>
          <w:b/>
          <w:lang w:val="es-ES"/>
        </w:rPr>
      </w:pPr>
      <w:r w:rsidRPr="00BE2550">
        <w:rPr>
          <w:rFonts w:ascii="Book Antiqua" w:hAnsi="Book Antiqua"/>
          <w:b/>
          <w:lang w:val="es-ES"/>
        </w:rPr>
        <w:t>A LA CÁMARA DE REPRESENTANTES:</w:t>
      </w:r>
    </w:p>
    <w:p w14:paraId="3500E46A" w14:textId="77777777" w:rsidR="00FA4986" w:rsidRPr="00BE2550" w:rsidRDefault="00FA4986" w:rsidP="00DB7586">
      <w:pPr>
        <w:contextualSpacing/>
        <w:rPr>
          <w:rFonts w:ascii="Book Antiqua" w:hAnsi="Book Antiqua"/>
          <w:b/>
          <w:lang w:val="es-ES"/>
        </w:rPr>
      </w:pPr>
    </w:p>
    <w:p w14:paraId="7E478A46" w14:textId="15B614B6" w:rsidR="00FA4986" w:rsidRPr="00BE2550" w:rsidRDefault="00FA4986" w:rsidP="00DB7586">
      <w:pPr>
        <w:ind w:firstLine="720"/>
        <w:contextualSpacing/>
        <w:jc w:val="both"/>
        <w:rPr>
          <w:rFonts w:ascii="Book Antiqua" w:hAnsi="Book Antiqua"/>
          <w:lang w:val="es-ES"/>
        </w:rPr>
      </w:pPr>
      <w:r w:rsidRPr="0A1D1530">
        <w:rPr>
          <w:rFonts w:ascii="Book Antiqua" w:hAnsi="Book Antiqua"/>
          <w:lang w:val="es-ES"/>
        </w:rPr>
        <w:t xml:space="preserve">La Comisión de Gobierno de la Cámara de Representantes de Puerto Rico, previo estudio y consideración del </w:t>
      </w:r>
      <w:r w:rsidRPr="0A1D1530">
        <w:rPr>
          <w:rFonts w:ascii="Book Antiqua" w:hAnsi="Book Antiqua"/>
          <w:b/>
          <w:bCs/>
          <w:lang w:val="es-ES"/>
        </w:rPr>
        <w:t>Proyecto de la Cámara 1179</w:t>
      </w:r>
      <w:r w:rsidRPr="0A1D1530">
        <w:rPr>
          <w:rFonts w:ascii="Book Antiqua" w:hAnsi="Book Antiqua"/>
          <w:lang w:val="es-ES"/>
        </w:rPr>
        <w:t xml:space="preserve">, recomienda su aprobación </w:t>
      </w:r>
      <w:r w:rsidR="76CD2BB3" w:rsidRPr="0A1D1530">
        <w:rPr>
          <w:rFonts w:ascii="Book Antiqua" w:hAnsi="Book Antiqua"/>
          <w:lang w:val="es-ES"/>
        </w:rPr>
        <w:t>con las</w:t>
      </w:r>
      <w:r w:rsidRPr="0A1D1530">
        <w:rPr>
          <w:rFonts w:ascii="Book Antiqua" w:hAnsi="Book Antiqua"/>
          <w:lang w:val="es-ES"/>
        </w:rPr>
        <w:t xml:space="preserve"> enmiendas</w:t>
      </w:r>
      <w:r w:rsidR="41AB485D" w:rsidRPr="0A1D1530">
        <w:rPr>
          <w:rFonts w:ascii="Book Antiqua" w:hAnsi="Book Antiqua"/>
          <w:lang w:val="es-ES"/>
        </w:rPr>
        <w:t xml:space="preserve"> contenidas en el Entirillado Electrónico que se acompaña</w:t>
      </w:r>
      <w:r w:rsidRPr="0A1D1530">
        <w:rPr>
          <w:rFonts w:ascii="Book Antiqua" w:hAnsi="Book Antiqua"/>
          <w:lang w:val="es-ES"/>
        </w:rPr>
        <w:t>.</w:t>
      </w:r>
    </w:p>
    <w:p w14:paraId="31C9B087" w14:textId="77777777" w:rsidR="00DB7586" w:rsidRDefault="00DB7586" w:rsidP="00DB7586">
      <w:pPr>
        <w:contextualSpacing/>
        <w:jc w:val="center"/>
        <w:rPr>
          <w:rFonts w:ascii="Book Antiqua" w:hAnsi="Book Antiqua"/>
          <w:lang w:val="es-ES"/>
        </w:rPr>
      </w:pPr>
    </w:p>
    <w:p w14:paraId="5CB616AF" w14:textId="7932ED62" w:rsidR="00FA4986" w:rsidRPr="00BE2550" w:rsidRDefault="00FA4986" w:rsidP="00DB7586">
      <w:pPr>
        <w:contextualSpacing/>
        <w:jc w:val="center"/>
        <w:rPr>
          <w:rFonts w:ascii="Book Antiqua" w:hAnsi="Book Antiqua"/>
          <w:b/>
          <w:bCs/>
          <w:lang w:val="es-ES"/>
        </w:rPr>
      </w:pPr>
      <w:r w:rsidRPr="00BE2550">
        <w:rPr>
          <w:rFonts w:ascii="Book Antiqua" w:hAnsi="Book Antiqua"/>
          <w:b/>
          <w:bCs/>
          <w:lang w:val="es-ES"/>
        </w:rPr>
        <w:t>ALCANCE DE LA MEDIDA</w:t>
      </w:r>
    </w:p>
    <w:p w14:paraId="509114C9" w14:textId="77777777" w:rsidR="00FA4986" w:rsidRPr="00BE2550" w:rsidRDefault="00FA4986" w:rsidP="00DB7586">
      <w:pPr>
        <w:contextualSpacing/>
        <w:outlineLvl w:val="0"/>
        <w:rPr>
          <w:rFonts w:ascii="Book Antiqua" w:hAnsi="Book Antiqua"/>
          <w:b/>
          <w:caps/>
          <w:lang w:val="es-ES"/>
        </w:rPr>
      </w:pPr>
    </w:p>
    <w:p w14:paraId="6A6F1604" w14:textId="52FFC5A7" w:rsidR="00FA4986" w:rsidRDefault="00FA4986" w:rsidP="00DB7586">
      <w:pPr>
        <w:ind w:firstLine="708"/>
        <w:contextualSpacing/>
        <w:jc w:val="both"/>
        <w:rPr>
          <w:rFonts w:ascii="Book Antiqua" w:eastAsia="Book Antiqua" w:hAnsi="Book Antiqua" w:cs="Book Antiqua"/>
          <w:color w:val="000000"/>
        </w:rPr>
      </w:pPr>
      <w:r w:rsidRPr="00F53159">
        <w:rPr>
          <w:rFonts w:ascii="Book Antiqua" w:eastAsia="Book Antiqua" w:hAnsi="Book Antiqua" w:cs="Book Antiqua"/>
          <w:color w:val="000000"/>
        </w:rPr>
        <w:t>El Proyecto de la Cámara</w:t>
      </w:r>
      <w:r>
        <w:rPr>
          <w:rFonts w:ascii="Book Antiqua" w:eastAsia="Book Antiqua" w:hAnsi="Book Antiqua" w:cs="Book Antiqua"/>
          <w:color w:val="000000"/>
        </w:rPr>
        <w:t xml:space="preserve"> 1179 </w:t>
      </w:r>
      <w:r w:rsidRPr="00FA4986">
        <w:rPr>
          <w:rFonts w:ascii="Book Antiqua" w:eastAsia="Book Antiqua" w:hAnsi="Book Antiqua" w:cs="Book Antiqua"/>
          <w:color w:val="000000"/>
        </w:rPr>
        <w:t>propone declarar el 21 de marzo de cada año como el “Día de las Mujeres Tocadoras de Bomba de Loíza”, en reconocimiento a su aportación a la cultura afrocaribeña de Puerto Rico.</w:t>
      </w:r>
    </w:p>
    <w:p w14:paraId="1003C9CF" w14:textId="77777777" w:rsidR="00FA4986" w:rsidRPr="00FA4986" w:rsidRDefault="00FA4986" w:rsidP="00DB7586">
      <w:pPr>
        <w:ind w:firstLine="708"/>
        <w:contextualSpacing/>
        <w:jc w:val="both"/>
        <w:rPr>
          <w:rFonts w:ascii="Book Antiqua" w:eastAsia="Book Antiqua" w:hAnsi="Book Antiqua" w:cs="Book Antiqua"/>
          <w:color w:val="000000"/>
        </w:rPr>
      </w:pPr>
    </w:p>
    <w:p w14:paraId="68D73B5C" w14:textId="4DDE7A33" w:rsidR="00FA4986" w:rsidRDefault="00FA4986" w:rsidP="00DB7586">
      <w:pPr>
        <w:ind w:firstLine="708"/>
        <w:contextualSpacing/>
        <w:jc w:val="both"/>
        <w:rPr>
          <w:rFonts w:ascii="Book Antiqua" w:eastAsia="Book Antiqua" w:hAnsi="Book Antiqua" w:cs="Book Antiqua"/>
          <w:color w:val="000000"/>
        </w:rPr>
      </w:pPr>
      <w:r w:rsidRPr="00FA4986">
        <w:rPr>
          <w:rFonts w:ascii="Book Antiqua" w:eastAsia="Book Antiqua" w:hAnsi="Book Antiqua" w:cs="Book Antiqua"/>
          <w:color w:val="000000"/>
        </w:rPr>
        <w:t>Asimismo, dispone que la Gobernadora de Puerto Rico, mediante proclama oficial, exhorte a los sectores públicos y privados a llevar a cabo actividades educativas, culturales y artísticas dirigidas a resaltar la aportación de estas mujeres, y faculta al Instituto de Cultura Puertorriqueña, en coordinación con el Departamento de Educación y el Municipio de Loíza, a adoptar las medidas necesarias para la consecución de los objetivos de esta Ley.</w:t>
      </w:r>
    </w:p>
    <w:p w14:paraId="6657DD86" w14:textId="77777777" w:rsidR="00DB7586" w:rsidRDefault="00DB7586" w:rsidP="00DB7586">
      <w:pPr>
        <w:contextualSpacing/>
        <w:jc w:val="center"/>
        <w:rPr>
          <w:rFonts w:ascii="Book Antiqua" w:eastAsia="Book Antiqua" w:hAnsi="Book Antiqua" w:cs="Book Antiqua"/>
          <w:color w:val="000000"/>
        </w:rPr>
      </w:pPr>
    </w:p>
    <w:p w14:paraId="7678AEED" w14:textId="5F79FFD1" w:rsidR="00FA4986" w:rsidRPr="00BE2550" w:rsidRDefault="00FA4986" w:rsidP="00DB7586">
      <w:pPr>
        <w:contextualSpacing/>
        <w:jc w:val="center"/>
        <w:rPr>
          <w:rFonts w:ascii="Book Antiqua" w:hAnsi="Book Antiqua"/>
          <w:b/>
          <w:caps/>
          <w:lang w:val="es-ES"/>
        </w:rPr>
      </w:pPr>
      <w:r w:rsidRPr="00BE2550">
        <w:rPr>
          <w:rFonts w:ascii="Book Antiqua" w:hAnsi="Book Antiqua"/>
          <w:b/>
          <w:caps/>
          <w:lang w:val="es-ES"/>
        </w:rPr>
        <w:t>AnÁlisis de la Medida</w:t>
      </w:r>
    </w:p>
    <w:p w14:paraId="0EDBA28D" w14:textId="77777777" w:rsidR="00FA4986" w:rsidRPr="00BE2550" w:rsidRDefault="00FA4986" w:rsidP="00DB7586">
      <w:pPr>
        <w:contextualSpacing/>
        <w:jc w:val="both"/>
        <w:rPr>
          <w:rFonts w:ascii="Book Antiqua" w:hAnsi="Book Antiqua"/>
          <w:lang w:val="es-ES"/>
        </w:rPr>
      </w:pPr>
    </w:p>
    <w:p w14:paraId="773AE2CE" w14:textId="77777777" w:rsidR="00FD45FA" w:rsidRDefault="00FD45FA" w:rsidP="00DB7586">
      <w:pPr>
        <w:ind w:firstLine="708"/>
        <w:contextualSpacing/>
        <w:jc w:val="both"/>
        <w:rPr>
          <w:rFonts w:ascii="Book Antiqua" w:hAnsi="Book Antiqua"/>
        </w:rPr>
      </w:pPr>
      <w:r w:rsidRPr="00FD45FA">
        <w:rPr>
          <w:rFonts w:ascii="Book Antiqua" w:hAnsi="Book Antiqua"/>
        </w:rPr>
        <w:t>La Exposición de Motivos plantea la importancia de reconocer la aportación de las mujeres en la preservación y desarrollo de la bomba puertorriqueña, particularmente en el municipio de Loíza, así como su rol en la transmisión del legado afrocaribeño y la identidad cultural del País.</w:t>
      </w:r>
    </w:p>
    <w:p w14:paraId="4F36F1F1" w14:textId="77777777" w:rsidR="00FD45FA" w:rsidRPr="00FD45FA" w:rsidRDefault="00FD45FA" w:rsidP="00DB7586">
      <w:pPr>
        <w:ind w:firstLine="708"/>
        <w:contextualSpacing/>
        <w:jc w:val="both"/>
        <w:rPr>
          <w:rFonts w:ascii="Book Antiqua" w:hAnsi="Book Antiqua"/>
        </w:rPr>
      </w:pPr>
    </w:p>
    <w:p w14:paraId="291BFC56" w14:textId="77777777" w:rsidR="00FD45FA" w:rsidRDefault="00FD45FA" w:rsidP="00DB7586">
      <w:pPr>
        <w:ind w:firstLine="708"/>
        <w:contextualSpacing/>
        <w:jc w:val="both"/>
        <w:rPr>
          <w:rFonts w:ascii="Book Antiqua" w:hAnsi="Book Antiqua"/>
        </w:rPr>
      </w:pPr>
      <w:r w:rsidRPr="00FD45FA">
        <w:rPr>
          <w:rFonts w:ascii="Book Antiqua" w:hAnsi="Book Antiqua"/>
        </w:rPr>
        <w:lastRenderedPageBreak/>
        <w:t>La Comisión reconoce que la medida atiende un asunto de gran relevancia cultural y social, al visibilizar la contribución de las mujeres en una de las manifestaciones más emblemáticas del patrimonio afrocaribeño de Puerto Rico.</w:t>
      </w:r>
    </w:p>
    <w:p w14:paraId="528B7765" w14:textId="77777777" w:rsidR="00FD45FA" w:rsidRPr="00FD45FA" w:rsidRDefault="00FD45FA" w:rsidP="00DB7586">
      <w:pPr>
        <w:ind w:firstLine="708"/>
        <w:contextualSpacing/>
        <w:jc w:val="both"/>
        <w:rPr>
          <w:rFonts w:ascii="Book Antiqua" w:hAnsi="Book Antiqua"/>
        </w:rPr>
      </w:pPr>
    </w:p>
    <w:p w14:paraId="31AC40B1" w14:textId="77777777" w:rsidR="00FD45FA" w:rsidRDefault="00FD45FA" w:rsidP="00DB7586">
      <w:pPr>
        <w:ind w:firstLine="708"/>
        <w:contextualSpacing/>
        <w:jc w:val="both"/>
        <w:rPr>
          <w:rFonts w:ascii="Book Antiqua" w:hAnsi="Book Antiqua"/>
        </w:rPr>
      </w:pPr>
      <w:r w:rsidRPr="00FD45FA">
        <w:rPr>
          <w:rFonts w:ascii="Book Antiqua" w:hAnsi="Book Antiqua"/>
        </w:rPr>
        <w:t>Asimismo, la Comisión entiende que el reconocimiento propuesto fortalece los esfuerzos dirigidos a la preservación de la bomba puertorriqueña y contribuye a la promoción de la equidad de género dentro del ámbito cultural, resaltando el rol de las mujeres en la transmisión intergeneracional de esta tradición.</w:t>
      </w:r>
    </w:p>
    <w:p w14:paraId="2C17A22F" w14:textId="77777777" w:rsidR="00FD45FA" w:rsidRPr="00FD45FA" w:rsidRDefault="00FD45FA" w:rsidP="00DB7586">
      <w:pPr>
        <w:ind w:firstLine="708"/>
        <w:contextualSpacing/>
        <w:jc w:val="both"/>
        <w:rPr>
          <w:rFonts w:ascii="Book Antiqua" w:hAnsi="Book Antiqua"/>
        </w:rPr>
      </w:pPr>
    </w:p>
    <w:p w14:paraId="383A8AC9" w14:textId="77777777" w:rsidR="00FD45FA" w:rsidRDefault="00FD45FA" w:rsidP="00DB7586">
      <w:pPr>
        <w:ind w:firstLine="708"/>
        <w:contextualSpacing/>
        <w:jc w:val="both"/>
        <w:rPr>
          <w:rFonts w:ascii="Book Antiqua" w:hAnsi="Book Antiqua"/>
        </w:rPr>
      </w:pPr>
      <w:r w:rsidRPr="00FD45FA">
        <w:rPr>
          <w:rFonts w:ascii="Book Antiqua" w:hAnsi="Book Antiqua"/>
        </w:rPr>
        <w:t>De igual forma, la Comisión estima que la designación de esta fecha conmemorativa constituye un mecanismo válido para promover la educación cultural, fomentar la participación comunitaria y reforzar la identidad cultural del País.</w:t>
      </w:r>
    </w:p>
    <w:p w14:paraId="4F4563E9" w14:textId="77777777" w:rsidR="00FD45FA" w:rsidRPr="00FD45FA" w:rsidRDefault="00FD45FA" w:rsidP="00DB7586">
      <w:pPr>
        <w:ind w:firstLine="708"/>
        <w:contextualSpacing/>
        <w:jc w:val="both"/>
        <w:rPr>
          <w:rFonts w:ascii="Book Antiqua" w:hAnsi="Book Antiqua"/>
        </w:rPr>
      </w:pPr>
    </w:p>
    <w:p w14:paraId="0DC81B2C" w14:textId="6837494D" w:rsidR="00FA4986" w:rsidRPr="00F53159" w:rsidRDefault="00FD45FA" w:rsidP="00DB7586">
      <w:pPr>
        <w:ind w:firstLine="708"/>
        <w:contextualSpacing/>
        <w:jc w:val="both"/>
        <w:rPr>
          <w:rFonts w:ascii="Book Antiqua" w:hAnsi="Book Antiqua"/>
        </w:rPr>
      </w:pPr>
      <w:r w:rsidRPr="00FD45FA">
        <w:rPr>
          <w:rFonts w:ascii="Book Antiqua" w:hAnsi="Book Antiqua"/>
        </w:rPr>
        <w:t>En ese sentido, la Comisión concluye que la medida no solo reafirma la política pública existente en materia cultural, sino que la complementa mediante un reconocimiento más específico de un componente que históricamente no siempre ha sido visibilizado dentro de esta manifestación artística.</w:t>
      </w:r>
    </w:p>
    <w:p w14:paraId="50C72DF1" w14:textId="77777777" w:rsidR="00FA4986" w:rsidRPr="00BE2550" w:rsidRDefault="00FA4986" w:rsidP="00DB7586">
      <w:pPr>
        <w:ind w:firstLine="708"/>
        <w:contextualSpacing/>
        <w:jc w:val="both"/>
        <w:rPr>
          <w:rFonts w:ascii="Book Antiqua" w:hAnsi="Book Antiqua"/>
          <w:lang w:val="es-ES"/>
        </w:rPr>
      </w:pPr>
    </w:p>
    <w:p w14:paraId="043A50EB" w14:textId="77777777" w:rsidR="00FA4986" w:rsidRPr="00BE2550" w:rsidRDefault="00FA4986" w:rsidP="00DB7586">
      <w:pPr>
        <w:contextualSpacing/>
        <w:jc w:val="center"/>
        <w:rPr>
          <w:rFonts w:ascii="Book Antiqua" w:hAnsi="Book Antiqua"/>
          <w:b/>
          <w:bCs/>
          <w:lang w:val="es-ES"/>
        </w:rPr>
      </w:pPr>
      <w:r w:rsidRPr="00BE2550">
        <w:rPr>
          <w:rFonts w:ascii="Book Antiqua" w:hAnsi="Book Antiqua"/>
          <w:b/>
          <w:bCs/>
          <w:lang w:val="es-ES"/>
        </w:rPr>
        <w:t>ALCANCE DEL INFORME</w:t>
      </w:r>
    </w:p>
    <w:p w14:paraId="4C3EFD18" w14:textId="77777777" w:rsidR="00FA4986" w:rsidRPr="00BE2550" w:rsidRDefault="00FA4986" w:rsidP="00DB7586">
      <w:pPr>
        <w:ind w:firstLine="708"/>
        <w:contextualSpacing/>
        <w:jc w:val="both"/>
        <w:rPr>
          <w:rFonts w:ascii="Book Antiqua" w:hAnsi="Book Antiqua"/>
          <w:lang w:val="es-ES"/>
        </w:rPr>
      </w:pPr>
    </w:p>
    <w:p w14:paraId="6B876DF4" w14:textId="00152FC1" w:rsidR="00FD45FA" w:rsidRDefault="00FD45FA" w:rsidP="00DB7586">
      <w:pPr>
        <w:ind w:firstLine="708"/>
        <w:contextualSpacing/>
        <w:jc w:val="both"/>
        <w:rPr>
          <w:rFonts w:ascii="Book Antiqua" w:hAnsi="Book Antiqua"/>
        </w:rPr>
      </w:pPr>
      <w:r w:rsidRPr="00FD45FA">
        <w:rPr>
          <w:rFonts w:ascii="Book Antiqua" w:hAnsi="Book Antiqua"/>
        </w:rPr>
        <w:t>Para el estudio y evaluación del Proyecto de la Cámara 1179, la Comisión de Gobierno de la Cámara de Representantes solicitó comentarios y ponencias a las siguientes entidades</w:t>
      </w:r>
      <w:r>
        <w:rPr>
          <w:rFonts w:ascii="Book Antiqua" w:hAnsi="Book Antiqua"/>
        </w:rPr>
        <w:t>:</w:t>
      </w:r>
    </w:p>
    <w:p w14:paraId="6E8FA13D" w14:textId="77777777" w:rsidR="00FD45FA" w:rsidRPr="00FD45FA" w:rsidRDefault="00FD45FA" w:rsidP="00DB7586">
      <w:pPr>
        <w:ind w:firstLine="708"/>
        <w:contextualSpacing/>
        <w:jc w:val="both"/>
        <w:rPr>
          <w:rFonts w:ascii="Book Antiqua" w:hAnsi="Book Antiqua"/>
        </w:rPr>
      </w:pPr>
    </w:p>
    <w:p w14:paraId="4592196F" w14:textId="77777777" w:rsidR="00FD45FA" w:rsidRPr="00FD45FA" w:rsidRDefault="00FD45FA" w:rsidP="00DB7586">
      <w:pPr>
        <w:numPr>
          <w:ilvl w:val="0"/>
          <w:numId w:val="3"/>
        </w:numPr>
        <w:contextualSpacing/>
        <w:jc w:val="both"/>
        <w:rPr>
          <w:rFonts w:ascii="Book Antiqua" w:hAnsi="Book Antiqua"/>
        </w:rPr>
      </w:pPr>
      <w:r w:rsidRPr="00FD45FA">
        <w:rPr>
          <w:rFonts w:ascii="Book Antiqua" w:hAnsi="Book Antiqua"/>
        </w:rPr>
        <w:t xml:space="preserve">Departamento de Estado </w:t>
      </w:r>
    </w:p>
    <w:p w14:paraId="10E69177" w14:textId="77777777" w:rsidR="00FD45FA" w:rsidRPr="00FD45FA" w:rsidRDefault="00FD45FA" w:rsidP="00DB7586">
      <w:pPr>
        <w:numPr>
          <w:ilvl w:val="0"/>
          <w:numId w:val="3"/>
        </w:numPr>
        <w:contextualSpacing/>
        <w:jc w:val="both"/>
        <w:rPr>
          <w:rFonts w:ascii="Book Antiqua" w:hAnsi="Book Antiqua"/>
        </w:rPr>
      </w:pPr>
      <w:r w:rsidRPr="00FD45FA">
        <w:rPr>
          <w:rFonts w:ascii="Book Antiqua" w:hAnsi="Book Antiqua"/>
        </w:rPr>
        <w:t xml:space="preserve">Instituto de Cultura Puertorriqueña (ICP) </w:t>
      </w:r>
    </w:p>
    <w:p w14:paraId="78674969" w14:textId="77777777" w:rsidR="00FD45FA" w:rsidRPr="00FD45FA" w:rsidRDefault="00FD45FA" w:rsidP="00DB7586">
      <w:pPr>
        <w:numPr>
          <w:ilvl w:val="0"/>
          <w:numId w:val="3"/>
        </w:numPr>
        <w:contextualSpacing/>
        <w:jc w:val="both"/>
        <w:rPr>
          <w:rFonts w:ascii="Book Antiqua" w:hAnsi="Book Antiqua"/>
        </w:rPr>
      </w:pPr>
      <w:r w:rsidRPr="00FD45FA">
        <w:rPr>
          <w:rFonts w:ascii="Book Antiqua" w:hAnsi="Book Antiqua"/>
        </w:rPr>
        <w:t xml:space="preserve">Municipio de Loíza </w:t>
      </w:r>
    </w:p>
    <w:p w14:paraId="2D78306A" w14:textId="77777777" w:rsidR="00FD45FA" w:rsidRPr="00FD45FA" w:rsidRDefault="00FD45FA" w:rsidP="00DB7586">
      <w:pPr>
        <w:numPr>
          <w:ilvl w:val="0"/>
          <w:numId w:val="3"/>
        </w:numPr>
        <w:contextualSpacing/>
        <w:jc w:val="both"/>
        <w:rPr>
          <w:rFonts w:ascii="Book Antiqua" w:hAnsi="Book Antiqua"/>
        </w:rPr>
      </w:pPr>
      <w:r w:rsidRPr="00FD45FA">
        <w:rPr>
          <w:rFonts w:ascii="Book Antiqua" w:hAnsi="Book Antiqua"/>
        </w:rPr>
        <w:t xml:space="preserve">Oficina de la Procuradora de las Mujeres (OPM) </w:t>
      </w:r>
    </w:p>
    <w:p w14:paraId="76E6224E" w14:textId="77777777" w:rsidR="00FD45FA" w:rsidRDefault="00FD45FA" w:rsidP="00DB7586">
      <w:pPr>
        <w:numPr>
          <w:ilvl w:val="0"/>
          <w:numId w:val="3"/>
        </w:numPr>
        <w:contextualSpacing/>
        <w:jc w:val="both"/>
        <w:rPr>
          <w:rFonts w:ascii="Book Antiqua" w:hAnsi="Book Antiqua"/>
        </w:rPr>
      </w:pPr>
      <w:r w:rsidRPr="00FD45FA">
        <w:rPr>
          <w:rFonts w:ascii="Book Antiqua" w:hAnsi="Book Antiqua"/>
        </w:rPr>
        <w:t xml:space="preserve">Oficina de Presupuesto de la Asamblea Legislativa (OPAL) </w:t>
      </w:r>
    </w:p>
    <w:p w14:paraId="3145F3F2" w14:textId="77777777" w:rsidR="00FD45FA" w:rsidRPr="00FD45FA" w:rsidRDefault="00FD45FA" w:rsidP="00DB7586">
      <w:pPr>
        <w:ind w:left="720"/>
        <w:contextualSpacing/>
        <w:jc w:val="both"/>
        <w:rPr>
          <w:rFonts w:ascii="Book Antiqua" w:hAnsi="Book Antiqua"/>
        </w:rPr>
      </w:pPr>
    </w:p>
    <w:p w14:paraId="75BEF555" w14:textId="478085A3" w:rsidR="00FD45FA" w:rsidRPr="00FD45FA" w:rsidRDefault="00FD45FA" w:rsidP="00DB7586">
      <w:pPr>
        <w:ind w:firstLine="708"/>
        <w:contextualSpacing/>
        <w:jc w:val="both"/>
        <w:rPr>
          <w:rFonts w:ascii="Book Antiqua" w:hAnsi="Book Antiqua"/>
        </w:rPr>
      </w:pPr>
      <w:r w:rsidRPr="0A1D1530">
        <w:rPr>
          <w:rFonts w:ascii="Book Antiqua" w:hAnsi="Book Antiqua"/>
        </w:rPr>
        <w:t>Se recibieron y consideraron memoriales de</w:t>
      </w:r>
      <w:r w:rsidR="1E7A52FB" w:rsidRPr="0A1D1530">
        <w:rPr>
          <w:rFonts w:ascii="Book Antiqua" w:hAnsi="Book Antiqua"/>
        </w:rPr>
        <w:t xml:space="preserve">l Departamento de Estado, de </w:t>
      </w:r>
      <w:r w:rsidRPr="0A1D1530">
        <w:rPr>
          <w:rFonts w:ascii="Book Antiqua" w:hAnsi="Book Antiqua"/>
        </w:rPr>
        <w:t>la Oficina de la Procuradora de las Mujeres (OPM) y de la Oficina de Presupuesto de la Asamblea Legislativa (OPAL).</w:t>
      </w:r>
    </w:p>
    <w:p w14:paraId="4377C1B4" w14:textId="77777777" w:rsidR="00DB7586" w:rsidRDefault="00DB7586" w:rsidP="00DB7586">
      <w:pPr>
        <w:contextualSpacing/>
        <w:rPr>
          <w:rFonts w:ascii="Book Antiqua" w:hAnsi="Book Antiqua"/>
          <w:lang w:val="es-ES"/>
        </w:rPr>
      </w:pPr>
    </w:p>
    <w:p w14:paraId="44D1FC5F" w14:textId="1C6AACE6" w:rsidR="00FD45FA" w:rsidRDefault="28CC70E8" w:rsidP="00DB7586">
      <w:pPr>
        <w:contextualSpacing/>
        <w:jc w:val="center"/>
        <w:rPr>
          <w:rFonts w:ascii="Book Antiqua" w:hAnsi="Book Antiqua"/>
          <w:b/>
          <w:bCs/>
        </w:rPr>
      </w:pPr>
      <w:r w:rsidRPr="0A1D1530">
        <w:rPr>
          <w:rFonts w:ascii="Book Antiqua" w:hAnsi="Book Antiqua"/>
          <w:b/>
          <w:bCs/>
        </w:rPr>
        <w:t>Departamento de Estado</w:t>
      </w:r>
    </w:p>
    <w:p w14:paraId="45FADB3B" w14:textId="77777777" w:rsidR="00DB7586" w:rsidRDefault="00DB7586" w:rsidP="00DB7586">
      <w:pPr>
        <w:ind w:firstLine="708"/>
        <w:contextualSpacing/>
        <w:jc w:val="both"/>
        <w:rPr>
          <w:rFonts w:ascii="Book Antiqua" w:eastAsia="Book Antiqua" w:hAnsi="Book Antiqua" w:cs="Book Antiqua"/>
        </w:rPr>
      </w:pPr>
    </w:p>
    <w:p w14:paraId="3791BF65" w14:textId="644F0189" w:rsidR="00FD45FA" w:rsidRDefault="28CC70E8" w:rsidP="00DB7586">
      <w:pPr>
        <w:ind w:firstLine="708"/>
        <w:contextualSpacing/>
        <w:jc w:val="both"/>
      </w:pPr>
      <w:r w:rsidRPr="4D65B07A">
        <w:rPr>
          <w:rFonts w:ascii="Book Antiqua" w:eastAsia="Book Antiqua" w:hAnsi="Book Antiqua" w:cs="Book Antiqua"/>
        </w:rPr>
        <w:t xml:space="preserve">El Departamento de Estado avaló la medida, destacando que el Proyecto de la Cámara 1179 constituye una iniciativa de alto valor cultural, histórico y simbólico, dirigida a reconocer la aportación de las mujeres tocadoras de bomba del municipio de Loíza dentro del patrimonio afrocaribeño de Puerto Rico. </w:t>
      </w:r>
    </w:p>
    <w:p w14:paraId="05240F2B" w14:textId="5BBC59DB" w:rsidR="4D65B07A" w:rsidRDefault="4D65B07A" w:rsidP="00DB7586">
      <w:pPr>
        <w:ind w:firstLine="708"/>
        <w:contextualSpacing/>
        <w:jc w:val="both"/>
        <w:rPr>
          <w:rFonts w:ascii="Book Antiqua" w:eastAsia="Book Antiqua" w:hAnsi="Book Antiqua" w:cs="Book Antiqua"/>
        </w:rPr>
      </w:pPr>
    </w:p>
    <w:p w14:paraId="474715B1" w14:textId="4F312CB4" w:rsidR="00FD45FA" w:rsidRDefault="28CC70E8" w:rsidP="00DB7586">
      <w:pPr>
        <w:ind w:firstLine="708"/>
        <w:contextualSpacing/>
        <w:jc w:val="both"/>
      </w:pPr>
      <w:r w:rsidRPr="4D65B07A">
        <w:rPr>
          <w:rFonts w:ascii="Book Antiqua" w:eastAsia="Book Antiqua" w:hAnsi="Book Antiqua" w:cs="Book Antiqua"/>
        </w:rPr>
        <w:t xml:space="preserve">En su análisis, señaló que la medida </w:t>
      </w:r>
      <w:proofErr w:type="gramStart"/>
      <w:r w:rsidRPr="4D65B07A">
        <w:rPr>
          <w:rFonts w:ascii="Book Antiqua" w:eastAsia="Book Antiqua" w:hAnsi="Book Antiqua" w:cs="Book Antiqua"/>
        </w:rPr>
        <w:t>se enmarca dentro de</w:t>
      </w:r>
      <w:proofErr w:type="gramEnd"/>
      <w:r w:rsidRPr="4D65B07A">
        <w:rPr>
          <w:rFonts w:ascii="Book Antiqua" w:eastAsia="Book Antiqua" w:hAnsi="Book Antiqua" w:cs="Book Antiqua"/>
        </w:rPr>
        <w:t xml:space="preserve"> la política pública vigente de preservación cultural, particularmente aquella establecida por la Ley del </w:t>
      </w:r>
      <w:r w:rsidRPr="4D65B07A">
        <w:rPr>
          <w:rFonts w:ascii="Book Antiqua" w:eastAsia="Book Antiqua" w:hAnsi="Book Antiqua" w:cs="Book Antiqua"/>
        </w:rPr>
        <w:lastRenderedPageBreak/>
        <w:t xml:space="preserve">Instituto de Cultura Puertorriqueña y la Ley de Política Pública sobre la Herencia Africana en Puerto Rico, al traducir en un reconocimiento legislativo específico la protección y visibilización de manifestaciones culturales de raíz afrodescendiente. </w:t>
      </w:r>
    </w:p>
    <w:p w14:paraId="1E95D50F" w14:textId="14024F8D" w:rsidR="4D65B07A" w:rsidRDefault="4D65B07A" w:rsidP="00DB7586">
      <w:pPr>
        <w:ind w:firstLine="708"/>
        <w:contextualSpacing/>
        <w:jc w:val="both"/>
        <w:rPr>
          <w:rFonts w:ascii="Book Antiqua" w:eastAsia="Book Antiqua" w:hAnsi="Book Antiqua" w:cs="Book Antiqua"/>
        </w:rPr>
      </w:pPr>
    </w:p>
    <w:p w14:paraId="4993563D" w14:textId="77DA7DA5" w:rsidR="00FD45FA" w:rsidRDefault="28CC70E8" w:rsidP="00DB7586">
      <w:pPr>
        <w:ind w:firstLine="708"/>
        <w:contextualSpacing/>
        <w:jc w:val="both"/>
      </w:pPr>
      <w:r w:rsidRPr="4D65B07A">
        <w:rPr>
          <w:rFonts w:ascii="Book Antiqua" w:eastAsia="Book Antiqua" w:hAnsi="Book Antiqua" w:cs="Book Antiqua"/>
        </w:rPr>
        <w:t xml:space="preserve">Asimismo, destacó que la designación del 21 de marzo como fecha conmemorativa no es arbitraria, sino que responde a su vinculación con el Día Internacional para la Eliminación de la Discriminación Racial, lo que otorga a la medida una dimensión adicional de derechos humanos, justicia histórica y reconocimiento a comunidades que han sido objeto de marginación social y cultural. </w:t>
      </w:r>
    </w:p>
    <w:p w14:paraId="6AF4E62E" w14:textId="46E4AC38" w:rsidR="4D65B07A" w:rsidRDefault="4D65B07A" w:rsidP="00DB7586">
      <w:pPr>
        <w:ind w:firstLine="708"/>
        <w:contextualSpacing/>
        <w:jc w:val="both"/>
        <w:rPr>
          <w:rFonts w:ascii="Book Antiqua" w:eastAsia="Book Antiqua" w:hAnsi="Book Antiqua" w:cs="Book Antiqua"/>
        </w:rPr>
      </w:pPr>
    </w:p>
    <w:p w14:paraId="2CB501B8" w14:textId="785D5CC5" w:rsidR="00FD45FA" w:rsidRDefault="28CC70E8" w:rsidP="00DB7586">
      <w:pPr>
        <w:ind w:firstLine="708"/>
        <w:contextualSpacing/>
        <w:jc w:val="both"/>
      </w:pPr>
      <w:r w:rsidRPr="4D65B07A">
        <w:rPr>
          <w:rFonts w:ascii="Book Antiqua" w:eastAsia="Book Antiqua" w:hAnsi="Book Antiqua" w:cs="Book Antiqua"/>
        </w:rPr>
        <w:t xml:space="preserve">El Departamento de Estado también resaltó que la medida incorpora una perspectiva de género dentro del reconocimiento cultural, al visibilizar el rol protagónico de las mujeres en la práctica, preservación y transmisión de la bomba puertorriqueña, en contraposición a narrativas históricas que han privilegiado figuras masculinas. </w:t>
      </w:r>
    </w:p>
    <w:p w14:paraId="1E1857AC" w14:textId="6BDB2F54" w:rsidR="4D65B07A" w:rsidRDefault="4D65B07A" w:rsidP="00DB7586">
      <w:pPr>
        <w:ind w:firstLine="708"/>
        <w:contextualSpacing/>
        <w:jc w:val="both"/>
        <w:rPr>
          <w:rFonts w:ascii="Book Antiqua" w:eastAsia="Book Antiqua" w:hAnsi="Book Antiqua" w:cs="Book Antiqua"/>
        </w:rPr>
      </w:pPr>
    </w:p>
    <w:p w14:paraId="7D107B97" w14:textId="794F3797" w:rsidR="00FD45FA" w:rsidRDefault="28CC70E8" w:rsidP="00DB7586">
      <w:pPr>
        <w:ind w:firstLine="708"/>
        <w:contextualSpacing/>
        <w:jc w:val="both"/>
      </w:pPr>
      <w:r w:rsidRPr="4D65B07A">
        <w:rPr>
          <w:rFonts w:ascii="Book Antiqua" w:eastAsia="Book Antiqua" w:hAnsi="Book Antiqua" w:cs="Book Antiqua"/>
        </w:rPr>
        <w:t>De igual forma, señaló que la estructura de implementación propuesta</w:t>
      </w:r>
      <w:r w:rsidR="77797487" w:rsidRPr="4D65B07A">
        <w:rPr>
          <w:rFonts w:ascii="Book Antiqua" w:eastAsia="Book Antiqua" w:hAnsi="Book Antiqua" w:cs="Book Antiqua"/>
        </w:rPr>
        <w:t xml:space="preserve">, </w:t>
      </w:r>
      <w:r w:rsidRPr="4D65B07A">
        <w:rPr>
          <w:rFonts w:ascii="Book Antiqua" w:eastAsia="Book Antiqua" w:hAnsi="Book Antiqua" w:cs="Book Antiqua"/>
        </w:rPr>
        <w:t>a través del Instituto de Cultura Puertorriqueña, el Departamento de Educación y el Municipio de Loíza</w:t>
      </w:r>
      <w:r w:rsidR="47149B90" w:rsidRPr="4D65B07A">
        <w:rPr>
          <w:rFonts w:ascii="Book Antiqua" w:eastAsia="Book Antiqua" w:hAnsi="Book Antiqua" w:cs="Book Antiqua"/>
        </w:rPr>
        <w:t xml:space="preserve">, </w:t>
      </w:r>
      <w:r w:rsidRPr="4D65B07A">
        <w:rPr>
          <w:rFonts w:ascii="Book Antiqua" w:eastAsia="Book Antiqua" w:hAnsi="Book Antiqua" w:cs="Book Antiqua"/>
        </w:rPr>
        <w:t xml:space="preserve">responde adecuadamente al carácter comunitario de esta manifestación cultural, fomentando la </w:t>
      </w:r>
      <w:proofErr w:type="gramStart"/>
      <w:r w:rsidRPr="4D65B07A">
        <w:rPr>
          <w:rFonts w:ascii="Book Antiqua" w:eastAsia="Book Antiqua" w:hAnsi="Book Antiqua" w:cs="Book Antiqua"/>
        </w:rPr>
        <w:t>participación activa</w:t>
      </w:r>
      <w:proofErr w:type="gramEnd"/>
      <w:r w:rsidRPr="4D65B07A">
        <w:rPr>
          <w:rFonts w:ascii="Book Antiqua" w:eastAsia="Book Antiqua" w:hAnsi="Book Antiqua" w:cs="Book Antiqua"/>
        </w:rPr>
        <w:t xml:space="preserve"> de las comunidades portadoras de la tradición. </w:t>
      </w:r>
    </w:p>
    <w:p w14:paraId="2819BB02" w14:textId="42CFAF8E" w:rsidR="4D65B07A" w:rsidRDefault="4D65B07A" w:rsidP="00DB7586">
      <w:pPr>
        <w:ind w:firstLine="708"/>
        <w:contextualSpacing/>
        <w:jc w:val="both"/>
        <w:rPr>
          <w:rFonts w:ascii="Book Antiqua" w:eastAsia="Book Antiqua" w:hAnsi="Book Antiqua" w:cs="Book Antiqua"/>
        </w:rPr>
      </w:pPr>
    </w:p>
    <w:p w14:paraId="6A21623B" w14:textId="28B04CC0" w:rsidR="00FD45FA" w:rsidRDefault="60E4E403" w:rsidP="00DB7586">
      <w:pPr>
        <w:ind w:firstLine="708"/>
        <w:contextualSpacing/>
        <w:jc w:val="both"/>
        <w:rPr>
          <w:rFonts w:ascii="Book Antiqua" w:hAnsi="Book Antiqua"/>
          <w:b/>
          <w:bCs/>
        </w:rPr>
      </w:pPr>
      <w:r w:rsidRPr="0A1D1530">
        <w:rPr>
          <w:rFonts w:ascii="Book Antiqua" w:eastAsia="Book Antiqua" w:hAnsi="Book Antiqua" w:cs="Book Antiqua"/>
        </w:rPr>
        <w:t xml:space="preserve">El Departamento de Estado formuló recomendaciones dirigidas a fortalecer la medida. La Comisión acoge como pertinentes a la intención legislativa varias de dichas recomendaciones, entre estas, la incorporación de una definición más precisa del término “mujeres tocadoras de bomba”, así como el fomento de programas de aprendizaje intergeneracional en los que las tocadoras de mayor trayectoria puedan compartir sus conocimientos con las generaciones más jóvenes. </w:t>
      </w:r>
    </w:p>
    <w:p w14:paraId="7D81DF52" w14:textId="77777777" w:rsidR="005A2525" w:rsidRDefault="005A2525" w:rsidP="005A2525">
      <w:pPr>
        <w:contextualSpacing/>
        <w:jc w:val="center"/>
        <w:rPr>
          <w:rFonts w:ascii="Book Antiqua" w:hAnsi="Book Antiqua"/>
          <w:b/>
          <w:bCs/>
        </w:rPr>
      </w:pPr>
    </w:p>
    <w:p w14:paraId="4C4F81A6" w14:textId="45E501C6" w:rsidR="00FD45FA" w:rsidRDefault="00FD45FA" w:rsidP="005A2525">
      <w:pPr>
        <w:contextualSpacing/>
        <w:jc w:val="center"/>
        <w:rPr>
          <w:rFonts w:ascii="Book Antiqua" w:hAnsi="Book Antiqua"/>
          <w:b/>
          <w:bCs/>
        </w:rPr>
      </w:pPr>
      <w:r w:rsidRPr="0A1D1530">
        <w:rPr>
          <w:rFonts w:ascii="Book Antiqua" w:hAnsi="Book Antiqua"/>
          <w:b/>
          <w:bCs/>
        </w:rPr>
        <w:t>Oficina de la Procuradora de las Mujeres (OPM)</w:t>
      </w:r>
    </w:p>
    <w:p w14:paraId="3C61CF90" w14:textId="77777777" w:rsidR="00FD45FA" w:rsidRPr="00FD45FA" w:rsidRDefault="00FD45FA" w:rsidP="00DB7586">
      <w:pPr>
        <w:contextualSpacing/>
        <w:jc w:val="center"/>
        <w:rPr>
          <w:rFonts w:ascii="Book Antiqua" w:hAnsi="Book Antiqua"/>
          <w:b/>
          <w:bCs/>
        </w:rPr>
      </w:pPr>
    </w:p>
    <w:p w14:paraId="5AC7792A" w14:textId="77777777" w:rsidR="00FD45FA" w:rsidRDefault="00FD45FA" w:rsidP="00DB7586">
      <w:pPr>
        <w:ind w:firstLine="708"/>
        <w:contextualSpacing/>
        <w:jc w:val="both"/>
        <w:rPr>
          <w:rFonts w:ascii="Book Antiqua" w:hAnsi="Book Antiqua"/>
        </w:rPr>
      </w:pPr>
      <w:r w:rsidRPr="00FD45FA">
        <w:rPr>
          <w:rFonts w:ascii="Book Antiqua" w:hAnsi="Book Antiqua"/>
        </w:rPr>
        <w:t xml:space="preserve">La Oficina de la Procuradora de las Mujeres respaldó la medida, destacando que la misma constituye una iniciativa afirmativa dirigida a reconocer y visibilizar la aportación histórica, cultural y social de las mujeres tocadoras de bomba del municipio de Loíza. </w:t>
      </w:r>
    </w:p>
    <w:p w14:paraId="1E901E44" w14:textId="77777777" w:rsidR="00FD45FA" w:rsidRPr="00FD45FA" w:rsidRDefault="00FD45FA" w:rsidP="00DB7586">
      <w:pPr>
        <w:ind w:firstLine="708"/>
        <w:contextualSpacing/>
        <w:jc w:val="both"/>
        <w:rPr>
          <w:rFonts w:ascii="Book Antiqua" w:hAnsi="Book Antiqua"/>
        </w:rPr>
      </w:pPr>
    </w:p>
    <w:p w14:paraId="318036CC" w14:textId="77777777" w:rsidR="00FD45FA" w:rsidRDefault="00FD45FA" w:rsidP="00DB7586">
      <w:pPr>
        <w:ind w:firstLine="708"/>
        <w:contextualSpacing/>
        <w:jc w:val="both"/>
        <w:rPr>
          <w:rFonts w:ascii="Book Antiqua" w:hAnsi="Book Antiqua"/>
        </w:rPr>
      </w:pPr>
      <w:r w:rsidRPr="00FD45FA">
        <w:rPr>
          <w:rFonts w:ascii="Book Antiqua" w:hAnsi="Book Antiqua"/>
        </w:rPr>
        <w:t xml:space="preserve">En su análisis, fundamentó su postura en principios constitucionales de dignidad humana, igualdad ante la ley y no discrimen, señalando que la medida es consistente con la política pública del Estado de promover la equidad de género y garantizar la participación plena de las mujeres en la vida social y cultural. </w:t>
      </w:r>
    </w:p>
    <w:p w14:paraId="2321EF00" w14:textId="77777777" w:rsidR="00FD45FA" w:rsidRPr="00FD45FA" w:rsidRDefault="00FD45FA" w:rsidP="00DB7586">
      <w:pPr>
        <w:ind w:firstLine="708"/>
        <w:contextualSpacing/>
        <w:jc w:val="both"/>
        <w:rPr>
          <w:rFonts w:ascii="Book Antiqua" w:hAnsi="Book Antiqua"/>
        </w:rPr>
      </w:pPr>
    </w:p>
    <w:p w14:paraId="1EC2F139" w14:textId="77777777" w:rsidR="00FD45FA" w:rsidRDefault="00FD45FA" w:rsidP="00DB7586">
      <w:pPr>
        <w:ind w:firstLine="708"/>
        <w:contextualSpacing/>
        <w:jc w:val="both"/>
        <w:rPr>
          <w:rFonts w:ascii="Book Antiqua" w:hAnsi="Book Antiqua"/>
        </w:rPr>
      </w:pPr>
      <w:r w:rsidRPr="00FD45FA">
        <w:rPr>
          <w:rFonts w:ascii="Book Antiqua" w:hAnsi="Book Antiqua"/>
        </w:rPr>
        <w:t xml:space="preserve">Asimismo, resaltó que la participación de las mujeres en la bomba puertorriqueña ha trascendido roles tradicionales, posicionándolas como intérpretes, tocadoras y </w:t>
      </w:r>
      <w:r w:rsidRPr="00FD45FA">
        <w:rPr>
          <w:rFonts w:ascii="Book Antiqua" w:hAnsi="Book Antiqua"/>
        </w:rPr>
        <w:lastRenderedPageBreak/>
        <w:t xml:space="preserve">portadoras del conocimiento cultural, lo que ha sido esencial para la preservación y transmisión de esta manifestación artística. </w:t>
      </w:r>
    </w:p>
    <w:p w14:paraId="48EC5F62" w14:textId="77777777" w:rsidR="00FD45FA" w:rsidRPr="00FD45FA" w:rsidRDefault="00FD45FA" w:rsidP="00DB7586">
      <w:pPr>
        <w:ind w:firstLine="708"/>
        <w:contextualSpacing/>
        <w:jc w:val="both"/>
        <w:rPr>
          <w:rFonts w:ascii="Book Antiqua" w:hAnsi="Book Antiqua"/>
        </w:rPr>
      </w:pPr>
    </w:p>
    <w:p w14:paraId="37ACEBA1" w14:textId="77777777" w:rsidR="00FD45FA" w:rsidRDefault="00FD45FA" w:rsidP="00DB7586">
      <w:pPr>
        <w:ind w:firstLine="708"/>
        <w:contextualSpacing/>
        <w:jc w:val="both"/>
        <w:rPr>
          <w:rFonts w:ascii="Book Antiqua" w:hAnsi="Book Antiqua"/>
        </w:rPr>
      </w:pPr>
      <w:r w:rsidRPr="00FD45FA">
        <w:rPr>
          <w:rFonts w:ascii="Book Antiqua" w:hAnsi="Book Antiqua"/>
        </w:rPr>
        <w:t xml:space="preserve">De igual forma, destacó que la medida promueve valores de inclusión, justicia histórica y reconocimiento cultural, al tiempo que fortalece la identidad cultural y fomenta la educación sobre la herencia afrodescendiente en Puerto Rico. </w:t>
      </w:r>
    </w:p>
    <w:p w14:paraId="2696F545" w14:textId="77777777" w:rsidR="00FD45FA" w:rsidRPr="00FD45FA" w:rsidRDefault="00FD45FA" w:rsidP="00DB7586">
      <w:pPr>
        <w:ind w:firstLine="708"/>
        <w:contextualSpacing/>
        <w:jc w:val="both"/>
        <w:rPr>
          <w:rFonts w:ascii="Book Antiqua" w:hAnsi="Book Antiqua"/>
        </w:rPr>
      </w:pPr>
    </w:p>
    <w:p w14:paraId="7FD843BF" w14:textId="77777777" w:rsidR="00FD45FA" w:rsidRPr="00FD45FA" w:rsidRDefault="00FD45FA" w:rsidP="00DB7586">
      <w:pPr>
        <w:ind w:firstLine="708"/>
        <w:contextualSpacing/>
        <w:jc w:val="both"/>
        <w:rPr>
          <w:rFonts w:ascii="Book Antiqua" w:hAnsi="Book Antiqua"/>
        </w:rPr>
      </w:pPr>
      <w:r w:rsidRPr="00FD45FA">
        <w:rPr>
          <w:rFonts w:ascii="Book Antiqua" w:hAnsi="Book Antiqua"/>
        </w:rPr>
        <w:t>En virtud de lo anterior, la OPM recomendó la aprobación de la medida.</w:t>
      </w:r>
    </w:p>
    <w:p w14:paraId="5BD7E180" w14:textId="77777777" w:rsidR="005A2525" w:rsidRDefault="005A2525" w:rsidP="005A2525">
      <w:pPr>
        <w:contextualSpacing/>
        <w:jc w:val="center"/>
        <w:rPr>
          <w:rFonts w:ascii="Book Antiqua" w:hAnsi="Book Antiqua"/>
        </w:rPr>
      </w:pPr>
    </w:p>
    <w:p w14:paraId="7BFE4855" w14:textId="4F892832" w:rsidR="00FD45FA" w:rsidRDefault="00FD45FA" w:rsidP="005A2525">
      <w:pPr>
        <w:contextualSpacing/>
        <w:jc w:val="center"/>
        <w:rPr>
          <w:rFonts w:ascii="Book Antiqua" w:hAnsi="Book Antiqua"/>
          <w:b/>
          <w:bCs/>
        </w:rPr>
      </w:pPr>
      <w:r w:rsidRPr="00FD45FA">
        <w:rPr>
          <w:rFonts w:ascii="Book Antiqua" w:hAnsi="Book Antiqua"/>
          <w:b/>
          <w:bCs/>
        </w:rPr>
        <w:t>Oficina de Presupuesto de la Asamblea Legislativa (OPAL)</w:t>
      </w:r>
    </w:p>
    <w:p w14:paraId="600E33C6" w14:textId="77777777" w:rsidR="00FD45FA" w:rsidRPr="00FD45FA" w:rsidRDefault="00FD45FA" w:rsidP="00DB7586">
      <w:pPr>
        <w:ind w:firstLine="708"/>
        <w:contextualSpacing/>
        <w:jc w:val="center"/>
        <w:rPr>
          <w:rFonts w:ascii="Book Antiqua" w:hAnsi="Book Antiqua"/>
          <w:b/>
          <w:bCs/>
        </w:rPr>
      </w:pPr>
    </w:p>
    <w:p w14:paraId="6529E24F" w14:textId="77777777" w:rsidR="00FD45FA" w:rsidRDefault="00FD45FA" w:rsidP="00DB7586">
      <w:pPr>
        <w:ind w:firstLine="708"/>
        <w:contextualSpacing/>
        <w:jc w:val="both"/>
        <w:rPr>
          <w:rFonts w:ascii="Book Antiqua" w:hAnsi="Book Antiqua"/>
        </w:rPr>
      </w:pPr>
      <w:r w:rsidRPr="00FD45FA">
        <w:rPr>
          <w:rFonts w:ascii="Book Antiqua" w:hAnsi="Book Antiqua"/>
        </w:rPr>
        <w:t>La Oficina de Presupuesto de la Asamblea Legislativa evaluó el Proyecto de la Cámara 1179 como parte de un análisis de medidas dirigidas a establecer fechas conmemorativas.</w:t>
      </w:r>
    </w:p>
    <w:p w14:paraId="4112E61B" w14:textId="77777777" w:rsidR="00FD45FA" w:rsidRPr="00FD45FA" w:rsidRDefault="00FD45FA" w:rsidP="00DB7586">
      <w:pPr>
        <w:ind w:firstLine="708"/>
        <w:contextualSpacing/>
        <w:jc w:val="both"/>
        <w:rPr>
          <w:rFonts w:ascii="Book Antiqua" w:hAnsi="Book Antiqua"/>
        </w:rPr>
      </w:pPr>
    </w:p>
    <w:p w14:paraId="12DBCD3D" w14:textId="77777777" w:rsidR="00FD45FA" w:rsidRDefault="00FD45FA" w:rsidP="00DB7586">
      <w:pPr>
        <w:ind w:firstLine="708"/>
        <w:contextualSpacing/>
        <w:jc w:val="both"/>
        <w:rPr>
          <w:rFonts w:ascii="Book Antiqua" w:hAnsi="Book Antiqua"/>
        </w:rPr>
      </w:pPr>
      <w:r w:rsidRPr="00FD45FA">
        <w:rPr>
          <w:rFonts w:ascii="Book Antiqua" w:hAnsi="Book Antiqua"/>
        </w:rPr>
        <w:t xml:space="preserve">En su informe, concluyó que este tipo de iniciativas no genera un impacto fiscal significativo, ya que se limitan a la designación de fechas conmemorativas que pueden ser atendidas con los recursos existentes, sin requerir la creación de programas, asignación de fondos adicionales ni contratación de personal. </w:t>
      </w:r>
    </w:p>
    <w:p w14:paraId="1508BA37" w14:textId="77777777" w:rsidR="00FD45FA" w:rsidRPr="00FD45FA" w:rsidRDefault="00FD45FA" w:rsidP="00DB7586">
      <w:pPr>
        <w:ind w:firstLine="708"/>
        <w:contextualSpacing/>
        <w:jc w:val="both"/>
        <w:rPr>
          <w:rFonts w:ascii="Book Antiqua" w:hAnsi="Book Antiqua"/>
        </w:rPr>
      </w:pPr>
    </w:p>
    <w:p w14:paraId="155D5D27" w14:textId="77777777" w:rsidR="00FD45FA" w:rsidRDefault="00FD45FA" w:rsidP="00DB7586">
      <w:pPr>
        <w:ind w:firstLine="708"/>
        <w:contextualSpacing/>
        <w:jc w:val="both"/>
        <w:rPr>
          <w:rFonts w:ascii="Book Antiqua" w:hAnsi="Book Antiqua"/>
        </w:rPr>
      </w:pPr>
      <w:r w:rsidRPr="00FD45FA">
        <w:rPr>
          <w:rFonts w:ascii="Book Antiqua" w:hAnsi="Book Antiqua"/>
        </w:rPr>
        <w:t xml:space="preserve">Asimismo, indicó que las actividades relacionadas a estas designaciones pueden ser implementadas mediante esfuerzos de coordinación </w:t>
      </w:r>
      <w:proofErr w:type="spellStart"/>
      <w:r w:rsidRPr="00FD45FA">
        <w:rPr>
          <w:rFonts w:ascii="Book Antiqua" w:hAnsi="Book Antiqua"/>
        </w:rPr>
        <w:t>interagencial</w:t>
      </w:r>
      <w:proofErr w:type="spellEnd"/>
      <w:r w:rsidRPr="00FD45FA">
        <w:rPr>
          <w:rFonts w:ascii="Book Antiqua" w:hAnsi="Book Antiqua"/>
        </w:rPr>
        <w:t xml:space="preserve"> y comunitaria ya contemplados dentro de las funciones ordinarias de las entidades gubernamentales. </w:t>
      </w:r>
    </w:p>
    <w:p w14:paraId="4C18A9BB" w14:textId="77777777" w:rsidR="00FD45FA" w:rsidRPr="00FD45FA" w:rsidRDefault="00FD45FA" w:rsidP="00DB7586">
      <w:pPr>
        <w:ind w:firstLine="708"/>
        <w:contextualSpacing/>
        <w:jc w:val="both"/>
        <w:rPr>
          <w:rFonts w:ascii="Book Antiqua" w:hAnsi="Book Antiqua"/>
        </w:rPr>
      </w:pPr>
    </w:p>
    <w:p w14:paraId="39CB594A" w14:textId="77777777" w:rsidR="00FD45FA" w:rsidRPr="00FD45FA" w:rsidRDefault="00FD45FA" w:rsidP="00DB7586">
      <w:pPr>
        <w:ind w:firstLine="708"/>
        <w:contextualSpacing/>
        <w:jc w:val="both"/>
        <w:rPr>
          <w:rFonts w:ascii="Book Antiqua" w:hAnsi="Book Antiqua"/>
        </w:rPr>
      </w:pPr>
      <w:r w:rsidRPr="00FD45FA">
        <w:rPr>
          <w:rFonts w:ascii="Book Antiqua" w:hAnsi="Book Antiqua"/>
        </w:rPr>
        <w:t>En consecuencia, la OPAL concluyó que la medida no representa una carga fiscal adicional para el Estado.</w:t>
      </w:r>
    </w:p>
    <w:p w14:paraId="10EC93EC" w14:textId="77777777" w:rsidR="00475B9E" w:rsidRDefault="00475B9E" w:rsidP="00475B9E">
      <w:pPr>
        <w:pStyle w:val="ColorfulList-Accent11"/>
        <w:keepNext/>
        <w:ind w:left="0"/>
        <w:jc w:val="center"/>
        <w:rPr>
          <w:rFonts w:ascii="Book Antiqua" w:hAnsi="Book Antiqua"/>
          <w:b/>
          <w:szCs w:val="24"/>
          <w:lang w:val="es-PR"/>
        </w:rPr>
      </w:pPr>
    </w:p>
    <w:p w14:paraId="300D4B71" w14:textId="0589C238" w:rsidR="00FD45FA" w:rsidRPr="00FD45FA" w:rsidRDefault="00FD45FA" w:rsidP="00475B9E">
      <w:pPr>
        <w:pStyle w:val="ColorfulList-Accent11"/>
        <w:keepNext/>
        <w:ind w:left="0"/>
        <w:jc w:val="center"/>
        <w:rPr>
          <w:rFonts w:ascii="Book Antiqua" w:hAnsi="Book Antiqua"/>
          <w:b/>
          <w:bCs/>
          <w:lang w:val="es-PR"/>
        </w:rPr>
      </w:pPr>
      <w:r w:rsidRPr="0A1D1530">
        <w:rPr>
          <w:rFonts w:ascii="Book Antiqua" w:hAnsi="Book Antiqua"/>
          <w:b/>
          <w:bCs/>
          <w:lang w:val="es-PR"/>
        </w:rPr>
        <w:t>IMPACTO FISCAL</w:t>
      </w:r>
    </w:p>
    <w:p w14:paraId="50FF06BD" w14:textId="77777777" w:rsidR="00FD45FA" w:rsidRDefault="00FD45FA" w:rsidP="00DB7586">
      <w:pPr>
        <w:pStyle w:val="ColorfulList-Accent11"/>
        <w:keepNext/>
        <w:ind w:left="0"/>
        <w:jc w:val="both"/>
        <w:rPr>
          <w:rFonts w:ascii="Book Antiqua" w:hAnsi="Book Antiqua"/>
          <w:b/>
          <w:lang w:val="es-PR"/>
        </w:rPr>
      </w:pPr>
    </w:p>
    <w:p w14:paraId="0913ED85" w14:textId="351064FD" w:rsidR="00FD45FA" w:rsidRPr="00FD45FA" w:rsidRDefault="00FD45FA" w:rsidP="00DB7586">
      <w:pPr>
        <w:pStyle w:val="ColorfulList-Accent11"/>
        <w:keepNext/>
        <w:ind w:left="0" w:firstLine="708"/>
        <w:jc w:val="both"/>
        <w:rPr>
          <w:rFonts w:ascii="Book Antiqua" w:hAnsi="Book Antiqua"/>
          <w:bCs/>
          <w:lang w:val="es-PR"/>
        </w:rPr>
      </w:pPr>
      <w:r w:rsidRPr="00FD45FA">
        <w:rPr>
          <w:rFonts w:ascii="Book Antiqua" w:hAnsi="Book Antiqua"/>
          <w:bCs/>
          <w:lang w:val="es-PR"/>
        </w:rPr>
        <w:t xml:space="preserve">Según el análisis de la Oficina de Presupuesto de la Asamblea Legislativa (OPAL), la medida no tiene impacto fiscal significativo, toda vez que se limita a la designación de una fecha conmemorativa que puede ser atendida con los recursos existentes, sin requerir la asignación de fondos adicionales ni la creación de programas gubernamentales. </w:t>
      </w:r>
    </w:p>
    <w:p w14:paraId="72770D71" w14:textId="77777777" w:rsidR="00FD45FA" w:rsidRPr="00FD45FA" w:rsidRDefault="00FD45FA" w:rsidP="00DB7586">
      <w:pPr>
        <w:pStyle w:val="ColorfulList-Accent11"/>
        <w:keepNext/>
        <w:ind w:left="0"/>
        <w:jc w:val="both"/>
        <w:rPr>
          <w:rFonts w:ascii="Book Antiqua" w:hAnsi="Book Antiqua"/>
          <w:bCs/>
          <w:lang w:val="es-PR"/>
        </w:rPr>
      </w:pPr>
    </w:p>
    <w:p w14:paraId="5C8BB505" w14:textId="62B26FC7" w:rsidR="00FD45FA" w:rsidRPr="00FD45FA" w:rsidRDefault="00FD45FA" w:rsidP="00DB7586">
      <w:pPr>
        <w:pStyle w:val="ColorfulList-Accent11"/>
        <w:keepNext/>
        <w:ind w:left="0" w:firstLine="708"/>
        <w:jc w:val="both"/>
        <w:rPr>
          <w:rFonts w:ascii="Book Antiqua" w:hAnsi="Book Antiqua"/>
          <w:bCs/>
          <w:lang w:val="es-PR"/>
        </w:rPr>
      </w:pPr>
      <w:r w:rsidRPr="00FD45FA">
        <w:rPr>
          <w:rFonts w:ascii="Book Antiqua" w:hAnsi="Book Antiqua"/>
          <w:bCs/>
          <w:lang w:val="es-PR"/>
        </w:rPr>
        <w:t>En ese sentido, la Comisión entiende que su implementación puede realizarse dentro del marco operacional de las entidades concernidas, mediante esfuerzos de coordinación y promoción ya contemplados en la política pública vigente.</w:t>
      </w:r>
    </w:p>
    <w:p w14:paraId="42D62A14" w14:textId="77777777" w:rsidR="00FD45FA" w:rsidRPr="00FD45FA" w:rsidRDefault="00FD45FA" w:rsidP="00DB7586">
      <w:pPr>
        <w:pStyle w:val="ColorfulList-Accent11"/>
        <w:keepNext/>
        <w:ind w:left="0"/>
        <w:rPr>
          <w:rFonts w:ascii="Book Antiqua" w:hAnsi="Book Antiqua"/>
          <w:b/>
          <w:szCs w:val="24"/>
          <w:lang w:val="es-PR"/>
        </w:rPr>
      </w:pPr>
    </w:p>
    <w:p w14:paraId="0EEBC1BF" w14:textId="77777777" w:rsidR="00FA4986" w:rsidRDefault="00FA4986" w:rsidP="00DB7586">
      <w:pPr>
        <w:pStyle w:val="ColorfulList-Accent11"/>
        <w:keepNext/>
        <w:ind w:left="0"/>
        <w:jc w:val="center"/>
        <w:rPr>
          <w:rFonts w:ascii="Book Antiqua" w:hAnsi="Book Antiqua"/>
          <w:b/>
          <w:szCs w:val="24"/>
          <w:lang w:val="es-ES"/>
        </w:rPr>
      </w:pPr>
      <w:r w:rsidRPr="00BE2550">
        <w:rPr>
          <w:rFonts w:ascii="Book Antiqua" w:hAnsi="Book Antiqua"/>
          <w:b/>
          <w:szCs w:val="24"/>
          <w:lang w:val="es-ES"/>
        </w:rPr>
        <w:t>CONCLUSIÓN</w:t>
      </w:r>
    </w:p>
    <w:p w14:paraId="057462AE" w14:textId="77777777" w:rsidR="00FA4986" w:rsidRPr="00BE2550" w:rsidRDefault="00FA4986" w:rsidP="00DB7586">
      <w:pPr>
        <w:pStyle w:val="ColorfulList-Accent11"/>
        <w:keepNext/>
        <w:ind w:left="0"/>
        <w:jc w:val="center"/>
        <w:rPr>
          <w:rFonts w:ascii="Book Antiqua" w:hAnsi="Book Antiqua"/>
          <w:b/>
          <w:szCs w:val="24"/>
          <w:lang w:val="es-ES"/>
        </w:rPr>
      </w:pPr>
    </w:p>
    <w:p w14:paraId="35D4DBEA" w14:textId="77777777" w:rsidR="00994D41" w:rsidRDefault="00994D41" w:rsidP="00DB7586">
      <w:pPr>
        <w:ind w:firstLine="720"/>
        <w:contextualSpacing/>
        <w:jc w:val="both"/>
        <w:rPr>
          <w:rFonts w:ascii="Book Antiqua" w:hAnsi="Book Antiqua"/>
          <w:bCs/>
        </w:rPr>
      </w:pPr>
      <w:r w:rsidRPr="00994D41">
        <w:rPr>
          <w:rFonts w:ascii="Book Antiqua" w:hAnsi="Book Antiqua"/>
          <w:bCs/>
        </w:rPr>
        <w:t xml:space="preserve">Luego de evaluar la medida y los memoriales recibidos, esta Comisión concluye que el Proyecto de la Cámara 1179 constituye una iniciativa meritoria para reconocer y </w:t>
      </w:r>
      <w:r w:rsidRPr="00994D41">
        <w:rPr>
          <w:rFonts w:ascii="Book Antiqua" w:hAnsi="Book Antiqua"/>
          <w:bCs/>
        </w:rPr>
        <w:lastRenderedPageBreak/>
        <w:t>visibilizar la aportación histórica y cultural de las mujeres tocadoras de bomba del municipio de Loíza.</w:t>
      </w:r>
    </w:p>
    <w:p w14:paraId="69DB22ED" w14:textId="77777777" w:rsidR="00994D41" w:rsidRPr="00994D41" w:rsidRDefault="00994D41" w:rsidP="00DB7586">
      <w:pPr>
        <w:ind w:firstLine="720"/>
        <w:contextualSpacing/>
        <w:jc w:val="both"/>
        <w:rPr>
          <w:rFonts w:ascii="Book Antiqua" w:hAnsi="Book Antiqua"/>
          <w:bCs/>
        </w:rPr>
      </w:pPr>
    </w:p>
    <w:p w14:paraId="0AFE4965" w14:textId="5A176970" w:rsidR="00994D41" w:rsidRPr="00994D41" w:rsidRDefault="00994D41" w:rsidP="00DB7586">
      <w:pPr>
        <w:ind w:firstLine="720"/>
        <w:contextualSpacing/>
        <w:jc w:val="both"/>
        <w:rPr>
          <w:rFonts w:ascii="Book Antiqua" w:hAnsi="Book Antiqua"/>
        </w:rPr>
      </w:pPr>
      <w:r w:rsidRPr="0A1D1530">
        <w:rPr>
          <w:rFonts w:ascii="Book Antiqua" w:hAnsi="Book Antiqua"/>
        </w:rPr>
        <w:t>La evidencia presentada por la Oficina de la Procuradora de las Mujeres reafirma la importancia de continuar promoviendo medidas dirigidas a fortalecer la equidad de género y reconocer el rol de las mujeres en la construcción y preservación de la identidad cultural del País.</w:t>
      </w:r>
    </w:p>
    <w:p w14:paraId="6F0B4916" w14:textId="05383092" w:rsidR="00994D41" w:rsidRPr="00994D41" w:rsidRDefault="20E6B524" w:rsidP="00DB7586">
      <w:pPr>
        <w:ind w:firstLine="708"/>
        <w:contextualSpacing/>
        <w:jc w:val="both"/>
        <w:rPr>
          <w:rFonts w:ascii="Book Antiqua" w:eastAsia="Book Antiqua" w:hAnsi="Book Antiqua" w:cs="Book Antiqua"/>
        </w:rPr>
      </w:pPr>
      <w:r w:rsidRPr="0A1D1530">
        <w:rPr>
          <w:rFonts w:ascii="Book Antiqua" w:eastAsia="Book Antiqua" w:hAnsi="Book Antiqua" w:cs="Book Antiqua"/>
        </w:rPr>
        <w:t>A su vez, el memorial del Departamento de Estado refuerza la pertinencia de la medida al destacar su coherencia con la política pública cultural vigente, su valor como instrumento de justicia histórica y su aportación a la visibilización de sectores tradicionalmente subrepresentados dentro de la narrativa cultural del País.</w:t>
      </w:r>
    </w:p>
    <w:p w14:paraId="6493C8DC" w14:textId="77777777" w:rsidR="00994D41" w:rsidRDefault="00994D41" w:rsidP="00DB7586">
      <w:pPr>
        <w:ind w:firstLine="720"/>
        <w:contextualSpacing/>
        <w:jc w:val="both"/>
        <w:rPr>
          <w:rFonts w:ascii="Book Antiqua" w:hAnsi="Book Antiqua"/>
          <w:bCs/>
        </w:rPr>
      </w:pPr>
      <w:r w:rsidRPr="00994D41">
        <w:rPr>
          <w:rFonts w:ascii="Book Antiqua" w:hAnsi="Book Antiqua"/>
          <w:bCs/>
        </w:rPr>
        <w:t>Asimismo, la Comisión entiende que la designación de esta fecha conmemorativa no representa una duplicidad innecesaria, sino un reconocimiento más puntual dentro del marco cultural existente, dirigido a resaltar un componente que ha sido fundamental en el desarrollo de la bomba puertorriqueña.</w:t>
      </w:r>
    </w:p>
    <w:p w14:paraId="559C2D42" w14:textId="77777777" w:rsidR="00994D41" w:rsidRPr="00994D41" w:rsidRDefault="00994D41" w:rsidP="00DB7586">
      <w:pPr>
        <w:ind w:firstLine="720"/>
        <w:contextualSpacing/>
        <w:jc w:val="both"/>
        <w:rPr>
          <w:rFonts w:ascii="Book Antiqua" w:hAnsi="Book Antiqua"/>
          <w:bCs/>
        </w:rPr>
      </w:pPr>
    </w:p>
    <w:p w14:paraId="148D8813" w14:textId="77777777" w:rsidR="00994D41" w:rsidRDefault="00994D41" w:rsidP="00DB7586">
      <w:pPr>
        <w:ind w:firstLine="720"/>
        <w:contextualSpacing/>
        <w:jc w:val="both"/>
        <w:rPr>
          <w:rFonts w:ascii="Book Antiqua" w:hAnsi="Book Antiqua"/>
          <w:bCs/>
        </w:rPr>
      </w:pPr>
      <w:r w:rsidRPr="00994D41">
        <w:rPr>
          <w:rFonts w:ascii="Book Antiqua" w:hAnsi="Book Antiqua"/>
          <w:bCs/>
        </w:rPr>
        <w:t>De igual forma, el análisis de la Oficina de Presupuesto de la Asamblea Legislativa confirma que la medida no conlleva un impacto fiscal significativo, lo que permite su implementación sin afectar la estabilidad presupuestaria del Estado.</w:t>
      </w:r>
    </w:p>
    <w:p w14:paraId="6DF597D3" w14:textId="77777777" w:rsidR="00994D41" w:rsidRPr="00994D41" w:rsidRDefault="00994D41" w:rsidP="00DB7586">
      <w:pPr>
        <w:ind w:firstLine="720"/>
        <w:contextualSpacing/>
        <w:jc w:val="both"/>
        <w:rPr>
          <w:rFonts w:ascii="Book Antiqua" w:hAnsi="Book Antiqua"/>
          <w:bCs/>
        </w:rPr>
      </w:pPr>
    </w:p>
    <w:p w14:paraId="350FC30B" w14:textId="604F1935" w:rsidR="007F15C2" w:rsidRDefault="007F15C2" w:rsidP="00DB7586">
      <w:pPr>
        <w:ind w:firstLine="720"/>
        <w:contextualSpacing/>
        <w:jc w:val="both"/>
        <w:rPr>
          <w:rFonts w:ascii="Book Antiqua" w:hAnsi="Book Antiqua"/>
          <w:bCs/>
        </w:rPr>
      </w:pPr>
      <w:r w:rsidRPr="007F15C2">
        <w:rPr>
          <w:rFonts w:ascii="Book Antiqua" w:hAnsi="Book Antiqua"/>
          <w:bCs/>
        </w:rPr>
        <w:t>La Comisión reconoce, además, que la designación de fechas conmemorativas constituye un ejercicio legítimo de las facultades de la Asamblea Legislativa, como mecanismo para promover el reconocimiento, la educación y la preservación de valores culturales e históricos del País.</w:t>
      </w:r>
    </w:p>
    <w:p w14:paraId="6512272C" w14:textId="77777777" w:rsidR="00994D41" w:rsidRDefault="00994D41" w:rsidP="00DB7586">
      <w:pPr>
        <w:ind w:firstLine="720"/>
        <w:contextualSpacing/>
        <w:jc w:val="both"/>
        <w:rPr>
          <w:rFonts w:ascii="Book Antiqua" w:hAnsi="Book Antiqua"/>
          <w:bCs/>
        </w:rPr>
      </w:pPr>
    </w:p>
    <w:p w14:paraId="34B41247" w14:textId="2A0311FA" w:rsidR="00994D41" w:rsidRPr="008D4AD8" w:rsidRDefault="00994D41" w:rsidP="00DB7586">
      <w:pPr>
        <w:ind w:firstLine="720"/>
        <w:contextualSpacing/>
        <w:jc w:val="both"/>
        <w:rPr>
          <w:rFonts w:ascii="Book Antiqua" w:hAnsi="Book Antiqua"/>
          <w:bCs/>
        </w:rPr>
      </w:pPr>
      <w:r w:rsidRPr="00994D41">
        <w:rPr>
          <w:rFonts w:ascii="Book Antiqua" w:hAnsi="Book Antiqua"/>
          <w:bCs/>
        </w:rPr>
        <w:t>En consideración a lo anterior, esta Comisión concluye que la medida es consistente con la política pública cultural y de equidad de género del Gobierno de Puerto Rico.</w:t>
      </w:r>
    </w:p>
    <w:p w14:paraId="73BBB688" w14:textId="77777777" w:rsidR="00FA4986" w:rsidRPr="008D4AD8" w:rsidRDefault="00FA4986" w:rsidP="00DB7586">
      <w:pPr>
        <w:ind w:firstLine="720"/>
        <w:contextualSpacing/>
        <w:jc w:val="both"/>
        <w:rPr>
          <w:rFonts w:ascii="Book Antiqua" w:hAnsi="Book Antiqua"/>
          <w:b/>
        </w:rPr>
      </w:pPr>
    </w:p>
    <w:p w14:paraId="03566636" w14:textId="46EC5453" w:rsidR="00FA4986" w:rsidRPr="00BE2550" w:rsidRDefault="00FA4986" w:rsidP="00DB7586">
      <w:pPr>
        <w:ind w:firstLine="720"/>
        <w:contextualSpacing/>
        <w:jc w:val="both"/>
        <w:rPr>
          <w:rFonts w:ascii="Book Antiqua" w:hAnsi="Book Antiqua"/>
          <w:lang w:val="es-ES"/>
        </w:rPr>
      </w:pPr>
      <w:r w:rsidRPr="0A1D1530">
        <w:rPr>
          <w:rFonts w:ascii="Book Antiqua" w:hAnsi="Book Antiqua"/>
          <w:b/>
          <w:bCs/>
          <w:lang w:val="es-ES"/>
        </w:rPr>
        <w:t xml:space="preserve">POR TODO LO ANTES EXPUESTO, </w:t>
      </w:r>
      <w:r w:rsidRPr="00BE2550">
        <w:rPr>
          <w:rFonts w:ascii="Book Antiqua" w:hAnsi="Book Antiqua"/>
          <w:lang w:val="es-ES"/>
        </w:rPr>
        <w:t>la Comisión</w:t>
      </w:r>
      <w:r w:rsidRPr="00BE2550">
        <w:rPr>
          <w:rFonts w:ascii="Book Antiqua" w:hAnsi="Book Antiqua"/>
          <w:spacing w:val="-3"/>
          <w:lang w:val="es-ES"/>
        </w:rPr>
        <w:t xml:space="preserve"> de Gobierno de la Cámara de Representantes </w:t>
      </w:r>
      <w:r w:rsidRPr="00BE2550">
        <w:rPr>
          <w:rFonts w:ascii="Book Antiqua" w:hAnsi="Book Antiqua"/>
          <w:lang w:val="es-ES"/>
        </w:rPr>
        <w:t xml:space="preserve">de Puerto Rico, previo estudio y consideración, presenta ante este Cuerpo el Informe Positivo sobre el </w:t>
      </w:r>
      <w:r w:rsidRPr="0A1D1530">
        <w:rPr>
          <w:rFonts w:ascii="Book Antiqua" w:hAnsi="Book Antiqua"/>
          <w:lang w:val="es-ES"/>
        </w:rPr>
        <w:t>Proyecto de la Cámara 11</w:t>
      </w:r>
      <w:r w:rsidR="00FD45FA" w:rsidRPr="0A1D1530">
        <w:rPr>
          <w:rFonts w:ascii="Book Antiqua" w:hAnsi="Book Antiqua"/>
          <w:lang w:val="es-ES"/>
        </w:rPr>
        <w:t>79</w:t>
      </w:r>
      <w:r w:rsidRPr="0A1D1530">
        <w:rPr>
          <w:rFonts w:ascii="Book Antiqua" w:hAnsi="Book Antiqua"/>
          <w:lang w:val="es-ES"/>
        </w:rPr>
        <w:t>,</w:t>
      </w:r>
      <w:r w:rsidRPr="00BE2550">
        <w:rPr>
          <w:rFonts w:ascii="Book Antiqua" w:hAnsi="Book Antiqua"/>
          <w:lang w:val="es-ES"/>
        </w:rPr>
        <w:t xml:space="preserve"> recomendando su aprobación</w:t>
      </w:r>
      <w:r w:rsidR="2509F8F4" w:rsidRPr="00BE2550">
        <w:rPr>
          <w:rFonts w:ascii="Book Antiqua" w:hAnsi="Book Antiqua"/>
          <w:lang w:val="es-ES"/>
        </w:rPr>
        <w:t xml:space="preserve"> c</w:t>
      </w:r>
      <w:r w:rsidR="2509F8F4" w:rsidRPr="0A1D1530">
        <w:rPr>
          <w:rFonts w:ascii="Book Antiqua" w:hAnsi="Book Antiqua"/>
          <w:lang w:val="es-ES"/>
        </w:rPr>
        <w:t>on las enmiendas contenidas en el Entirillado Electrónico que se acompaña.</w:t>
      </w:r>
      <w:r w:rsidRPr="00BE2550">
        <w:rPr>
          <w:rFonts w:ascii="Book Antiqua" w:hAnsi="Book Antiqua"/>
          <w:lang w:val="es-ES"/>
        </w:rPr>
        <w:t xml:space="preserve"> </w:t>
      </w:r>
    </w:p>
    <w:p w14:paraId="249BE130" w14:textId="77777777" w:rsidR="00FA4986" w:rsidRPr="00BE2550" w:rsidRDefault="00FA4986" w:rsidP="00DB7586">
      <w:pPr>
        <w:contextualSpacing/>
        <w:jc w:val="both"/>
        <w:rPr>
          <w:rFonts w:ascii="Book Antiqua" w:hAnsi="Book Antiqua"/>
          <w:lang w:val="es-ES"/>
        </w:rPr>
      </w:pPr>
    </w:p>
    <w:p w14:paraId="0B1AB16D" w14:textId="77777777" w:rsidR="00FA4986" w:rsidRPr="00BE2550" w:rsidRDefault="00FA4986" w:rsidP="00DB7586">
      <w:pPr>
        <w:contextualSpacing/>
        <w:jc w:val="both"/>
        <w:rPr>
          <w:rFonts w:ascii="Book Antiqua" w:hAnsi="Book Antiqua"/>
          <w:lang w:val="es-ES"/>
        </w:rPr>
      </w:pPr>
      <w:r w:rsidRPr="00BE2550">
        <w:rPr>
          <w:rFonts w:ascii="Book Antiqua" w:hAnsi="Book Antiqua"/>
          <w:lang w:val="es-ES"/>
        </w:rPr>
        <w:t>Respetuosamente sometido,</w:t>
      </w:r>
    </w:p>
    <w:p w14:paraId="41CD0EF8" w14:textId="77777777" w:rsidR="00FA4986" w:rsidRDefault="00FA4986" w:rsidP="00DB7586">
      <w:pPr>
        <w:contextualSpacing/>
        <w:jc w:val="both"/>
        <w:rPr>
          <w:rFonts w:ascii="Book Antiqua" w:hAnsi="Book Antiqua"/>
          <w:lang w:val="es-ES"/>
        </w:rPr>
      </w:pPr>
    </w:p>
    <w:p w14:paraId="7B63D043" w14:textId="77777777" w:rsidR="001C230D" w:rsidRDefault="001C230D" w:rsidP="00DB7586">
      <w:pPr>
        <w:contextualSpacing/>
        <w:jc w:val="both"/>
        <w:rPr>
          <w:rFonts w:ascii="Book Antiqua" w:hAnsi="Book Antiqua"/>
          <w:lang w:val="es-ES"/>
        </w:rPr>
      </w:pPr>
    </w:p>
    <w:p w14:paraId="1CE83AE8" w14:textId="77777777" w:rsidR="001C230D" w:rsidRDefault="001C230D" w:rsidP="00DB7586">
      <w:pPr>
        <w:contextualSpacing/>
        <w:jc w:val="both"/>
        <w:rPr>
          <w:rFonts w:ascii="Book Antiqua" w:hAnsi="Book Antiqua"/>
          <w:lang w:val="es-ES"/>
        </w:rPr>
      </w:pPr>
    </w:p>
    <w:p w14:paraId="443AE822" w14:textId="77777777" w:rsidR="001C230D" w:rsidRPr="00BE2550" w:rsidRDefault="001C230D" w:rsidP="00DB7586">
      <w:pPr>
        <w:contextualSpacing/>
        <w:jc w:val="both"/>
        <w:rPr>
          <w:rFonts w:ascii="Book Antiqua" w:hAnsi="Book Antiqua"/>
          <w:lang w:val="es-ES"/>
        </w:rPr>
      </w:pPr>
    </w:p>
    <w:p w14:paraId="72C40F24" w14:textId="77777777" w:rsidR="00FA4986" w:rsidRPr="00BE2550" w:rsidRDefault="00FA4986" w:rsidP="00DB7586">
      <w:pPr>
        <w:contextualSpacing/>
        <w:jc w:val="both"/>
        <w:rPr>
          <w:rFonts w:ascii="Book Antiqua" w:hAnsi="Book Antiqua"/>
          <w:b/>
          <w:bCs/>
          <w:lang w:val="es-ES"/>
        </w:rPr>
      </w:pPr>
      <w:r w:rsidRPr="00BE2550">
        <w:rPr>
          <w:rFonts w:ascii="Book Antiqua" w:hAnsi="Book Antiqua"/>
          <w:b/>
          <w:bCs/>
          <w:lang w:val="es-ES"/>
        </w:rPr>
        <w:t>Hon. Víctor L. Parés-Otero</w:t>
      </w:r>
    </w:p>
    <w:p w14:paraId="6685CA1E" w14:textId="77777777" w:rsidR="00FA4986" w:rsidRPr="00BE2550" w:rsidRDefault="00FA4986" w:rsidP="00DB7586">
      <w:pPr>
        <w:contextualSpacing/>
        <w:jc w:val="both"/>
        <w:rPr>
          <w:rFonts w:ascii="Book Antiqua" w:hAnsi="Book Antiqua"/>
          <w:lang w:val="es-ES"/>
        </w:rPr>
      </w:pPr>
      <w:r w:rsidRPr="00BE2550">
        <w:rPr>
          <w:rFonts w:ascii="Book Antiqua" w:hAnsi="Book Antiqua"/>
          <w:lang w:val="es-ES"/>
        </w:rPr>
        <w:t>Presidente</w:t>
      </w:r>
    </w:p>
    <w:p w14:paraId="35A7CC6C" w14:textId="77777777" w:rsidR="00FA4986" w:rsidRPr="00BE2550" w:rsidRDefault="00FA4986" w:rsidP="00DB7586">
      <w:pPr>
        <w:contextualSpacing/>
        <w:jc w:val="both"/>
        <w:rPr>
          <w:rFonts w:ascii="Book Antiqua" w:hAnsi="Book Antiqua"/>
          <w:lang w:val="es-ES"/>
        </w:rPr>
      </w:pPr>
      <w:r w:rsidRPr="00BE2550">
        <w:rPr>
          <w:rFonts w:ascii="Book Antiqua" w:hAnsi="Book Antiqua"/>
          <w:lang w:val="es-ES"/>
        </w:rPr>
        <w:t>Comisión de Gobierno</w:t>
      </w:r>
    </w:p>
    <w:p w14:paraId="325193CF" w14:textId="3517F19E" w:rsidR="009D62BE" w:rsidRPr="00FD45FA" w:rsidRDefault="00FA4986" w:rsidP="00DB7586">
      <w:pPr>
        <w:contextualSpacing/>
        <w:jc w:val="both"/>
        <w:rPr>
          <w:rFonts w:ascii="Book Antiqua" w:hAnsi="Book Antiqua"/>
        </w:rPr>
      </w:pPr>
      <w:r w:rsidRPr="00BE2550">
        <w:rPr>
          <w:rFonts w:ascii="Book Antiqua" w:hAnsi="Book Antiqua"/>
          <w:lang w:val="es-ES"/>
        </w:rPr>
        <w:t>Cámara de Representantes de Puerto Rico</w:t>
      </w:r>
    </w:p>
    <w:sectPr w:rsidR="009D62BE" w:rsidRPr="00FD45FA" w:rsidSect="00FA4986">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B2F69" w14:textId="77777777" w:rsidR="005629D9" w:rsidRDefault="005629D9" w:rsidP="00FD45FA">
      <w:r>
        <w:separator/>
      </w:r>
    </w:p>
  </w:endnote>
  <w:endnote w:type="continuationSeparator" w:id="0">
    <w:p w14:paraId="1B5FAFD8" w14:textId="77777777" w:rsidR="005629D9" w:rsidRDefault="005629D9" w:rsidP="00FD4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A1D1530" w14:paraId="7E401A63" w14:textId="77777777" w:rsidTr="0A1D1530">
      <w:trPr>
        <w:trHeight w:val="300"/>
      </w:trPr>
      <w:tc>
        <w:tcPr>
          <w:tcW w:w="3120" w:type="dxa"/>
        </w:tcPr>
        <w:p w14:paraId="197371C5" w14:textId="4B21AA60" w:rsidR="0A1D1530" w:rsidRDefault="0A1D1530" w:rsidP="0A1D1530">
          <w:pPr>
            <w:pStyle w:val="Header"/>
            <w:ind w:left="-115"/>
          </w:pPr>
        </w:p>
      </w:tc>
      <w:tc>
        <w:tcPr>
          <w:tcW w:w="3120" w:type="dxa"/>
        </w:tcPr>
        <w:p w14:paraId="1DC32453" w14:textId="6C7B145D" w:rsidR="0A1D1530" w:rsidRDefault="0A1D1530" w:rsidP="0A1D1530">
          <w:pPr>
            <w:pStyle w:val="Header"/>
            <w:jc w:val="center"/>
          </w:pPr>
          <w:r>
            <w:fldChar w:fldCharType="begin"/>
          </w:r>
          <w:r>
            <w:instrText>PAGE</w:instrText>
          </w:r>
          <w:r>
            <w:fldChar w:fldCharType="separate"/>
          </w:r>
          <w:r w:rsidR="00DB7586">
            <w:rPr>
              <w:noProof/>
            </w:rPr>
            <w:t>2</w:t>
          </w:r>
          <w:r>
            <w:fldChar w:fldCharType="end"/>
          </w:r>
        </w:p>
      </w:tc>
      <w:tc>
        <w:tcPr>
          <w:tcW w:w="3120" w:type="dxa"/>
        </w:tcPr>
        <w:p w14:paraId="147C0AE2" w14:textId="26121606" w:rsidR="0A1D1530" w:rsidRDefault="0A1D1530" w:rsidP="0A1D1530">
          <w:pPr>
            <w:pStyle w:val="Header"/>
            <w:ind w:right="-115"/>
            <w:jc w:val="right"/>
          </w:pPr>
        </w:p>
      </w:tc>
    </w:tr>
  </w:tbl>
  <w:p w14:paraId="0B28DFD7" w14:textId="43702411" w:rsidR="0A1D1530" w:rsidRDefault="0A1D1530" w:rsidP="0A1D15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A1D1530" w14:paraId="713C4B91" w14:textId="77777777" w:rsidTr="0A1D1530">
      <w:trPr>
        <w:trHeight w:val="300"/>
      </w:trPr>
      <w:tc>
        <w:tcPr>
          <w:tcW w:w="3120" w:type="dxa"/>
        </w:tcPr>
        <w:p w14:paraId="070B8320" w14:textId="2D289232" w:rsidR="0A1D1530" w:rsidRDefault="0A1D1530" w:rsidP="0A1D1530">
          <w:pPr>
            <w:pStyle w:val="Header"/>
            <w:ind w:left="-115"/>
          </w:pPr>
        </w:p>
      </w:tc>
      <w:tc>
        <w:tcPr>
          <w:tcW w:w="3120" w:type="dxa"/>
        </w:tcPr>
        <w:p w14:paraId="32122BDC" w14:textId="65639647" w:rsidR="0A1D1530" w:rsidRDefault="0A1D1530" w:rsidP="0A1D1530">
          <w:pPr>
            <w:pStyle w:val="Header"/>
            <w:jc w:val="center"/>
          </w:pPr>
        </w:p>
      </w:tc>
      <w:tc>
        <w:tcPr>
          <w:tcW w:w="3120" w:type="dxa"/>
        </w:tcPr>
        <w:p w14:paraId="0FBF4564" w14:textId="2191334B" w:rsidR="0A1D1530" w:rsidRDefault="0A1D1530" w:rsidP="0A1D1530">
          <w:pPr>
            <w:pStyle w:val="Header"/>
            <w:ind w:right="-115"/>
            <w:jc w:val="right"/>
          </w:pPr>
        </w:p>
      </w:tc>
    </w:tr>
  </w:tbl>
  <w:p w14:paraId="5471C854" w14:textId="392DE78F" w:rsidR="0A1D1530" w:rsidRDefault="0A1D1530" w:rsidP="0A1D1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0DB2E" w14:textId="77777777" w:rsidR="005629D9" w:rsidRDefault="005629D9" w:rsidP="00FD45FA">
      <w:r>
        <w:separator/>
      </w:r>
    </w:p>
  </w:footnote>
  <w:footnote w:type="continuationSeparator" w:id="0">
    <w:p w14:paraId="6C46A55F" w14:textId="77777777" w:rsidR="005629D9" w:rsidRDefault="005629D9" w:rsidP="00FD4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C649E" w14:textId="77777777" w:rsidR="00FA4986" w:rsidRPr="00DF3993" w:rsidRDefault="00FA4986" w:rsidP="00DF3993">
    <w:pPr>
      <w:pStyle w:val="Header"/>
      <w:rPr>
        <w:rFonts w:ascii="Book Antiqua" w:hAnsi="Book Antiqua"/>
        <w:b/>
        <w:sz w:val="20"/>
        <w:lang w:val="es-PR"/>
      </w:rPr>
    </w:pPr>
    <w:r w:rsidRPr="00DF3993">
      <w:rPr>
        <w:rFonts w:ascii="Book Antiqua" w:hAnsi="Book Antiqua"/>
        <w:b/>
        <w:sz w:val="20"/>
        <w:lang w:val="es-PR"/>
      </w:rPr>
      <w:t>Comisión de Gobierno</w:t>
    </w:r>
  </w:p>
  <w:p w14:paraId="603CFBFB" w14:textId="0C87E450" w:rsidR="00FA4986" w:rsidRPr="00DF3993" w:rsidRDefault="0A1D1530" w:rsidP="0A1D1530">
    <w:pPr>
      <w:pStyle w:val="Header"/>
      <w:pBdr>
        <w:bottom w:val="single" w:sz="8" w:space="1" w:color="auto"/>
      </w:pBdr>
      <w:rPr>
        <w:rFonts w:ascii="Book Antiqua" w:hAnsi="Book Antiqua"/>
        <w:b/>
        <w:bCs/>
        <w:noProof/>
        <w:sz w:val="20"/>
        <w:lang w:val="es-PR"/>
      </w:rPr>
    </w:pPr>
    <w:r w:rsidRPr="0A1D1530">
      <w:rPr>
        <w:rFonts w:ascii="Book Antiqua" w:hAnsi="Book Antiqua"/>
        <w:b/>
        <w:bCs/>
        <w:sz w:val="20"/>
        <w:lang w:val="es-PR"/>
      </w:rPr>
      <w:t>Informe Positivo sobre el P. de la C. 1179</w:t>
    </w:r>
    <w:r w:rsidR="00FA4986" w:rsidRPr="00DB7586">
      <w:rPr>
        <w:lang w:val="es-ES"/>
      </w:rPr>
      <w:tab/>
    </w:r>
  </w:p>
  <w:p w14:paraId="1E9BAC52" w14:textId="77777777" w:rsidR="00FA4986" w:rsidRPr="00DF3993" w:rsidRDefault="00FA4986">
    <w:pPr>
      <w:pStyle w:val="Header"/>
      <w:rPr>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A1D1530" w14:paraId="719C4765" w14:textId="77777777" w:rsidTr="0A1D1530">
      <w:trPr>
        <w:trHeight w:val="300"/>
      </w:trPr>
      <w:tc>
        <w:tcPr>
          <w:tcW w:w="3120" w:type="dxa"/>
        </w:tcPr>
        <w:p w14:paraId="0530EFED" w14:textId="5123517D" w:rsidR="0A1D1530" w:rsidRDefault="0A1D1530" w:rsidP="0A1D1530">
          <w:pPr>
            <w:pStyle w:val="Header"/>
            <w:ind w:left="-115"/>
          </w:pPr>
        </w:p>
      </w:tc>
      <w:tc>
        <w:tcPr>
          <w:tcW w:w="3120" w:type="dxa"/>
        </w:tcPr>
        <w:p w14:paraId="259CAF1E" w14:textId="4F073B16" w:rsidR="0A1D1530" w:rsidRDefault="0A1D1530" w:rsidP="0A1D1530">
          <w:pPr>
            <w:pStyle w:val="Header"/>
            <w:jc w:val="center"/>
          </w:pPr>
        </w:p>
      </w:tc>
      <w:tc>
        <w:tcPr>
          <w:tcW w:w="3120" w:type="dxa"/>
        </w:tcPr>
        <w:p w14:paraId="0B71D7F4" w14:textId="777CC1BC" w:rsidR="0A1D1530" w:rsidRDefault="0A1D1530" w:rsidP="0A1D1530">
          <w:pPr>
            <w:pStyle w:val="Header"/>
            <w:ind w:right="-115"/>
            <w:jc w:val="right"/>
          </w:pPr>
        </w:p>
      </w:tc>
    </w:tr>
  </w:tbl>
  <w:p w14:paraId="08064C35" w14:textId="4FECB9E5" w:rsidR="0A1D1530" w:rsidRDefault="0A1D1530" w:rsidP="0A1D15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C7D8C"/>
    <w:multiLevelType w:val="multilevel"/>
    <w:tmpl w:val="7D886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F378B4"/>
    <w:multiLevelType w:val="multilevel"/>
    <w:tmpl w:val="E1925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1043218059">
    <w:abstractNumId w:val="1"/>
  </w:num>
  <w:num w:numId="2" w16cid:durableId="87889336">
    <w:abstractNumId w:val="2"/>
  </w:num>
  <w:num w:numId="3" w16cid:durableId="913707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2BE"/>
    <w:rsid w:val="000F3F52"/>
    <w:rsid w:val="001C230D"/>
    <w:rsid w:val="003E0821"/>
    <w:rsid w:val="00475B9E"/>
    <w:rsid w:val="005629D9"/>
    <w:rsid w:val="005A2525"/>
    <w:rsid w:val="0079703D"/>
    <w:rsid w:val="007F15C2"/>
    <w:rsid w:val="0093617F"/>
    <w:rsid w:val="00994D41"/>
    <w:rsid w:val="009D62BE"/>
    <w:rsid w:val="00BD64BC"/>
    <w:rsid w:val="00CC6285"/>
    <w:rsid w:val="00DB7586"/>
    <w:rsid w:val="00FA4986"/>
    <w:rsid w:val="00FD45FA"/>
    <w:rsid w:val="07407625"/>
    <w:rsid w:val="08022A21"/>
    <w:rsid w:val="0A1D1530"/>
    <w:rsid w:val="0BAA751E"/>
    <w:rsid w:val="0D4B555D"/>
    <w:rsid w:val="18CB8043"/>
    <w:rsid w:val="1DD7392A"/>
    <w:rsid w:val="1E7A52FB"/>
    <w:rsid w:val="20E6B524"/>
    <w:rsid w:val="2509F8F4"/>
    <w:rsid w:val="2851505C"/>
    <w:rsid w:val="28CC70E8"/>
    <w:rsid w:val="2BE162FB"/>
    <w:rsid w:val="41AB485D"/>
    <w:rsid w:val="428BC3F0"/>
    <w:rsid w:val="47149B90"/>
    <w:rsid w:val="4C2DFEF9"/>
    <w:rsid w:val="4D65B07A"/>
    <w:rsid w:val="60E4E403"/>
    <w:rsid w:val="6D77BDE2"/>
    <w:rsid w:val="6F5A1925"/>
    <w:rsid w:val="735EB358"/>
    <w:rsid w:val="76CD2BB3"/>
    <w:rsid w:val="77797487"/>
    <w:rsid w:val="7E08C136"/>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5D0F3"/>
  <w15:chartTrackingRefBased/>
  <w15:docId w15:val="{62FE0183-F5BE-4ECE-828B-BADE90527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2B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D62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62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62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62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62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62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62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62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62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2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62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62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62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62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62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62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62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62BE"/>
    <w:rPr>
      <w:rFonts w:eastAsiaTheme="majorEastAsia" w:cstheme="majorBidi"/>
      <w:color w:val="272727" w:themeColor="text1" w:themeTint="D8"/>
    </w:rPr>
  </w:style>
  <w:style w:type="paragraph" w:styleId="Title">
    <w:name w:val="Title"/>
    <w:basedOn w:val="Normal"/>
    <w:next w:val="Normal"/>
    <w:link w:val="TitleChar"/>
    <w:uiPriority w:val="10"/>
    <w:qFormat/>
    <w:rsid w:val="009D62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2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62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2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62BE"/>
    <w:pPr>
      <w:spacing w:before="160"/>
      <w:jc w:val="center"/>
    </w:pPr>
    <w:rPr>
      <w:i/>
      <w:iCs/>
      <w:color w:val="404040" w:themeColor="text1" w:themeTint="BF"/>
    </w:rPr>
  </w:style>
  <w:style w:type="character" w:customStyle="1" w:styleId="QuoteChar">
    <w:name w:val="Quote Char"/>
    <w:basedOn w:val="DefaultParagraphFont"/>
    <w:link w:val="Quote"/>
    <w:uiPriority w:val="29"/>
    <w:rsid w:val="009D62BE"/>
    <w:rPr>
      <w:i/>
      <w:iCs/>
      <w:color w:val="404040" w:themeColor="text1" w:themeTint="BF"/>
    </w:rPr>
  </w:style>
  <w:style w:type="paragraph" w:styleId="ListParagraph">
    <w:name w:val="List Paragraph"/>
    <w:basedOn w:val="Normal"/>
    <w:uiPriority w:val="34"/>
    <w:qFormat/>
    <w:rsid w:val="009D62BE"/>
    <w:pPr>
      <w:ind w:left="720"/>
      <w:contextualSpacing/>
    </w:pPr>
  </w:style>
  <w:style w:type="character" w:styleId="IntenseEmphasis">
    <w:name w:val="Intense Emphasis"/>
    <w:basedOn w:val="DefaultParagraphFont"/>
    <w:uiPriority w:val="21"/>
    <w:qFormat/>
    <w:rsid w:val="009D62BE"/>
    <w:rPr>
      <w:i/>
      <w:iCs/>
      <w:color w:val="0F4761" w:themeColor="accent1" w:themeShade="BF"/>
    </w:rPr>
  </w:style>
  <w:style w:type="paragraph" w:styleId="IntenseQuote">
    <w:name w:val="Intense Quote"/>
    <w:basedOn w:val="Normal"/>
    <w:next w:val="Normal"/>
    <w:link w:val="IntenseQuoteChar"/>
    <w:uiPriority w:val="30"/>
    <w:qFormat/>
    <w:rsid w:val="009D62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62BE"/>
    <w:rPr>
      <w:i/>
      <w:iCs/>
      <w:color w:val="0F4761" w:themeColor="accent1" w:themeShade="BF"/>
    </w:rPr>
  </w:style>
  <w:style w:type="character" w:styleId="IntenseReference">
    <w:name w:val="Intense Reference"/>
    <w:basedOn w:val="DefaultParagraphFont"/>
    <w:uiPriority w:val="32"/>
    <w:qFormat/>
    <w:rsid w:val="009D62BE"/>
    <w:rPr>
      <w:b/>
      <w:bCs/>
      <w:smallCaps/>
      <w:color w:val="0F4761" w:themeColor="accent1" w:themeShade="BF"/>
      <w:spacing w:val="5"/>
    </w:rPr>
  </w:style>
  <w:style w:type="paragraph" w:styleId="BodyText">
    <w:name w:val="Body Text"/>
    <w:basedOn w:val="Normal"/>
    <w:link w:val="BodyTextChar"/>
    <w:uiPriority w:val="99"/>
    <w:rsid w:val="009D62BE"/>
    <w:pPr>
      <w:jc w:val="both"/>
    </w:pPr>
    <w:rPr>
      <w:lang w:eastAsia="x-none"/>
    </w:rPr>
  </w:style>
  <w:style w:type="character" w:customStyle="1" w:styleId="BodyTextChar">
    <w:name w:val="Body Text Char"/>
    <w:basedOn w:val="DefaultParagraphFont"/>
    <w:link w:val="BodyText"/>
    <w:uiPriority w:val="99"/>
    <w:rsid w:val="009D62BE"/>
    <w:rPr>
      <w:rFonts w:ascii="Times New Roman" w:eastAsia="Times New Roman" w:hAnsi="Times New Roman" w:cs="Times New Roman"/>
      <w:kern w:val="0"/>
      <w:lang w:eastAsia="x-none"/>
      <w14:ligatures w14:val="none"/>
    </w:rPr>
  </w:style>
  <w:style w:type="paragraph" w:customStyle="1" w:styleId="ColorfulList-Accent11">
    <w:name w:val="Colorful List - Accent 11"/>
    <w:basedOn w:val="Normal"/>
    <w:uiPriority w:val="34"/>
    <w:qFormat/>
    <w:rsid w:val="00FA4986"/>
    <w:pPr>
      <w:ind w:left="720"/>
      <w:contextualSpacing/>
    </w:pPr>
    <w:rPr>
      <w:rFonts w:eastAsia="Batang"/>
      <w:szCs w:val="20"/>
      <w:lang w:val="en-US"/>
    </w:rPr>
  </w:style>
  <w:style w:type="paragraph" w:styleId="Header">
    <w:name w:val="header"/>
    <w:basedOn w:val="Normal"/>
    <w:link w:val="HeaderChar"/>
    <w:uiPriority w:val="99"/>
    <w:unhideWhenUsed/>
    <w:rsid w:val="00FA4986"/>
    <w:pPr>
      <w:tabs>
        <w:tab w:val="center" w:pos="4680"/>
        <w:tab w:val="right" w:pos="9360"/>
      </w:tabs>
    </w:pPr>
    <w:rPr>
      <w:rFonts w:eastAsia="Batang"/>
      <w:szCs w:val="20"/>
      <w:lang w:val="en-US"/>
    </w:rPr>
  </w:style>
  <w:style w:type="character" w:customStyle="1" w:styleId="HeaderChar">
    <w:name w:val="Header Char"/>
    <w:basedOn w:val="DefaultParagraphFont"/>
    <w:link w:val="Header"/>
    <w:uiPriority w:val="99"/>
    <w:rsid w:val="00FA4986"/>
    <w:rPr>
      <w:rFonts w:ascii="Times New Roman" w:eastAsia="Batang" w:hAnsi="Times New Roman" w:cs="Times New Roman"/>
      <w:kern w:val="0"/>
      <w:szCs w:val="20"/>
      <w:lang w:val="en-US"/>
      <w14:ligatures w14:val="none"/>
    </w:rPr>
  </w:style>
  <w:style w:type="paragraph" w:styleId="NormalWeb">
    <w:name w:val="Normal (Web)"/>
    <w:basedOn w:val="Normal"/>
    <w:uiPriority w:val="99"/>
    <w:semiHidden/>
    <w:unhideWhenUsed/>
    <w:rsid w:val="00FA4986"/>
  </w:style>
  <w:style w:type="paragraph" w:styleId="Footer">
    <w:name w:val="footer"/>
    <w:basedOn w:val="Normal"/>
    <w:link w:val="FooterChar"/>
    <w:uiPriority w:val="99"/>
    <w:unhideWhenUsed/>
    <w:rsid w:val="00FD45FA"/>
    <w:pPr>
      <w:tabs>
        <w:tab w:val="center" w:pos="4680"/>
        <w:tab w:val="right" w:pos="9360"/>
      </w:tabs>
    </w:pPr>
  </w:style>
  <w:style w:type="character" w:customStyle="1" w:styleId="FooterChar">
    <w:name w:val="Footer Char"/>
    <w:basedOn w:val="DefaultParagraphFont"/>
    <w:link w:val="Footer"/>
    <w:uiPriority w:val="99"/>
    <w:rsid w:val="00FD45FA"/>
    <w:rPr>
      <w:rFonts w:ascii="Times New Roman" w:eastAsia="Times New Roman" w:hAnsi="Times New Roman" w:cs="Times New Roman"/>
      <w:kern w:val="0"/>
      <w14:ligatures w14: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1550</Words>
  <Characters>8839</Characters>
  <Application>Microsoft Office Word</Application>
  <DocSecurity>4</DocSecurity>
  <Lines>73</Lines>
  <Paragraphs>20</Paragraphs>
  <ScaleCrop>false</ScaleCrop>
  <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2026-04-30T17:27:00Z</dcterms:created>
  <dcterms:modified xsi:type="dcterms:W3CDTF">2026-04-30T17:27:00Z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f051f716-3862-4f55-9054-0dca0271f759</vt:lpwstr>
  </property>
</Properties>
</file>