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023C5BBC"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5F5740">
        <w:rPr>
          <w:rFonts w:ascii="Book Antiqua" w:eastAsia="Book Antiqua" w:hAnsi="Book Antiqua" w:cs="Book Antiqua"/>
        </w:rPr>
        <w:t>3</w:t>
      </w:r>
      <w:r w:rsidR="005F5740">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0AD7F83C"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5F5740">
        <w:rPr>
          <w:rFonts w:ascii="Book Antiqua" w:eastAsia="Book Antiqua" w:hAnsi="Book Antiqua" w:cs="Book Antiqua"/>
          <w:b/>
          <w:sz w:val="52"/>
          <w:szCs w:val="52"/>
        </w:rPr>
        <w:t>307</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75536EB3" w:rsidR="003867AC" w:rsidRPr="00700566" w:rsidRDefault="00022133">
      <w:pPr>
        <w:spacing w:line="360" w:lineRule="auto"/>
        <w:jc w:val="center"/>
        <w:rPr>
          <w:rFonts w:ascii="Book Antiqua" w:eastAsia="Book Antiqua" w:hAnsi="Book Antiqua" w:cs="Book Antiqua"/>
          <w:b/>
        </w:rPr>
      </w:pPr>
      <w:r>
        <w:rPr>
          <w:rFonts w:ascii="Book Antiqua" w:eastAsia="Book Antiqua" w:hAnsi="Book Antiqua" w:cs="Book Antiqua"/>
        </w:rPr>
        <w:t>8</w:t>
      </w:r>
      <w:r w:rsidR="0085373F" w:rsidRPr="00700566">
        <w:rPr>
          <w:rFonts w:ascii="Book Antiqua" w:eastAsia="Book Antiqua" w:hAnsi="Book Antiqua" w:cs="Book Antiqua"/>
        </w:rPr>
        <w:t xml:space="preserve"> de </w:t>
      </w:r>
      <w:r w:rsidR="005F5740">
        <w:rPr>
          <w:rFonts w:ascii="Book Antiqua" w:eastAsia="Book Antiqua" w:hAnsi="Book Antiqua" w:cs="Book Antiqua"/>
        </w:rPr>
        <w:t>junio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4DC18B30"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5F5740">
        <w:rPr>
          <w:rFonts w:ascii="Book Antiqua" w:eastAsia="Book Antiqua" w:hAnsi="Book Antiqua" w:cs="Book Antiqua"/>
          <w:color w:val="000000" w:themeColor="text1"/>
        </w:rPr>
        <w:t>307</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005F5740">
        <w:rPr>
          <w:rFonts w:ascii="Book Antiqua" w:eastAsia="Book Antiqua" w:hAnsi="Book Antiqua" w:cs="Book Antiqua"/>
          <w:color w:val="000000" w:themeColor="text1"/>
        </w:rPr>
        <w:t xml:space="preserve"> sin enmiendas</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2CA80995" w14:textId="02D68BB9" w:rsidR="00DE74F9" w:rsidRDefault="0085373F" w:rsidP="00FC7C96">
      <w:pPr>
        <w:ind w:firstLine="720"/>
        <w:jc w:val="both"/>
        <w:rPr>
          <w:rFonts w:ascii="Book Antiqua" w:eastAsia="Book Antiqua" w:hAnsi="Book Antiqua" w:cs="Book Antiqua"/>
          <w:color w:val="000000" w:themeColor="text1"/>
          <w:szCs w:val="24"/>
          <w:lang w:val="es-PR"/>
        </w:rPr>
      </w:pPr>
      <w:bookmarkStart w:id="0" w:name="_heading=h.gjdgxs" w:colFirst="0" w:colLast="0"/>
      <w:bookmarkEnd w:id="0"/>
      <w:r w:rsidRPr="00B90788">
        <w:rPr>
          <w:rFonts w:ascii="Book Antiqua" w:eastAsia="Book Antiqua" w:hAnsi="Book Antiqua" w:cs="Book Antiqua"/>
          <w:color w:val="000000" w:themeColor="text1"/>
          <w:szCs w:val="24"/>
        </w:rPr>
        <w:t xml:space="preserve">La Resolución Conjunta de la Cámara </w:t>
      </w:r>
      <w:r w:rsidR="005F5740">
        <w:rPr>
          <w:rFonts w:ascii="Book Antiqua" w:eastAsia="Book Antiqua" w:hAnsi="Book Antiqua" w:cs="Book Antiqua"/>
          <w:color w:val="000000" w:themeColor="text1"/>
          <w:szCs w:val="24"/>
        </w:rPr>
        <w:t>307</w:t>
      </w:r>
      <w:r w:rsidRPr="00B90788">
        <w:rPr>
          <w:rFonts w:ascii="Book Antiqua" w:eastAsia="Book Antiqua" w:hAnsi="Book Antiqua" w:cs="Book Antiqua"/>
          <w:color w:val="000000" w:themeColor="text1"/>
          <w:szCs w:val="24"/>
        </w:rPr>
        <w:t xml:space="preserve"> propone</w:t>
      </w:r>
      <w:r w:rsidR="0025299B" w:rsidRPr="00B90788">
        <w:rPr>
          <w:rFonts w:ascii="Book Antiqua" w:eastAsia="Book Antiqua" w:hAnsi="Book Antiqua" w:cs="Book Antiqua"/>
          <w:color w:val="000000" w:themeColor="text1"/>
          <w:szCs w:val="24"/>
          <w:lang w:val="es-PR"/>
        </w:rPr>
        <w:t xml:space="preserve"> </w:t>
      </w:r>
      <w:r w:rsidR="00FC7C96" w:rsidRPr="00FC7C96">
        <w:rPr>
          <w:rFonts w:ascii="Book Antiqua" w:eastAsia="Book Antiqua" w:hAnsi="Book Antiqua" w:cs="Book Antiqua"/>
          <w:color w:val="000000" w:themeColor="text1"/>
          <w:szCs w:val="24"/>
          <w:lang w:val="es-PR"/>
        </w:rPr>
        <w:t xml:space="preserve">ordenar a la Autoridad de Transporte Integrado (ATI) a autorizar y coordinar con el Salón de la Fama del Deporte </w:t>
      </w:r>
      <w:proofErr w:type="spellStart"/>
      <w:r w:rsidR="00FC7C96" w:rsidRPr="00FC7C96">
        <w:rPr>
          <w:rFonts w:ascii="Book Antiqua" w:eastAsia="Book Antiqua" w:hAnsi="Book Antiqua" w:cs="Book Antiqua"/>
          <w:color w:val="000000" w:themeColor="text1"/>
          <w:szCs w:val="24"/>
          <w:lang w:val="es-PR"/>
        </w:rPr>
        <w:t>Riopedrense</w:t>
      </w:r>
      <w:proofErr w:type="spellEnd"/>
      <w:r w:rsidR="00FC7C96" w:rsidRPr="00FC7C96">
        <w:rPr>
          <w:rFonts w:ascii="Book Antiqua" w:eastAsia="Book Antiqua" w:hAnsi="Book Antiqua" w:cs="Book Antiqua"/>
          <w:color w:val="000000" w:themeColor="text1"/>
          <w:szCs w:val="24"/>
          <w:lang w:val="es-PR"/>
        </w:rPr>
        <w:t xml:space="preserve"> la instalación de un mosaico en la estación Río Piedras del Tren Urbano. </w:t>
      </w:r>
    </w:p>
    <w:p w14:paraId="05B70035" w14:textId="77777777" w:rsidR="00DE74F9" w:rsidRDefault="00DE74F9" w:rsidP="00FC7C96">
      <w:pPr>
        <w:ind w:firstLine="720"/>
        <w:jc w:val="both"/>
        <w:rPr>
          <w:rFonts w:ascii="Book Antiqua" w:eastAsia="Book Antiqua" w:hAnsi="Book Antiqua" w:cs="Book Antiqua"/>
          <w:color w:val="000000" w:themeColor="text1"/>
          <w:szCs w:val="24"/>
          <w:lang w:val="es-PR"/>
        </w:rPr>
      </w:pPr>
    </w:p>
    <w:p w14:paraId="2C8C876B" w14:textId="77777777" w:rsidR="00DE74F9" w:rsidRPr="00DE74F9" w:rsidRDefault="00DE74F9" w:rsidP="00DE74F9">
      <w:pPr>
        <w:ind w:firstLine="720"/>
        <w:jc w:val="both"/>
        <w:rPr>
          <w:rFonts w:ascii="Book Antiqua" w:eastAsia="Book Antiqua" w:hAnsi="Book Antiqua" w:cs="Book Antiqua"/>
          <w:color w:val="000000" w:themeColor="text1"/>
          <w:szCs w:val="24"/>
          <w:lang w:val="es-PR"/>
        </w:rPr>
      </w:pPr>
      <w:r w:rsidRPr="00DE74F9">
        <w:rPr>
          <w:rFonts w:ascii="Book Antiqua" w:eastAsia="Book Antiqua" w:hAnsi="Book Antiqua" w:cs="Book Antiqua"/>
          <w:color w:val="000000" w:themeColor="text1"/>
          <w:szCs w:val="24"/>
          <w:lang w:val="es-PR"/>
        </w:rPr>
        <w:t>Según la exposición de motivos de la medida, el baloncesto ha sido uno de los deportes de mayor arraigo en Puerto Rico, forjando generaciones de atletas y contribuyendo al orgullo nacional. En este contexto, se resalta la figura de Juan “Johnny” Báez Marín (1935–2022) como uno de los pioneros más destacados, cuya disciplina y talento lo llevaron desde sus inicios en Río Piedras y la Universidad de Puerto Rico hasta brillar en el Baloncesto Superior Nacional con los Cardenales de Río Piedras, donde alcanzó campeonatos y fue reconocido como Jugador Más Valioso.</w:t>
      </w:r>
    </w:p>
    <w:p w14:paraId="2633E6AB" w14:textId="77777777" w:rsidR="00DE74F9" w:rsidRPr="00DE74F9" w:rsidRDefault="00DE74F9" w:rsidP="00DE74F9">
      <w:pPr>
        <w:ind w:firstLine="720"/>
        <w:jc w:val="both"/>
        <w:rPr>
          <w:rFonts w:ascii="Book Antiqua" w:eastAsia="Book Antiqua" w:hAnsi="Book Antiqua" w:cs="Book Antiqua"/>
          <w:color w:val="000000" w:themeColor="text1"/>
          <w:szCs w:val="24"/>
          <w:lang w:val="es-PR"/>
        </w:rPr>
      </w:pPr>
    </w:p>
    <w:p w14:paraId="1608AD0E" w14:textId="7453B2D4" w:rsidR="00DE74F9" w:rsidRPr="00DE74F9" w:rsidRDefault="00DE74F9" w:rsidP="000056CC">
      <w:pPr>
        <w:ind w:firstLine="720"/>
        <w:jc w:val="both"/>
        <w:rPr>
          <w:rFonts w:ascii="Book Antiqua" w:eastAsia="Book Antiqua" w:hAnsi="Book Antiqua" w:cs="Book Antiqua"/>
          <w:color w:val="000000" w:themeColor="text1"/>
          <w:szCs w:val="24"/>
          <w:lang w:val="es-PR"/>
        </w:rPr>
      </w:pPr>
      <w:r w:rsidRPr="00DE74F9">
        <w:rPr>
          <w:rFonts w:ascii="Book Antiqua" w:eastAsia="Book Antiqua" w:hAnsi="Book Antiqua" w:cs="Book Antiqua"/>
          <w:color w:val="000000" w:themeColor="text1"/>
          <w:szCs w:val="24"/>
          <w:lang w:val="es-PR"/>
        </w:rPr>
        <w:t>Se subraya que Johnny Báez trascendió nuestras fronteras al convertirse en uno de los primeros puertorriqueños en jugar en el baloncesto europeo con el Real Madrid de España, donde conquistó títulos y se ganó el respeto de la realeza española. Asimismo, representó a Puerto Rico en los Juegos Centroamericanos y del Caribe y en los Juegos Panamericanos, consolidándose como embajador del deporte puertorriqueño y abriendo puertas a futuras generaciones de atletas que seguirían sus pasos.</w:t>
      </w:r>
    </w:p>
    <w:p w14:paraId="65E39D18" w14:textId="77777777" w:rsidR="00DE74F9" w:rsidRPr="00DE74F9" w:rsidRDefault="00DE74F9" w:rsidP="00DE74F9">
      <w:pPr>
        <w:ind w:firstLine="720"/>
        <w:jc w:val="both"/>
        <w:rPr>
          <w:rFonts w:ascii="Book Antiqua" w:eastAsia="Book Antiqua" w:hAnsi="Book Antiqua" w:cs="Book Antiqua"/>
          <w:color w:val="000000" w:themeColor="text1"/>
          <w:szCs w:val="24"/>
          <w:lang w:val="es-PR"/>
        </w:rPr>
      </w:pPr>
      <w:r w:rsidRPr="00DE74F9">
        <w:rPr>
          <w:rFonts w:ascii="Book Antiqua" w:eastAsia="Book Antiqua" w:hAnsi="Book Antiqua" w:cs="Book Antiqua"/>
          <w:color w:val="000000" w:themeColor="text1"/>
          <w:szCs w:val="24"/>
          <w:lang w:val="es-PR"/>
        </w:rPr>
        <w:lastRenderedPageBreak/>
        <w:t xml:space="preserve">Finalmente, la exposición de motivos destaca que más allá de sus logros deportivos, Johnny Báez fue un modelo de humildad, esfuerzo y compromiso con la juventud. Por ello, se dispone la instalación de un mosaico en la estación Río Piedras del Tren Urbano, en coordinación con el Salón de la Fama del Deporte </w:t>
      </w:r>
      <w:proofErr w:type="spellStart"/>
      <w:r w:rsidRPr="00DE74F9">
        <w:rPr>
          <w:rFonts w:ascii="Book Antiqua" w:eastAsia="Book Antiqua" w:hAnsi="Book Antiqua" w:cs="Book Antiqua"/>
          <w:color w:val="000000" w:themeColor="text1"/>
          <w:szCs w:val="24"/>
          <w:lang w:val="es-PR"/>
        </w:rPr>
        <w:t>Riopedrense</w:t>
      </w:r>
      <w:proofErr w:type="spellEnd"/>
      <w:r w:rsidRPr="00DE74F9">
        <w:rPr>
          <w:rFonts w:ascii="Book Antiqua" w:eastAsia="Book Antiqua" w:hAnsi="Book Antiqua" w:cs="Book Antiqua"/>
          <w:color w:val="000000" w:themeColor="text1"/>
          <w:szCs w:val="24"/>
          <w:lang w:val="es-PR"/>
        </w:rPr>
        <w:t>, como un reconocimiento permanente a su legado. Este homenaje busca preservar su memoria y fortalecer la identidad cultural y deportiva de Puerto Rico.</w:t>
      </w:r>
    </w:p>
    <w:p w14:paraId="715A6225" w14:textId="180A5743" w:rsidR="00D52A5D" w:rsidRPr="00D1092C" w:rsidRDefault="00D52A5D" w:rsidP="00FC7C96">
      <w:pPr>
        <w:ind w:firstLine="720"/>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69D3CCCC"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w:t>
      </w:r>
      <w:r w:rsidR="005F5740">
        <w:rPr>
          <w:rFonts w:ascii="Book Antiqua" w:eastAsia="Book Antiqua" w:hAnsi="Book Antiqua" w:cs="Book Antiqua"/>
        </w:rPr>
        <w:t>307</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8E0700">
        <w:rPr>
          <w:rFonts w:ascii="Book Antiqua" w:eastAsia="Book Antiqua" w:hAnsi="Book Antiqua" w:cs="Book Antiqua"/>
        </w:rPr>
        <w:t>a</w:t>
      </w:r>
      <w:r w:rsidR="000056CC">
        <w:rPr>
          <w:rFonts w:ascii="Book Antiqua" w:eastAsia="Book Antiqua" w:hAnsi="Book Antiqua" w:cs="Book Antiqua"/>
        </w:rPr>
        <w:t xml:space="preserve"> la </w:t>
      </w:r>
      <w:r w:rsidR="00ED44F1">
        <w:rPr>
          <w:rFonts w:ascii="Book Antiqua" w:eastAsia="Book Antiqua" w:hAnsi="Book Antiqua" w:cs="Book Antiqua"/>
        </w:rPr>
        <w:t>Autoridad</w:t>
      </w:r>
      <w:r w:rsidR="000056CC">
        <w:rPr>
          <w:rFonts w:ascii="Book Antiqua" w:eastAsia="Book Antiqua" w:hAnsi="Book Antiqua" w:cs="Book Antiqua"/>
        </w:rPr>
        <w:t xml:space="preserve"> </w:t>
      </w:r>
      <w:r w:rsidR="00ED44F1">
        <w:rPr>
          <w:rFonts w:ascii="Book Antiqua" w:eastAsia="Book Antiqua" w:hAnsi="Book Antiqua" w:cs="Book Antiqua"/>
        </w:rPr>
        <w:t>de Transporte Integrado (ATI)</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3" w:name="_Hlk196743090"/>
    </w:p>
    <w:bookmarkEnd w:id="3"/>
    <w:p w14:paraId="3C15A384" w14:textId="4C068818" w:rsidR="00DC6066" w:rsidRDefault="00134FAB" w:rsidP="00074381">
      <w:pPr>
        <w:jc w:val="center"/>
        <w:rPr>
          <w:rFonts w:ascii="Book Antiqua" w:hAnsi="Book Antiqua"/>
          <w:b/>
          <w:bCs/>
          <w:color w:val="000000" w:themeColor="text1"/>
          <w:u w:val="single"/>
        </w:rPr>
      </w:pPr>
      <w:r>
        <w:rPr>
          <w:rFonts w:ascii="Book Antiqua" w:hAnsi="Book Antiqua"/>
          <w:b/>
          <w:bCs/>
          <w:color w:val="000000" w:themeColor="text1"/>
          <w:u w:val="single"/>
        </w:rPr>
        <w:t>Autoridad de Transporte Integrado (ATI)</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5209E5E8" w14:textId="77777777" w:rsidR="00A70B9C" w:rsidRDefault="007E0FCE" w:rsidP="00A70B9C">
      <w:pPr>
        <w:jc w:val="both"/>
        <w:rPr>
          <w:rFonts w:ascii="Book Antiqua" w:hAnsi="Book Antiqua"/>
          <w:color w:val="000000" w:themeColor="text1"/>
          <w:lang w:val="es-PR"/>
        </w:rPr>
      </w:pPr>
      <w:r>
        <w:rPr>
          <w:rFonts w:ascii="Book Antiqua" w:hAnsi="Book Antiqua"/>
          <w:color w:val="000000" w:themeColor="text1"/>
        </w:rPr>
        <w:tab/>
      </w:r>
      <w:r w:rsidR="00A70B9C" w:rsidRPr="00A70B9C">
        <w:rPr>
          <w:rFonts w:ascii="Book Antiqua" w:hAnsi="Book Antiqua"/>
          <w:color w:val="000000" w:themeColor="text1"/>
          <w:lang w:val="es-PR"/>
        </w:rPr>
        <w:t xml:space="preserve">La Autoridad de Transporte Integrado (ATI) compareció ante la Comisión de Transportación e Infraestructura para expresar su posición respecto a la Resolución Conjunta de la Cámara 307. La medida tiene como propósito autorizar a la ATI a coordinar con el Salón de la Fama del Deporte </w:t>
      </w:r>
      <w:proofErr w:type="spellStart"/>
      <w:r w:rsidR="00A70B9C" w:rsidRPr="00A70B9C">
        <w:rPr>
          <w:rFonts w:ascii="Book Antiqua" w:hAnsi="Book Antiqua"/>
          <w:color w:val="000000" w:themeColor="text1"/>
          <w:lang w:val="es-PR"/>
        </w:rPr>
        <w:t>Riopedrense</w:t>
      </w:r>
      <w:proofErr w:type="spellEnd"/>
      <w:r w:rsidR="00A70B9C" w:rsidRPr="00A70B9C">
        <w:rPr>
          <w:rFonts w:ascii="Book Antiqua" w:hAnsi="Book Antiqua"/>
          <w:color w:val="000000" w:themeColor="text1"/>
          <w:lang w:val="es-PR"/>
        </w:rPr>
        <w:t xml:space="preserve"> el diseño, confección e instalación de un mosaico en la estación Río Piedras del Tren Urbano en honor al destacado </w:t>
      </w:r>
      <w:proofErr w:type="spellStart"/>
      <w:r w:rsidR="00A70B9C" w:rsidRPr="00A70B9C">
        <w:rPr>
          <w:rFonts w:ascii="Book Antiqua" w:hAnsi="Book Antiqua"/>
          <w:color w:val="000000" w:themeColor="text1"/>
          <w:lang w:val="es-PR"/>
        </w:rPr>
        <w:t>baloncelista</w:t>
      </w:r>
      <w:proofErr w:type="spellEnd"/>
      <w:r w:rsidR="00A70B9C" w:rsidRPr="00A70B9C">
        <w:rPr>
          <w:rFonts w:ascii="Book Antiqua" w:hAnsi="Book Antiqua"/>
          <w:color w:val="000000" w:themeColor="text1"/>
          <w:lang w:val="es-PR"/>
        </w:rPr>
        <w:t xml:space="preserve"> puertorriqueño Juan “Johnny” Báez Mariño, como reconocimiento a su trayectoria deportiva.</w:t>
      </w:r>
    </w:p>
    <w:p w14:paraId="07888CCC" w14:textId="77777777" w:rsidR="00A70B9C" w:rsidRPr="00A70B9C" w:rsidRDefault="00A70B9C" w:rsidP="00A70B9C">
      <w:pPr>
        <w:jc w:val="both"/>
        <w:rPr>
          <w:rFonts w:ascii="Book Antiqua" w:hAnsi="Book Antiqua"/>
          <w:color w:val="000000" w:themeColor="text1"/>
          <w:lang w:val="es-PR"/>
        </w:rPr>
      </w:pPr>
    </w:p>
    <w:p w14:paraId="60C5D02B" w14:textId="77777777" w:rsidR="00A70B9C" w:rsidRDefault="00A70B9C" w:rsidP="0080520F">
      <w:pPr>
        <w:ind w:firstLine="720"/>
        <w:jc w:val="both"/>
        <w:rPr>
          <w:rFonts w:ascii="Book Antiqua" w:hAnsi="Book Antiqua"/>
          <w:color w:val="000000" w:themeColor="text1"/>
          <w:lang w:val="es-PR"/>
        </w:rPr>
      </w:pPr>
      <w:r w:rsidRPr="00A70B9C">
        <w:rPr>
          <w:rFonts w:ascii="Book Antiqua" w:hAnsi="Book Antiqua"/>
          <w:color w:val="000000" w:themeColor="text1"/>
          <w:lang w:val="es-PR"/>
        </w:rPr>
        <w:t>En su memorial, la ATI ofrece una descripción de su marco legal y funciones, señalando que fue creada mediante la Ley 123-2014 para consolidar la planificación, administración y operación del transporte colectivo en Puerto Rico. La agencia destaca que su misión es promover un sistema integrado de transporte público y coordinar iniciativas que fortalezcan la movilidad y el desarrollo de las comunidades.</w:t>
      </w:r>
    </w:p>
    <w:p w14:paraId="3386FB65" w14:textId="77777777" w:rsidR="0080520F" w:rsidRPr="00A70B9C" w:rsidRDefault="0080520F" w:rsidP="0080520F">
      <w:pPr>
        <w:ind w:firstLine="720"/>
        <w:jc w:val="both"/>
        <w:rPr>
          <w:rFonts w:ascii="Book Antiqua" w:hAnsi="Book Antiqua"/>
          <w:color w:val="000000" w:themeColor="text1"/>
          <w:lang w:val="es-PR"/>
        </w:rPr>
      </w:pPr>
    </w:p>
    <w:p w14:paraId="1FCFE820" w14:textId="77777777" w:rsidR="00A70B9C" w:rsidRDefault="00A70B9C" w:rsidP="0080520F">
      <w:pPr>
        <w:ind w:firstLine="720"/>
        <w:jc w:val="both"/>
        <w:rPr>
          <w:rFonts w:ascii="Book Antiqua" w:hAnsi="Book Antiqua"/>
          <w:color w:val="000000" w:themeColor="text1"/>
          <w:lang w:val="es-PR"/>
        </w:rPr>
      </w:pPr>
      <w:r w:rsidRPr="00A70B9C">
        <w:rPr>
          <w:rFonts w:ascii="Book Antiqua" w:hAnsi="Book Antiqua"/>
          <w:color w:val="000000" w:themeColor="text1"/>
          <w:lang w:val="es-PR"/>
        </w:rPr>
        <w:t xml:space="preserve">Respecto a la medida, la ATI explica que la resolución le autoriza a coordinar con el Salón de la Fama del Deporte </w:t>
      </w:r>
      <w:proofErr w:type="spellStart"/>
      <w:r w:rsidRPr="00A70B9C">
        <w:rPr>
          <w:rFonts w:ascii="Book Antiqua" w:hAnsi="Book Antiqua"/>
          <w:color w:val="000000" w:themeColor="text1"/>
          <w:lang w:val="es-PR"/>
        </w:rPr>
        <w:t>Riopedrense</w:t>
      </w:r>
      <w:proofErr w:type="spellEnd"/>
      <w:r w:rsidRPr="00A70B9C">
        <w:rPr>
          <w:rFonts w:ascii="Book Antiqua" w:hAnsi="Book Antiqua"/>
          <w:color w:val="000000" w:themeColor="text1"/>
          <w:lang w:val="es-PR"/>
        </w:rPr>
        <w:t xml:space="preserve"> todo lo relacionado con el diseño e instalación del mosaico, sujeto al cumplimiento de las normas de seguridad, permisos y conservación aplicables a las instalaciones del Tren Urbano. Asimismo, la resolución permitiría a la Autoridad aceptar y gestionar aportaciones y donativos provenientes de entidades públicas o privadas para sufragar los costos del proyecto, así como establecer acuerdos colaborativos con organizaciones interesadas en participar de la iniciativa.</w:t>
      </w:r>
    </w:p>
    <w:p w14:paraId="7C207C08" w14:textId="77777777" w:rsidR="0080520F" w:rsidRPr="00A70B9C" w:rsidRDefault="0080520F" w:rsidP="0080520F">
      <w:pPr>
        <w:ind w:firstLine="720"/>
        <w:jc w:val="both"/>
        <w:rPr>
          <w:rFonts w:ascii="Book Antiqua" w:hAnsi="Book Antiqua"/>
          <w:color w:val="000000" w:themeColor="text1"/>
          <w:lang w:val="es-PR"/>
        </w:rPr>
      </w:pPr>
    </w:p>
    <w:p w14:paraId="0608D9B0" w14:textId="77777777" w:rsidR="00A70B9C" w:rsidRDefault="00A70B9C" w:rsidP="0080520F">
      <w:pPr>
        <w:ind w:firstLine="720"/>
        <w:jc w:val="both"/>
        <w:rPr>
          <w:rFonts w:ascii="Book Antiqua" w:hAnsi="Book Antiqua"/>
          <w:color w:val="000000" w:themeColor="text1"/>
          <w:lang w:val="es-PR"/>
        </w:rPr>
      </w:pPr>
      <w:r w:rsidRPr="00A70B9C">
        <w:rPr>
          <w:rFonts w:ascii="Book Antiqua" w:hAnsi="Book Antiqua"/>
          <w:color w:val="000000" w:themeColor="text1"/>
          <w:lang w:val="es-PR"/>
        </w:rPr>
        <w:t xml:space="preserve">Luego de evaluar la medida, la ATI expresó que no tiene reparos a su aprobación y manifestó estar en la mejor disposición de ejecutar el proyecto, siempre que se obtengan los recursos económicos necesarios para su desarrollo. La agencia entiende que la iniciativa promueve el desarrollo cultural y educativo del país mediante el </w:t>
      </w:r>
      <w:r w:rsidRPr="00A70B9C">
        <w:rPr>
          <w:rFonts w:ascii="Book Antiqua" w:hAnsi="Book Antiqua"/>
          <w:color w:val="000000" w:themeColor="text1"/>
          <w:lang w:val="es-PR"/>
        </w:rPr>
        <w:lastRenderedPageBreak/>
        <w:t>reconocimiento de una figura destacada del deporte puertorriqueño y contribuye a realzar el valor histórico y comunitario de los espacios públicos.</w:t>
      </w:r>
    </w:p>
    <w:p w14:paraId="015735A6" w14:textId="77777777" w:rsidR="0080520F" w:rsidRPr="00A70B9C" w:rsidRDefault="0080520F" w:rsidP="0080520F">
      <w:pPr>
        <w:ind w:firstLine="720"/>
        <w:jc w:val="both"/>
        <w:rPr>
          <w:rFonts w:ascii="Book Antiqua" w:hAnsi="Book Antiqua"/>
          <w:color w:val="000000" w:themeColor="text1"/>
          <w:lang w:val="es-PR"/>
        </w:rPr>
      </w:pPr>
    </w:p>
    <w:p w14:paraId="1C93E20C" w14:textId="77777777" w:rsidR="00A70B9C" w:rsidRPr="00A70B9C" w:rsidRDefault="00A70B9C" w:rsidP="0080520F">
      <w:pPr>
        <w:ind w:firstLine="720"/>
        <w:jc w:val="both"/>
        <w:rPr>
          <w:rFonts w:ascii="Book Antiqua" w:hAnsi="Book Antiqua"/>
          <w:color w:val="000000" w:themeColor="text1"/>
          <w:lang w:val="es-PR"/>
        </w:rPr>
      </w:pPr>
      <w:r w:rsidRPr="00A70B9C">
        <w:rPr>
          <w:rFonts w:ascii="Book Antiqua" w:hAnsi="Book Antiqua"/>
          <w:color w:val="000000" w:themeColor="text1"/>
          <w:lang w:val="es-PR"/>
        </w:rPr>
        <w:t>En consecuencia, la Autoridad de Transporte Integrado endosó la aprobación de la Resolución Conjunta de la Cámara 307 y reiteró su disponibilidad para colaborar con la Comisión en cualquier información adicional que sea necesaria para la evaluación de la medida.</w:t>
      </w:r>
    </w:p>
    <w:p w14:paraId="7D3B84AC" w14:textId="7053A72B" w:rsidR="00B037B5" w:rsidRPr="00B037B5" w:rsidRDefault="00B037B5" w:rsidP="00A70B9C">
      <w:pPr>
        <w:jc w:val="both"/>
        <w:rPr>
          <w:rFonts w:ascii="Book Antiqua" w:hAnsi="Book Antiqua"/>
          <w:color w:val="000000" w:themeColor="text1"/>
          <w:lang w:val="es-PR"/>
        </w:rPr>
      </w:pPr>
    </w:p>
    <w:p w14:paraId="1DEF7D2C" w14:textId="09B1C952" w:rsidR="006D5E63" w:rsidRDefault="006D5E63" w:rsidP="00B037B5">
      <w:pPr>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62107EFA" w14:textId="665114DC" w:rsidR="006D5E63" w:rsidRDefault="006D5E63" w:rsidP="006D5E63">
      <w:pPr>
        <w:jc w:val="both"/>
        <w:rPr>
          <w:rFonts w:ascii="Book Antiqua" w:eastAsia="Book Antiqua" w:hAnsi="Book Antiqua" w:cs="Book Antiqua"/>
          <w:bCs/>
        </w:rPr>
      </w:pPr>
      <w:r w:rsidRPr="00E135D5">
        <w:rPr>
          <w:rFonts w:ascii="Book Antiqua" w:eastAsia="Book Antiqua" w:hAnsi="Book Antiqua" w:cs="Book Antiqua"/>
          <w:bCs/>
        </w:rPr>
        <w:tab/>
      </w:r>
      <w:r w:rsidR="00291F8E" w:rsidRPr="00291F8E">
        <w:rPr>
          <w:rFonts w:ascii="Book Antiqua" w:eastAsia="Book Antiqua" w:hAnsi="Book Antiqua" w:cs="Book Antiqua"/>
          <w:bCs/>
        </w:rPr>
        <w:t>Según se desprende de los comentarios recibidos de las agencias gubernamentales, no fue posible determinar un impacto fiscal asociado a esta medida. Si bien la Autoridad de Transporte Integrado (ATI) manifestó su disposición para llevar a cabo las gestiones ordenadas en la Resolución Conjunta de la Cámara 307, condicionó su ejecución a la disponibilidad de los recursos económicos necesarios para su desarrollo. No obstante, la agencia no identificó ni cuantificó los costos relacionados con el diseño, confección e instalación del mosaico, ni señaló una fuente específica de financiamiento para sufragar dichos gastos.</w:t>
      </w:r>
    </w:p>
    <w:p w14:paraId="6C9BB622" w14:textId="77777777" w:rsidR="00C639E9" w:rsidRDefault="00C639E9" w:rsidP="006D5E63">
      <w:pPr>
        <w:jc w:val="both"/>
        <w:rPr>
          <w:rFonts w:ascii="Book Antiqua" w:eastAsia="Book Antiqua" w:hAnsi="Book Antiqua" w:cs="Book Antiqua"/>
          <w:bCs/>
        </w:rPr>
      </w:pPr>
    </w:p>
    <w:p w14:paraId="2501A17A" w14:textId="04467114" w:rsidR="00C639E9" w:rsidRDefault="004178A7" w:rsidP="00C639E9">
      <w:pPr>
        <w:ind w:firstLine="720"/>
        <w:jc w:val="both"/>
        <w:rPr>
          <w:rFonts w:ascii="Book Antiqua" w:eastAsia="Book Antiqua" w:hAnsi="Book Antiqua" w:cs="Book Antiqua"/>
          <w:bCs/>
        </w:rPr>
      </w:pPr>
      <w:r>
        <w:rPr>
          <w:rFonts w:ascii="Book Antiqua" w:eastAsia="Book Antiqua" w:hAnsi="Book Antiqua" w:cs="Book Antiqua"/>
          <w:bCs/>
        </w:rPr>
        <w:t>Además</w:t>
      </w:r>
      <w:r w:rsidR="00C639E9">
        <w:rPr>
          <w:rFonts w:ascii="Book Antiqua" w:eastAsia="Book Antiqua" w:hAnsi="Book Antiqua" w:cs="Book Antiqua"/>
          <w:bCs/>
        </w:rPr>
        <w:t xml:space="preserve">, </w:t>
      </w:r>
      <w:r w:rsidR="00C639E9" w:rsidRPr="00C639E9">
        <w:rPr>
          <w:rFonts w:ascii="Book Antiqua" w:eastAsia="Book Antiqua" w:hAnsi="Book Antiqua" w:cs="Book Antiqua"/>
          <w:bCs/>
        </w:rPr>
        <w:t>la propia medida autoriza a la ATI a aceptar, recibir, preparar y someter propuestas para aportaciones y donativos provenientes de fuentes públicas y privadas, así como a formalizar acuerdos colaborativos con entidades interesadas en participar del financiamiento del mosaico.</w:t>
      </w:r>
    </w:p>
    <w:p w14:paraId="1B010A04" w14:textId="77777777" w:rsidR="006D101B" w:rsidRDefault="006D101B" w:rsidP="00C639E9">
      <w:pPr>
        <w:ind w:firstLine="720"/>
        <w:jc w:val="both"/>
        <w:rPr>
          <w:rFonts w:ascii="Book Antiqua" w:eastAsia="Book Antiqua" w:hAnsi="Book Antiqua" w:cs="Book Antiqua"/>
          <w:bCs/>
        </w:rPr>
      </w:pPr>
    </w:p>
    <w:p w14:paraId="58405DF5" w14:textId="21DFE90E" w:rsidR="006D101B" w:rsidRPr="00C76CBD" w:rsidRDefault="006D101B" w:rsidP="00C639E9">
      <w:pPr>
        <w:ind w:firstLine="720"/>
        <w:jc w:val="both"/>
        <w:rPr>
          <w:rFonts w:ascii="Book Antiqua" w:eastAsia="Book Antiqua" w:hAnsi="Book Antiqua" w:cs="Book Antiqua"/>
          <w:bCs/>
          <w:lang w:val="es-PR"/>
        </w:rPr>
      </w:pPr>
      <w:r w:rsidRPr="006D101B">
        <w:rPr>
          <w:rFonts w:ascii="Book Antiqua" w:eastAsia="Book Antiqua" w:hAnsi="Book Antiqua" w:cs="Book Antiqua"/>
          <w:bCs/>
        </w:rPr>
        <w:t>Por tanto, esta Comisión concluye que la medida no representa, al presente, un impacto fiscal adicional identificable sobre el presupuesto de gastos del Gobierno de Puerto Rico proveniente del Fondo General.</w:t>
      </w: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18C6050B" w14:textId="76E8D59C" w:rsidR="00CA4854" w:rsidRPr="00CA4854" w:rsidRDefault="00987C5A" w:rsidP="00CA4854">
      <w:pPr>
        <w:ind w:firstLine="720"/>
        <w:jc w:val="both"/>
        <w:rPr>
          <w:rFonts w:ascii="Book Antiqua" w:eastAsia="Book Antiqua" w:hAnsi="Book Antiqua" w:cs="Book Antiqua"/>
          <w:lang w:val="es-PR"/>
        </w:rPr>
      </w:pPr>
      <w:r w:rsidRPr="00987C5A">
        <w:rPr>
          <w:rFonts w:ascii="Book Antiqua" w:eastAsia="Book Antiqua" w:hAnsi="Book Antiqua" w:cs="Book Antiqua"/>
        </w:rPr>
        <w:t xml:space="preserve">La Comisión de Transportación e Infraestructura, </w:t>
      </w:r>
      <w:r w:rsidR="0038221B">
        <w:rPr>
          <w:rFonts w:ascii="Book Antiqua" w:eastAsia="Book Antiqua" w:hAnsi="Book Antiqua" w:cs="Book Antiqua"/>
          <w:lang w:val="es-PR"/>
        </w:rPr>
        <w:t>l</w:t>
      </w:r>
      <w:r w:rsidR="0038221B" w:rsidRPr="0038221B">
        <w:rPr>
          <w:rFonts w:ascii="Book Antiqua" w:eastAsia="Book Antiqua" w:hAnsi="Book Antiqua" w:cs="Book Antiqua"/>
          <w:lang w:val="es-PR"/>
        </w:rPr>
        <w:t xml:space="preserve">uego de evaluar los argumentos presentados en la Exposición de Motivos, así como el memorial explicativo sometido por </w:t>
      </w:r>
      <w:r w:rsidR="0051555B">
        <w:rPr>
          <w:rFonts w:ascii="Book Antiqua" w:eastAsia="Book Antiqua" w:hAnsi="Book Antiqua" w:cs="Book Antiqua"/>
          <w:lang w:val="es-PR"/>
        </w:rPr>
        <w:t>la Autoridad de Transporte Integrado</w:t>
      </w:r>
      <w:r w:rsidR="0038221B" w:rsidRPr="0038221B">
        <w:rPr>
          <w:rFonts w:ascii="Book Antiqua" w:eastAsia="Book Antiqua" w:hAnsi="Book Antiqua" w:cs="Book Antiqua"/>
          <w:lang w:val="es-PR"/>
        </w:rPr>
        <w:t xml:space="preserve">, </w:t>
      </w:r>
      <w:r w:rsidR="00BA39A1" w:rsidRPr="00BA39A1">
        <w:rPr>
          <w:rFonts w:ascii="Book Antiqua" w:eastAsia="Book Antiqua" w:hAnsi="Book Antiqua" w:cs="Book Antiqua"/>
        </w:rPr>
        <w:t xml:space="preserve">esta Comisión </w:t>
      </w:r>
      <w:r w:rsidR="00CA4854" w:rsidRPr="00CA4854">
        <w:rPr>
          <w:rFonts w:ascii="Book Antiqua" w:eastAsia="Book Antiqua" w:hAnsi="Book Antiqua" w:cs="Book Antiqua"/>
          <w:lang w:val="es-PR"/>
        </w:rPr>
        <w:t>entiende que la aprobación de esta Resolución Conjunta es meritoria, pues reconoce y exalta la memoria de un atleta que enalteció a Puerto Rico en escenarios nacionales e internacionales. Asimismo, fomenta la conservación de la historia deportiva del país, fortaleciendo la identidad cultural y nacional.</w:t>
      </w:r>
    </w:p>
    <w:p w14:paraId="5744C945" w14:textId="216112BE" w:rsidR="009B476A" w:rsidRPr="004F1783" w:rsidRDefault="009B476A" w:rsidP="00CA4854">
      <w:pPr>
        <w:jc w:val="both"/>
        <w:rPr>
          <w:rFonts w:ascii="Book Antiqua" w:eastAsia="Book Antiqua" w:hAnsi="Book Antiqua" w:cs="Book Antiqua"/>
          <w:lang w:val="es-PR"/>
        </w:rPr>
      </w:pPr>
    </w:p>
    <w:p w14:paraId="0E332CF8" w14:textId="6E568E0F" w:rsidR="006D110C" w:rsidRPr="00700566" w:rsidRDefault="0085373F" w:rsidP="006D101B">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w:t>
      </w:r>
      <w:r w:rsidR="005941AB">
        <w:rPr>
          <w:rFonts w:ascii="Book Antiqua" w:eastAsia="Book Antiqua" w:hAnsi="Book Antiqua" w:cs="Book Antiqua"/>
        </w:rPr>
        <w:t>307</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005941AB">
        <w:rPr>
          <w:rFonts w:ascii="Book Antiqua" w:eastAsia="Book Antiqua" w:hAnsi="Book Antiqua" w:cs="Book Antiqua"/>
        </w:rPr>
        <w:t xml:space="preserve"> sin enmiendas</w:t>
      </w:r>
      <w:r w:rsidRPr="00700566">
        <w:rPr>
          <w:rFonts w:ascii="Book Antiqua" w:eastAsia="Book Antiqua" w:hAnsi="Book Antiqua" w:cs="Book Antiqua"/>
        </w:rPr>
        <w:t>.</w:t>
      </w:r>
    </w:p>
    <w:p w14:paraId="29B928C0" w14:textId="77777777" w:rsidR="006D101B" w:rsidRDefault="006D101B">
      <w:pPr>
        <w:jc w:val="both"/>
        <w:rPr>
          <w:rFonts w:ascii="Book Antiqua" w:eastAsia="Book Antiqua" w:hAnsi="Book Antiqua" w:cs="Book Antiqua"/>
        </w:rPr>
      </w:pPr>
    </w:p>
    <w:p w14:paraId="00000028" w14:textId="0994BA3B"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F28CA" w14:textId="77777777" w:rsidR="003B14C7" w:rsidRDefault="003B14C7">
      <w:r>
        <w:separator/>
      </w:r>
    </w:p>
  </w:endnote>
  <w:endnote w:type="continuationSeparator" w:id="0">
    <w:p w14:paraId="52B9618F" w14:textId="77777777" w:rsidR="003B14C7" w:rsidRDefault="003B1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8F7475B-2D53-4C46-A92B-9F9C6FB4DE3F}"/>
  </w:font>
  <w:font w:name="Helvetica">
    <w:panose1 w:val="020B0604020202020204"/>
    <w:charset w:val="00"/>
    <w:family w:val="swiss"/>
    <w:pitch w:val="variable"/>
    <w:sig w:usb0="E0002EFF" w:usb1="C000785B" w:usb2="00000009" w:usb3="00000000" w:csb0="000001FF" w:csb1="00000000"/>
    <w:embedRegular r:id="rId2" w:fontKey="{7EAD321F-A19A-4DD1-9664-31A41807BA03}"/>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7BA2672E-8510-441F-BA4D-26E57206EA72}"/>
  </w:font>
  <w:font w:name="Georgia">
    <w:panose1 w:val="02040502050405020303"/>
    <w:charset w:val="00"/>
    <w:family w:val="roman"/>
    <w:pitch w:val="variable"/>
    <w:sig w:usb0="00000287" w:usb1="00000000" w:usb2="00000000" w:usb3="00000000" w:csb0="0000009F" w:csb1="00000000"/>
    <w:embedRegular r:id="rId4" w:fontKey="{738A2A66-CDCD-4CD8-990E-5B83F3FCC66D}"/>
    <w:embedItalic r:id="rId5" w:fontKey="{8A7C40B6-22E2-47B0-AF17-5B67B044855C}"/>
  </w:font>
  <w:font w:name="Book Antiqua">
    <w:panose1 w:val="02040602050305030304"/>
    <w:charset w:val="00"/>
    <w:family w:val="roman"/>
    <w:pitch w:val="variable"/>
    <w:sig w:usb0="00000287" w:usb1="00000000" w:usb2="00000000" w:usb3="00000000" w:csb0="0000009F" w:csb1="00000000"/>
    <w:embedRegular r:id="rId6" w:fontKey="{0A6140C3-6541-47CF-A559-BE608B2ED6BB}"/>
    <w:embedBold r:id="rId7" w:fontKey="{DA44E3A5-2666-45F2-8EAD-ABCDFA4AEFC6}"/>
  </w:font>
  <w:font w:name="Helvetica Neue">
    <w:charset w:val="00"/>
    <w:family w:val="auto"/>
    <w:pitch w:val="default"/>
    <w:embedRegular r:id="rId8" w:fontKey="{EFB2104E-83D6-4A57-A33D-F12D61532C98}"/>
  </w:font>
  <w:font w:name="Lustria">
    <w:altName w:val="Calibri"/>
    <w:charset w:val="00"/>
    <w:family w:val="auto"/>
    <w:pitch w:val="default"/>
    <w:embedRegular r:id="rId9" w:fontKey="{18D6B592-87AD-4932-A846-F05B629FFFC0}"/>
    <w:embedBoldItalic r:id="rId10" w:fontKey="{F6AEA891-89AF-4B09-9F83-15EAABE294B4}"/>
  </w:font>
  <w:font w:name="Cambria">
    <w:panose1 w:val="02040503050406030204"/>
    <w:charset w:val="00"/>
    <w:family w:val="roman"/>
    <w:pitch w:val="variable"/>
    <w:sig w:usb0="E00006FF" w:usb1="420024FF" w:usb2="02000000" w:usb3="00000000" w:csb0="0000019F" w:csb1="00000000"/>
    <w:embedRegular r:id="rId11" w:fontKey="{55D74F6D-BD06-43DC-9F92-639DAEBB212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061FD" w14:textId="77777777" w:rsidR="003B14C7" w:rsidRDefault="003B14C7">
      <w:r>
        <w:separator/>
      </w:r>
    </w:p>
  </w:footnote>
  <w:footnote w:type="continuationSeparator" w:id="0">
    <w:p w14:paraId="763FFD09" w14:textId="77777777" w:rsidR="003B14C7" w:rsidRDefault="003B1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B3FBA41"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5F5740">
      <w:rPr>
        <w:rFonts w:ascii="Lustria" w:eastAsia="Lustria" w:hAnsi="Lustria" w:cs="Lustria"/>
        <w:b/>
        <w:i/>
        <w:sz w:val="22"/>
        <w:szCs w:val="22"/>
      </w:rPr>
      <w:t>307</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E20"/>
    <w:rsid w:val="000056CC"/>
    <w:rsid w:val="00011335"/>
    <w:rsid w:val="00014F74"/>
    <w:rsid w:val="0001669D"/>
    <w:rsid w:val="00022133"/>
    <w:rsid w:val="0002716B"/>
    <w:rsid w:val="000474BF"/>
    <w:rsid w:val="0005078D"/>
    <w:rsid w:val="000513EE"/>
    <w:rsid w:val="00073383"/>
    <w:rsid w:val="00074381"/>
    <w:rsid w:val="00081999"/>
    <w:rsid w:val="000954FA"/>
    <w:rsid w:val="000A24B5"/>
    <w:rsid w:val="000D0AEC"/>
    <w:rsid w:val="000D6E2D"/>
    <w:rsid w:val="00104900"/>
    <w:rsid w:val="001120D5"/>
    <w:rsid w:val="00123556"/>
    <w:rsid w:val="0012621A"/>
    <w:rsid w:val="00134FAB"/>
    <w:rsid w:val="00136F66"/>
    <w:rsid w:val="00142992"/>
    <w:rsid w:val="00166443"/>
    <w:rsid w:val="00166DBA"/>
    <w:rsid w:val="001740BA"/>
    <w:rsid w:val="001850B4"/>
    <w:rsid w:val="001A7D73"/>
    <w:rsid w:val="001B7B4C"/>
    <w:rsid w:val="001D2E22"/>
    <w:rsid w:val="001E27E2"/>
    <w:rsid w:val="001F4438"/>
    <w:rsid w:val="0022375C"/>
    <w:rsid w:val="00223F0B"/>
    <w:rsid w:val="0025299B"/>
    <w:rsid w:val="00262649"/>
    <w:rsid w:val="00291F8E"/>
    <w:rsid w:val="00294E5A"/>
    <w:rsid w:val="002D14ED"/>
    <w:rsid w:val="002F1B49"/>
    <w:rsid w:val="00330BEF"/>
    <w:rsid w:val="00333C82"/>
    <w:rsid w:val="00336056"/>
    <w:rsid w:val="00337D03"/>
    <w:rsid w:val="0036416B"/>
    <w:rsid w:val="00371165"/>
    <w:rsid w:val="0038221B"/>
    <w:rsid w:val="003867AC"/>
    <w:rsid w:val="003B14C7"/>
    <w:rsid w:val="003C7C26"/>
    <w:rsid w:val="003D5C07"/>
    <w:rsid w:val="003E1347"/>
    <w:rsid w:val="004178A7"/>
    <w:rsid w:val="0043560D"/>
    <w:rsid w:val="00451791"/>
    <w:rsid w:val="00452828"/>
    <w:rsid w:val="00454E88"/>
    <w:rsid w:val="00465ECA"/>
    <w:rsid w:val="00483EF1"/>
    <w:rsid w:val="004C1B5A"/>
    <w:rsid w:val="004D4B21"/>
    <w:rsid w:val="004F1783"/>
    <w:rsid w:val="00507562"/>
    <w:rsid w:val="0051555B"/>
    <w:rsid w:val="00515AD9"/>
    <w:rsid w:val="00517E2C"/>
    <w:rsid w:val="00523EBD"/>
    <w:rsid w:val="005416C7"/>
    <w:rsid w:val="0054777A"/>
    <w:rsid w:val="00563BA1"/>
    <w:rsid w:val="0056775D"/>
    <w:rsid w:val="00577950"/>
    <w:rsid w:val="00577FD5"/>
    <w:rsid w:val="005941AB"/>
    <w:rsid w:val="005E1146"/>
    <w:rsid w:val="005F333D"/>
    <w:rsid w:val="005F5740"/>
    <w:rsid w:val="006212C5"/>
    <w:rsid w:val="006C05D6"/>
    <w:rsid w:val="006D101B"/>
    <w:rsid w:val="006D110C"/>
    <w:rsid w:val="006D5E63"/>
    <w:rsid w:val="00700566"/>
    <w:rsid w:val="007017B9"/>
    <w:rsid w:val="00726DD5"/>
    <w:rsid w:val="007276A1"/>
    <w:rsid w:val="00734787"/>
    <w:rsid w:val="0076596B"/>
    <w:rsid w:val="00770E7B"/>
    <w:rsid w:val="00782181"/>
    <w:rsid w:val="00785D01"/>
    <w:rsid w:val="007C60D2"/>
    <w:rsid w:val="007D7D6A"/>
    <w:rsid w:val="007E0FCE"/>
    <w:rsid w:val="0080520F"/>
    <w:rsid w:val="008258F9"/>
    <w:rsid w:val="008355BE"/>
    <w:rsid w:val="008478FE"/>
    <w:rsid w:val="0085373F"/>
    <w:rsid w:val="0087061E"/>
    <w:rsid w:val="008A645B"/>
    <w:rsid w:val="008E0700"/>
    <w:rsid w:val="008E3BD0"/>
    <w:rsid w:val="008F30F0"/>
    <w:rsid w:val="009078E7"/>
    <w:rsid w:val="00914A7F"/>
    <w:rsid w:val="0094342D"/>
    <w:rsid w:val="00943961"/>
    <w:rsid w:val="00961ACD"/>
    <w:rsid w:val="00965742"/>
    <w:rsid w:val="00976D08"/>
    <w:rsid w:val="00987C5A"/>
    <w:rsid w:val="00991C8A"/>
    <w:rsid w:val="009A5A17"/>
    <w:rsid w:val="009B476A"/>
    <w:rsid w:val="009C2352"/>
    <w:rsid w:val="009F0BB7"/>
    <w:rsid w:val="00A42594"/>
    <w:rsid w:val="00A44A22"/>
    <w:rsid w:val="00A70B9C"/>
    <w:rsid w:val="00A75C45"/>
    <w:rsid w:val="00AC77D8"/>
    <w:rsid w:val="00AD5D26"/>
    <w:rsid w:val="00AF6BB6"/>
    <w:rsid w:val="00B037B5"/>
    <w:rsid w:val="00B03AA1"/>
    <w:rsid w:val="00B172FA"/>
    <w:rsid w:val="00B32650"/>
    <w:rsid w:val="00B54CC1"/>
    <w:rsid w:val="00B61637"/>
    <w:rsid w:val="00B83F9F"/>
    <w:rsid w:val="00B90788"/>
    <w:rsid w:val="00B94F42"/>
    <w:rsid w:val="00BA39A1"/>
    <w:rsid w:val="00C3772E"/>
    <w:rsid w:val="00C577BB"/>
    <w:rsid w:val="00C639E9"/>
    <w:rsid w:val="00C76CBD"/>
    <w:rsid w:val="00C86EC0"/>
    <w:rsid w:val="00C91EBF"/>
    <w:rsid w:val="00C9741A"/>
    <w:rsid w:val="00CA4854"/>
    <w:rsid w:val="00CB45A2"/>
    <w:rsid w:val="00CE31D2"/>
    <w:rsid w:val="00CE34E6"/>
    <w:rsid w:val="00CE5944"/>
    <w:rsid w:val="00D1092C"/>
    <w:rsid w:val="00D14ED7"/>
    <w:rsid w:val="00D4238A"/>
    <w:rsid w:val="00D42747"/>
    <w:rsid w:val="00D51C4E"/>
    <w:rsid w:val="00D52A5D"/>
    <w:rsid w:val="00D7350C"/>
    <w:rsid w:val="00D74285"/>
    <w:rsid w:val="00D862EE"/>
    <w:rsid w:val="00D92BD8"/>
    <w:rsid w:val="00DA0DAF"/>
    <w:rsid w:val="00DA11DC"/>
    <w:rsid w:val="00DA2B1C"/>
    <w:rsid w:val="00DA34D8"/>
    <w:rsid w:val="00DB2246"/>
    <w:rsid w:val="00DC6066"/>
    <w:rsid w:val="00DD6D1E"/>
    <w:rsid w:val="00DE6D37"/>
    <w:rsid w:val="00DE74F9"/>
    <w:rsid w:val="00DF2F20"/>
    <w:rsid w:val="00E04691"/>
    <w:rsid w:val="00E06F78"/>
    <w:rsid w:val="00E13DED"/>
    <w:rsid w:val="00E14D95"/>
    <w:rsid w:val="00E20394"/>
    <w:rsid w:val="00E27ECE"/>
    <w:rsid w:val="00E308E7"/>
    <w:rsid w:val="00E34937"/>
    <w:rsid w:val="00E606CC"/>
    <w:rsid w:val="00E611E8"/>
    <w:rsid w:val="00EB0218"/>
    <w:rsid w:val="00EC70DA"/>
    <w:rsid w:val="00ED44F1"/>
    <w:rsid w:val="00EE4DEB"/>
    <w:rsid w:val="00EE4E71"/>
    <w:rsid w:val="00F21710"/>
    <w:rsid w:val="00F2205D"/>
    <w:rsid w:val="00F42078"/>
    <w:rsid w:val="00F5452D"/>
    <w:rsid w:val="00F701DF"/>
    <w:rsid w:val="00F841A9"/>
    <w:rsid w:val="00F86041"/>
    <w:rsid w:val="00F96E64"/>
    <w:rsid w:val="00FC7C96"/>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1036</Words>
  <Characters>5907</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Kristal Rivera Sanchez</cp:lastModifiedBy>
  <cp:revision>2</cp:revision>
  <cp:lastPrinted>2025-10-02T12:45:00Z</cp:lastPrinted>
  <dcterms:created xsi:type="dcterms:W3CDTF">2026-06-08T22:00:00Z</dcterms:created>
  <dcterms:modified xsi:type="dcterms:W3CDTF">2026-06-08T22:00:00Z</dcterms:modified>
</cp:coreProperties>
</file>