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23C9F" w14:textId="77777777" w:rsidR="00B83D6B" w:rsidRPr="00B83D6B" w:rsidRDefault="00B83D6B" w:rsidP="00B83D6B">
      <w:pPr>
        <w:jc w:val="center"/>
        <w:rPr>
          <w:rFonts w:ascii="Book Antiqua" w:hAnsi="Book Antiqua"/>
          <w:b/>
          <w:bCs/>
          <w:szCs w:val="24"/>
          <w:lang w:val="es-PR"/>
        </w:rPr>
      </w:pPr>
      <w:bookmarkStart w:id="0" w:name="_Hlk138253982"/>
      <w:r w:rsidRPr="00B83D6B">
        <w:rPr>
          <w:rFonts w:ascii="Book Antiqua" w:hAnsi="Book Antiqua"/>
          <w:b/>
          <w:bCs/>
          <w:szCs w:val="24"/>
          <w:lang w:val="es-PR"/>
        </w:rPr>
        <w:t>(TEXTO DE APROBACIÓN FINAL POR LA CÁMARA)</w:t>
      </w:r>
      <w:r w:rsidRPr="00B83D6B">
        <w:rPr>
          <w:rFonts w:ascii="Book Antiqua" w:hAnsi="Book Antiqua"/>
          <w:b/>
          <w:bCs/>
          <w:szCs w:val="24"/>
          <w:lang w:val="es-PR"/>
        </w:rPr>
        <w:fldChar w:fldCharType="begin"/>
      </w:r>
      <w:r w:rsidRPr="00B83D6B">
        <w:rPr>
          <w:rFonts w:ascii="Book Antiqua" w:hAnsi="Book Antiqua"/>
          <w:b/>
          <w:bCs/>
          <w:szCs w:val="24"/>
          <w:lang w:val="es-PR"/>
        </w:rPr>
        <w:instrText xml:space="preserve">PRIVATE </w:instrText>
      </w:r>
      <w:r w:rsidRPr="00B83D6B">
        <w:rPr>
          <w:rFonts w:ascii="Book Antiqua" w:hAnsi="Book Antiqua"/>
          <w:b/>
          <w:bCs/>
          <w:szCs w:val="24"/>
          <w:lang w:val="es-PR"/>
        </w:rPr>
        <w:fldChar w:fldCharType="end"/>
      </w:r>
    </w:p>
    <w:p w14:paraId="7B7C6C8F" w14:textId="54D04CAF" w:rsidR="00B83D6B" w:rsidRPr="00B83D6B" w:rsidRDefault="00B83D6B" w:rsidP="00B83D6B">
      <w:pPr>
        <w:jc w:val="center"/>
        <w:rPr>
          <w:rFonts w:ascii="Book Antiqua" w:hAnsi="Book Antiqua"/>
          <w:b/>
          <w:bCs/>
          <w:szCs w:val="24"/>
          <w:lang w:val="es-PR"/>
        </w:rPr>
      </w:pPr>
      <w:r w:rsidRPr="00B83D6B">
        <w:rPr>
          <w:rFonts w:ascii="Book Antiqua" w:hAnsi="Book Antiqua"/>
          <w:b/>
          <w:bCs/>
          <w:szCs w:val="24"/>
          <w:lang w:val="es-PR"/>
        </w:rPr>
        <w:t>(</w:t>
      </w:r>
      <w:r w:rsidR="0046341E">
        <w:rPr>
          <w:rFonts w:ascii="Book Antiqua" w:hAnsi="Book Antiqua"/>
          <w:b/>
          <w:bCs/>
          <w:szCs w:val="24"/>
          <w:lang w:val="es-PR"/>
        </w:rPr>
        <w:t>11</w:t>
      </w:r>
      <w:r w:rsidRPr="00B83D6B">
        <w:rPr>
          <w:rFonts w:ascii="Book Antiqua" w:hAnsi="Book Antiqua"/>
          <w:b/>
          <w:bCs/>
          <w:szCs w:val="24"/>
          <w:lang w:val="es-PR"/>
        </w:rPr>
        <w:t xml:space="preserve"> DE </w:t>
      </w:r>
      <w:r w:rsidR="0046341E">
        <w:rPr>
          <w:rFonts w:ascii="Book Antiqua" w:hAnsi="Book Antiqua"/>
          <w:b/>
          <w:bCs/>
          <w:szCs w:val="24"/>
          <w:lang w:val="es-PR"/>
        </w:rPr>
        <w:t>JUNIO</w:t>
      </w:r>
      <w:r w:rsidRPr="00B83D6B">
        <w:rPr>
          <w:rFonts w:ascii="Book Antiqua" w:hAnsi="Book Antiqua"/>
          <w:b/>
          <w:bCs/>
          <w:szCs w:val="24"/>
          <w:lang w:val="es-PR"/>
        </w:rPr>
        <w:t xml:space="preserve"> DE 2026)</w:t>
      </w:r>
    </w:p>
    <w:p w14:paraId="6F5DB11E" w14:textId="3659AC0C" w:rsidR="00B83D6B" w:rsidRPr="00B83D6B" w:rsidRDefault="004078A5" w:rsidP="00B83D6B">
      <w:pPr>
        <w:jc w:val="center"/>
        <w:rPr>
          <w:rFonts w:ascii="Book Antiqua" w:hAnsi="Book Antiqua"/>
          <w:b/>
          <w:bCs/>
          <w:szCs w:val="24"/>
          <w:lang w:val="es-ES_tradnl"/>
        </w:rPr>
      </w:pPr>
      <w:r>
        <w:rPr>
          <w:rFonts w:ascii="Book Antiqua" w:hAnsi="Book Antiqua"/>
          <w:b/>
          <w:noProof/>
          <w:szCs w:val="24"/>
          <w:lang w:val="en-US"/>
        </w:rPr>
        <mc:AlternateContent>
          <mc:Choice Requires="wps">
            <w:drawing>
              <wp:anchor distT="0" distB="0" distL="114300" distR="114300" simplePos="0" relativeHeight="251657728" behindDoc="1" locked="0" layoutInCell="0" allowOverlap="1" wp14:anchorId="36E004BB" wp14:editId="2986E05A">
                <wp:simplePos x="0" y="0"/>
                <wp:positionH relativeFrom="margin">
                  <wp:posOffset>0</wp:posOffset>
                </wp:positionH>
                <wp:positionV relativeFrom="paragraph">
                  <wp:posOffset>0</wp:posOffset>
                </wp:positionV>
                <wp:extent cx="5943600" cy="22860"/>
                <wp:effectExtent l="0" t="0" r="0" b="0"/>
                <wp:wrapNone/>
                <wp:docPr id="35776695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A4508" id="Rectangle 1" o:spid="_x0000_s1026" style="position:absolute;margin-left:0;margin-top:0;width:468pt;height:1.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9D027C7" w14:textId="77777777" w:rsidR="0091241D" w:rsidRDefault="008D6AB3">
      <w:pPr>
        <w:jc w:val="center"/>
        <w:rPr>
          <w:rFonts w:ascii="Book Antiqua" w:hAnsi="Book Antiqua" w:cs="Book Antiqua"/>
          <w:sz w:val="28"/>
          <w:szCs w:val="28"/>
          <w:lang w:val="es-ES_tradnl"/>
        </w:rPr>
      </w:pPr>
      <w:r>
        <w:rPr>
          <w:rFonts w:ascii="Book Antiqua" w:hAnsi="Book Antiqua" w:cs="Book Antiqua"/>
          <w:sz w:val="28"/>
          <w:szCs w:val="28"/>
          <w:lang w:val="es-ES_tradnl"/>
        </w:rPr>
        <w:t>GOBIERNO DE PUERTO RICO</w:t>
      </w:r>
    </w:p>
    <w:p w14:paraId="69D027C8" w14:textId="77777777" w:rsidR="0091241D" w:rsidRDefault="0091241D">
      <w:pPr>
        <w:jc w:val="center"/>
        <w:rPr>
          <w:rFonts w:ascii="Book Antiqua" w:hAnsi="Book Antiqua" w:cs="Book Antiqua"/>
          <w:sz w:val="28"/>
          <w:szCs w:val="24"/>
          <w:lang w:val="es-ES_tradnl"/>
        </w:rPr>
      </w:pPr>
    </w:p>
    <w:p w14:paraId="69D027C9" w14:textId="77777777" w:rsidR="0091241D" w:rsidRPr="0046341E" w:rsidRDefault="008D6AB3">
      <w:pPr>
        <w:pStyle w:val="Title2"/>
        <w:tabs>
          <w:tab w:val="clear" w:pos="648"/>
          <w:tab w:val="clear" w:pos="7776"/>
          <w:tab w:val="clear" w:pos="7848"/>
        </w:tabs>
        <w:rPr>
          <w:lang w:val="es-PR"/>
        </w:rPr>
      </w:pPr>
      <w:r w:rsidRPr="0046341E">
        <w:rPr>
          <w:rFonts w:ascii="Book Antiqua" w:hAnsi="Book Antiqua" w:cs="Book Antiqua"/>
          <w:szCs w:val="24"/>
          <w:lang w:val="es-PR"/>
        </w:rPr>
        <w:t>20ma. Asamblea                                                                                                       3ra. Sesión</w:t>
      </w:r>
    </w:p>
    <w:p w14:paraId="69D027CA" w14:textId="77777777" w:rsidR="0091241D" w:rsidRPr="0046341E" w:rsidRDefault="008D6AB3">
      <w:pPr>
        <w:pStyle w:val="Title2"/>
        <w:tabs>
          <w:tab w:val="clear" w:pos="648"/>
          <w:tab w:val="clear" w:pos="7776"/>
          <w:tab w:val="clear" w:pos="7848"/>
        </w:tabs>
        <w:rPr>
          <w:lang w:val="es-PR"/>
        </w:rPr>
      </w:pPr>
      <w:r w:rsidRPr="0046341E">
        <w:rPr>
          <w:rFonts w:ascii="Book Antiqua" w:hAnsi="Book Antiqua" w:cs="Book Antiqua"/>
          <w:szCs w:val="24"/>
          <w:lang w:val="es-PR"/>
        </w:rPr>
        <w:t xml:space="preserve">           Legislativa</w:t>
      </w:r>
      <w:r w:rsidRPr="0046341E">
        <w:rPr>
          <w:rFonts w:ascii="Book Antiqua" w:hAnsi="Book Antiqua" w:cs="Book Antiqua"/>
          <w:szCs w:val="24"/>
          <w:lang w:val="es-PR"/>
        </w:rPr>
        <w:tab/>
      </w:r>
      <w:r w:rsidRPr="0046341E">
        <w:rPr>
          <w:rFonts w:ascii="Book Antiqua" w:hAnsi="Book Antiqua" w:cs="Book Antiqua"/>
          <w:szCs w:val="24"/>
          <w:lang w:val="es-PR"/>
        </w:rPr>
        <w:tab/>
      </w:r>
      <w:r w:rsidRPr="0046341E">
        <w:rPr>
          <w:rFonts w:ascii="Book Antiqua" w:hAnsi="Book Antiqua" w:cs="Book Antiqua"/>
          <w:szCs w:val="24"/>
          <w:lang w:val="es-PR"/>
        </w:rPr>
        <w:tab/>
      </w:r>
      <w:r w:rsidRPr="0046341E">
        <w:rPr>
          <w:rFonts w:ascii="Book Antiqua" w:hAnsi="Book Antiqua" w:cs="Book Antiqua"/>
          <w:szCs w:val="24"/>
          <w:lang w:val="es-PR"/>
        </w:rPr>
        <w:tab/>
      </w:r>
      <w:r w:rsidRPr="0046341E">
        <w:rPr>
          <w:rFonts w:ascii="Book Antiqua" w:hAnsi="Book Antiqua" w:cs="Book Antiqua"/>
          <w:szCs w:val="24"/>
          <w:lang w:val="es-PR"/>
        </w:rPr>
        <w:tab/>
      </w:r>
      <w:r w:rsidRPr="0046341E">
        <w:rPr>
          <w:rFonts w:ascii="Book Antiqua" w:hAnsi="Book Antiqua" w:cs="Book Antiqua"/>
          <w:szCs w:val="24"/>
          <w:lang w:val="es-PR"/>
        </w:rPr>
        <w:tab/>
      </w:r>
      <w:r w:rsidRPr="0046341E">
        <w:rPr>
          <w:rFonts w:ascii="Book Antiqua" w:hAnsi="Book Antiqua" w:cs="Book Antiqua"/>
          <w:szCs w:val="24"/>
          <w:lang w:val="es-PR"/>
        </w:rPr>
        <w:tab/>
      </w:r>
      <w:r w:rsidRPr="0046341E">
        <w:rPr>
          <w:rFonts w:ascii="Book Antiqua" w:hAnsi="Book Antiqua" w:cs="Book Antiqua"/>
          <w:szCs w:val="24"/>
          <w:lang w:val="es-PR"/>
        </w:rPr>
        <w:tab/>
      </w:r>
      <w:r w:rsidRPr="0046341E">
        <w:rPr>
          <w:rFonts w:ascii="Book Antiqua" w:hAnsi="Book Antiqua" w:cs="Book Antiqua"/>
          <w:szCs w:val="24"/>
          <w:lang w:val="es-PR"/>
        </w:rPr>
        <w:tab/>
        <w:t xml:space="preserve">      Ordinaria</w:t>
      </w:r>
    </w:p>
    <w:p w14:paraId="69D027CB" w14:textId="77777777" w:rsidR="0091241D" w:rsidRPr="0046341E" w:rsidRDefault="0091241D">
      <w:pPr>
        <w:rPr>
          <w:rFonts w:ascii="Book Antiqua" w:hAnsi="Book Antiqua" w:cs="Book Antiqua"/>
          <w:szCs w:val="24"/>
          <w:lang w:val="es-PR"/>
        </w:rPr>
      </w:pPr>
    </w:p>
    <w:p w14:paraId="69D027CC" w14:textId="77777777" w:rsidR="0091241D" w:rsidRDefault="008D6AB3">
      <w:pPr>
        <w:jc w:val="center"/>
      </w:pPr>
      <w:r>
        <w:rPr>
          <w:rFonts w:ascii="Book Antiqua" w:hAnsi="Book Antiqua" w:cs="Book Antiqua"/>
          <w:b/>
          <w:sz w:val="36"/>
          <w:szCs w:val="36"/>
          <w:lang w:val="es-ES_tradnl"/>
        </w:rPr>
        <w:t>CÁMARA DE REPRESENTANTES</w:t>
      </w:r>
    </w:p>
    <w:p w14:paraId="69D027CD" w14:textId="77777777" w:rsidR="0091241D" w:rsidRDefault="0091241D">
      <w:pPr>
        <w:jc w:val="center"/>
        <w:rPr>
          <w:rFonts w:ascii="Book Antiqua" w:hAnsi="Book Antiqua" w:cs="Book Antiqua"/>
          <w:b/>
          <w:sz w:val="36"/>
          <w:szCs w:val="24"/>
          <w:lang w:val="es-ES_tradnl"/>
        </w:rPr>
      </w:pPr>
    </w:p>
    <w:p w14:paraId="69D027CE" w14:textId="77777777" w:rsidR="0091241D" w:rsidRDefault="008D6AB3">
      <w:pPr>
        <w:jc w:val="center"/>
        <w:rPr>
          <w:rFonts w:ascii="Book Antiqua" w:hAnsi="Book Antiqua" w:cs="Book Antiqua"/>
          <w:b/>
          <w:sz w:val="52"/>
          <w:szCs w:val="52"/>
          <w:lang w:val="es-ES_tradnl"/>
        </w:rPr>
      </w:pPr>
      <w:r>
        <w:rPr>
          <w:rFonts w:ascii="Book Antiqua" w:hAnsi="Book Antiqua" w:cs="Book Antiqua"/>
          <w:b/>
          <w:sz w:val="52"/>
          <w:szCs w:val="52"/>
          <w:lang w:val="es-ES_tradnl"/>
        </w:rPr>
        <w:t>R. C. de la C. 308</w:t>
      </w:r>
    </w:p>
    <w:p w14:paraId="69D027CF" w14:textId="77777777" w:rsidR="0091241D" w:rsidRDefault="0091241D">
      <w:pPr>
        <w:jc w:val="center"/>
        <w:rPr>
          <w:rFonts w:ascii="Book Antiqua" w:hAnsi="Book Antiqua" w:cs="Book Antiqua"/>
          <w:b/>
          <w:sz w:val="52"/>
          <w:szCs w:val="24"/>
          <w:lang w:val="es-ES_tradnl"/>
        </w:rPr>
      </w:pPr>
    </w:p>
    <w:p w14:paraId="69D027D0" w14:textId="77777777" w:rsidR="0091241D" w:rsidRDefault="008D6AB3">
      <w:pPr>
        <w:jc w:val="center"/>
        <w:rPr>
          <w:rFonts w:ascii="Book Antiqua" w:hAnsi="Book Antiqua" w:cs="Book Antiqua"/>
          <w:szCs w:val="24"/>
          <w:lang w:val="es-ES_tradnl"/>
        </w:rPr>
      </w:pPr>
      <w:r>
        <w:rPr>
          <w:rFonts w:ascii="Book Antiqua" w:hAnsi="Book Antiqua" w:cs="Book Antiqua"/>
          <w:szCs w:val="24"/>
          <w:lang w:val="es-ES_tradnl"/>
        </w:rPr>
        <w:t xml:space="preserve"> 12 DE MARZO DE 2026</w:t>
      </w:r>
    </w:p>
    <w:p w14:paraId="69D027D1" w14:textId="77777777" w:rsidR="0091241D" w:rsidRDefault="0091241D">
      <w:pPr>
        <w:jc w:val="center"/>
        <w:rPr>
          <w:rFonts w:ascii="Book Antiqua" w:hAnsi="Book Antiqua" w:cs="Book Antiqua"/>
          <w:szCs w:val="24"/>
          <w:lang w:val="es-ES_tradnl"/>
        </w:rPr>
      </w:pPr>
    </w:p>
    <w:p w14:paraId="69D027D2" w14:textId="77777777" w:rsidR="0091241D" w:rsidRDefault="008D6AB3">
      <w:pPr>
        <w:jc w:val="center"/>
        <w:rPr>
          <w:rFonts w:ascii="Book Antiqua" w:hAnsi="Book Antiqua" w:cs="Book Antiqua"/>
          <w:i/>
          <w:szCs w:val="24"/>
          <w:lang w:val="es-ES_tradnl"/>
        </w:rPr>
      </w:pPr>
      <w:r>
        <w:rPr>
          <w:rFonts w:ascii="Book Antiqua" w:hAnsi="Book Antiqua" w:cs="Book Antiqua"/>
          <w:szCs w:val="24"/>
          <w:lang w:val="es-ES_tradnl"/>
        </w:rPr>
        <w:t>Presentada por el representante</w:t>
      </w:r>
      <w:r>
        <w:rPr>
          <w:rFonts w:ascii="Book Antiqua" w:hAnsi="Book Antiqua" w:cs="Book Antiqua"/>
          <w:i/>
          <w:szCs w:val="24"/>
          <w:lang w:val="es-ES_tradnl"/>
        </w:rPr>
        <w:t xml:space="preserve"> Colón Rodríguez </w:t>
      </w:r>
    </w:p>
    <w:p w14:paraId="69D027D3" w14:textId="77777777" w:rsidR="0091241D" w:rsidRDefault="0091241D">
      <w:pPr>
        <w:jc w:val="center"/>
        <w:rPr>
          <w:rFonts w:ascii="Book Antiqua" w:hAnsi="Book Antiqua" w:cs="Book Antiqua"/>
          <w:i/>
          <w:szCs w:val="24"/>
          <w:lang w:val="es-ES_tradnl"/>
        </w:rPr>
      </w:pPr>
    </w:p>
    <w:p w14:paraId="69D027D4" w14:textId="77777777" w:rsidR="0091241D" w:rsidRDefault="008D6AB3">
      <w:pPr>
        <w:jc w:val="center"/>
        <w:rPr>
          <w:rFonts w:ascii="Book Antiqua" w:hAnsi="Book Antiqua" w:cs="Book Antiqua"/>
          <w:szCs w:val="24"/>
          <w:lang w:val="es-ES_tradnl"/>
        </w:rPr>
      </w:pPr>
      <w:r>
        <w:rPr>
          <w:rFonts w:ascii="Book Antiqua" w:hAnsi="Book Antiqua" w:cs="Book Antiqua"/>
          <w:lang w:val="es-ES_tradnl"/>
        </w:rPr>
        <w:t>Referida a la Comisión de Agricultura</w:t>
      </w:r>
    </w:p>
    <w:p w14:paraId="69D027D5" w14:textId="77777777" w:rsidR="0091241D" w:rsidRDefault="0091241D">
      <w:pPr>
        <w:jc w:val="center"/>
        <w:rPr>
          <w:rFonts w:ascii="Book Antiqua" w:hAnsi="Book Antiqua" w:cs="Book Antiqua"/>
          <w:szCs w:val="24"/>
          <w:lang w:val="es-ES_tradnl"/>
        </w:rPr>
      </w:pPr>
    </w:p>
    <w:p w14:paraId="69D027D6" w14:textId="77777777" w:rsidR="0091241D" w:rsidRDefault="008D6AB3">
      <w:pPr>
        <w:jc w:val="center"/>
        <w:rPr>
          <w:rFonts w:ascii="Book Antiqua" w:hAnsi="Book Antiqua" w:cs="Book Antiqua"/>
          <w:b/>
          <w:sz w:val="28"/>
          <w:szCs w:val="28"/>
          <w:lang w:val="es-ES_tradnl"/>
        </w:rPr>
      </w:pPr>
      <w:r>
        <w:rPr>
          <w:rFonts w:ascii="Book Antiqua" w:hAnsi="Book Antiqua" w:cs="Book Antiqua"/>
          <w:b/>
          <w:sz w:val="28"/>
          <w:szCs w:val="28"/>
          <w:lang w:val="es-ES_tradnl"/>
        </w:rPr>
        <w:t>RESOLUCIÓN CONJUNTA</w:t>
      </w:r>
    </w:p>
    <w:p w14:paraId="69D027D7" w14:textId="77777777" w:rsidR="0091241D" w:rsidRDefault="0091241D">
      <w:pPr>
        <w:jc w:val="both"/>
        <w:rPr>
          <w:rFonts w:ascii="Book Antiqua" w:hAnsi="Book Antiqua" w:cs="Book Antiqua"/>
          <w:b/>
          <w:sz w:val="28"/>
          <w:szCs w:val="24"/>
          <w:lang w:val="es-ES_tradnl"/>
        </w:rPr>
      </w:pPr>
    </w:p>
    <w:p w14:paraId="69D027D8" w14:textId="77777777" w:rsidR="0091241D" w:rsidRDefault="008D6AB3">
      <w:pPr>
        <w:ind w:left="720" w:hanging="720"/>
        <w:jc w:val="both"/>
        <w:rPr>
          <w:rFonts w:ascii="Book Antiqua" w:hAnsi="Book Antiqua" w:cs="Book Antiqua"/>
          <w:szCs w:val="24"/>
          <w:lang w:val="es-ES_tradnl"/>
        </w:rPr>
      </w:pPr>
      <w:r>
        <w:rPr>
          <w:rFonts w:ascii="Book Antiqua" w:hAnsi="Book Antiqua" w:cs="Book Antiqua"/>
          <w:szCs w:val="24"/>
          <w:lang w:val="es-ES_tradnl"/>
        </w:rPr>
        <w:t xml:space="preserve">Para ordenar a la Autoridad de Tierras de Puerto Rico a proceder con la liberación de las condiciones y restricciones de la parcela de terreno marcada con el número DR </w:t>
      </w:r>
      <w:proofErr w:type="spellStart"/>
      <w:r>
        <w:rPr>
          <w:rFonts w:ascii="Book Antiqua" w:hAnsi="Book Antiqua" w:cs="Book Antiqua"/>
          <w:szCs w:val="24"/>
          <w:lang w:val="es-ES_tradnl"/>
        </w:rPr>
        <w:t>guión</w:t>
      </w:r>
      <w:proofErr w:type="spellEnd"/>
      <w:r>
        <w:rPr>
          <w:rFonts w:ascii="Book Antiqua" w:hAnsi="Book Antiqua" w:cs="Book Antiqua"/>
          <w:szCs w:val="24"/>
          <w:lang w:val="es-ES_tradnl"/>
        </w:rPr>
        <w:t xml:space="preserve"> ochenta y ocho (DR-88)</w:t>
      </w:r>
      <w:r>
        <w:rPr>
          <w:rFonts w:ascii="Book Antiqua" w:hAnsi="Book Antiqua" w:cs="Book Antiqua"/>
          <w:i/>
          <w:szCs w:val="24"/>
          <w:lang w:val="es-ES_tradnl"/>
        </w:rPr>
        <w:t>,</w:t>
      </w:r>
      <w:r>
        <w:rPr>
          <w:rFonts w:ascii="Book Antiqua" w:hAnsi="Book Antiqua" w:cs="Book Antiqua"/>
          <w:szCs w:val="24"/>
          <w:lang w:val="es-ES_tradnl"/>
        </w:rPr>
        <w:t xml:space="preserve"> en el Plano de Subdivisión del Proyecto Soller, sita en el Barrio Quebrada del término municipal de Camuy, Puerto Rico</w:t>
      </w:r>
      <w:r>
        <w:rPr>
          <w:rFonts w:ascii="Book Antiqua" w:hAnsi="Book Antiqua" w:cs="Book Antiqua"/>
          <w:i/>
          <w:szCs w:val="24"/>
          <w:lang w:val="es-ES_tradnl"/>
        </w:rPr>
        <w:t>,</w:t>
      </w:r>
      <w:r>
        <w:rPr>
          <w:rFonts w:ascii="Book Antiqua" w:hAnsi="Book Antiqua" w:cs="Book Antiqua"/>
          <w:szCs w:val="24"/>
          <w:lang w:val="es-ES_tradnl"/>
        </w:rPr>
        <w:t xml:space="preserve"> compuesto de veinticinco cuerdas con mil doscientas sesenta y cuatro diezmilésimas de otra (25.1264 </w:t>
      </w:r>
      <w:proofErr w:type="spellStart"/>
      <w:r>
        <w:rPr>
          <w:rFonts w:ascii="Book Antiqua" w:hAnsi="Book Antiqua" w:cs="Book Antiqua"/>
          <w:szCs w:val="24"/>
          <w:lang w:val="es-ES_tradnl"/>
        </w:rPr>
        <w:t>cdas</w:t>
      </w:r>
      <w:proofErr w:type="spellEnd"/>
      <w:r>
        <w:rPr>
          <w:rFonts w:ascii="Book Antiqua" w:hAnsi="Book Antiqua" w:cs="Book Antiqua"/>
          <w:szCs w:val="24"/>
          <w:lang w:val="es-ES_tradnl"/>
        </w:rPr>
        <w:t xml:space="preserve">.), equivalentes a noventa y ocho mil setecientos cincuenta y seis punto seis mil quinientos dieciocho metros cuadrados (98,756.6518 </w:t>
      </w:r>
      <w:proofErr w:type="spellStart"/>
      <w:r>
        <w:rPr>
          <w:rFonts w:ascii="Book Antiqua" w:hAnsi="Book Antiqua" w:cs="Book Antiqua"/>
          <w:szCs w:val="24"/>
          <w:lang w:val="es-ES_tradnl"/>
        </w:rPr>
        <w:t>mc</w:t>
      </w:r>
      <w:proofErr w:type="spellEnd"/>
      <w:r>
        <w:rPr>
          <w:rFonts w:ascii="Book Antiqua" w:hAnsi="Book Antiqua" w:cs="Book Antiqua"/>
          <w:szCs w:val="24"/>
          <w:lang w:val="es-ES_tradnl"/>
        </w:rPr>
        <w:t>) la cual  colinda por el Norte con la Finca número ochenta y siete (87); por el Sur con la Finca número ochenta y nueve (89); por el Este con camino que la separa de la finca número ochenta y tres (83) y carretera estatal número cuatrocientos cincuenta y cinco (455); y por el Oeste con la finca número ochenta y ocho (88) e Iván Martínez</w:t>
      </w:r>
      <w:r>
        <w:rPr>
          <w:rFonts w:ascii="Book Antiqua" w:hAnsi="Book Antiqua" w:cs="Book Antiqua"/>
          <w:i/>
          <w:szCs w:val="24"/>
          <w:lang w:val="es-ES_tradnl"/>
        </w:rPr>
        <w:t>,</w:t>
      </w:r>
      <w:r>
        <w:rPr>
          <w:rFonts w:ascii="Book Antiqua" w:hAnsi="Book Antiqua" w:cs="Book Antiqua"/>
          <w:szCs w:val="24"/>
          <w:lang w:val="es-ES_tradnl"/>
        </w:rPr>
        <w:t xml:space="preserve"> a los fines de permitir la segregación de esta finca a favor de los titulares; considerándose las restricciones y condiciones de uso agrícola al remanente de la finca.  </w:t>
      </w:r>
    </w:p>
    <w:p w14:paraId="69D027D9" w14:textId="77777777" w:rsidR="0091241D" w:rsidRDefault="0091241D">
      <w:pPr>
        <w:ind w:left="630" w:hanging="630"/>
        <w:jc w:val="both"/>
        <w:rPr>
          <w:rFonts w:ascii="Book Antiqua" w:hAnsi="Book Antiqua" w:cs="Book Antiqua"/>
          <w:szCs w:val="24"/>
          <w:lang w:val="es-ES_tradnl"/>
        </w:rPr>
      </w:pPr>
    </w:p>
    <w:p w14:paraId="69D027DA" w14:textId="77777777" w:rsidR="0091241D" w:rsidRDefault="008D6AB3">
      <w:pPr>
        <w:jc w:val="center"/>
      </w:pPr>
      <w:r>
        <w:rPr>
          <w:rFonts w:ascii="Book Antiqua" w:hAnsi="Book Antiqua" w:cs="Book Antiqua"/>
          <w:szCs w:val="24"/>
          <w:lang w:val="es-ES_tradnl"/>
        </w:rPr>
        <w:t>EXPOSICIÓN DE MOTIVOS</w:t>
      </w:r>
    </w:p>
    <w:p w14:paraId="69D027DB" w14:textId="77777777" w:rsidR="0091241D" w:rsidRDefault="0091241D">
      <w:pPr>
        <w:jc w:val="both"/>
        <w:rPr>
          <w:rFonts w:ascii="Book Antiqua" w:hAnsi="Book Antiqua" w:cs="Book Antiqua"/>
          <w:szCs w:val="24"/>
          <w:lang w:val="es-ES_tradnl"/>
        </w:rPr>
      </w:pPr>
    </w:p>
    <w:p w14:paraId="69D027DC" w14:textId="4373465A" w:rsidR="0091241D" w:rsidRDefault="004078A5">
      <w:pPr>
        <w:ind w:firstLine="720"/>
        <w:jc w:val="both"/>
        <w:rPr>
          <w:rFonts w:ascii="Book Antiqua" w:hAnsi="Book Antiqua" w:cs="Book Antiqua"/>
          <w:lang w:val="es-ES_tradnl"/>
        </w:rPr>
      </w:pPr>
      <w:r>
        <w:rPr>
          <w:rFonts w:ascii="Book Antiqua" w:hAnsi="Book Antiqua" w:cs="Book Antiqua"/>
          <w:szCs w:val="24"/>
          <w:lang w:val="es-ES_tradnl"/>
        </w:rPr>
        <w:t>En virtud de la Ley Núm. 5 del 7 de diciembre de 1966, se creó el Programa de Fincas Familiares</w:t>
      </w:r>
      <w:r w:rsidR="008D6AB3">
        <w:rPr>
          <w:rFonts w:ascii="Book Antiqua" w:hAnsi="Book Antiqua" w:cs="Book Antiqua"/>
          <w:szCs w:val="24"/>
          <w:lang w:val="es-ES_tradnl"/>
        </w:rPr>
        <w:t>. Esta legislación tenía como propósito el</w:t>
      </w:r>
      <w:r w:rsidR="008D6AB3">
        <w:rPr>
          <w:rFonts w:ascii="Book Antiqua" w:hAnsi="Book Antiqua" w:cs="Book Antiqua"/>
          <w:color w:val="000000"/>
          <w:szCs w:val="24"/>
          <w:lang w:val="es-ES_tradnl"/>
        </w:rPr>
        <w:t xml:space="preserve"> preservar la indivisión de las </w:t>
      </w:r>
      <w:r w:rsidR="008D6AB3">
        <w:rPr>
          <w:rFonts w:ascii="Book Antiqua" w:hAnsi="Book Antiqua" w:cs="Book Antiqua"/>
          <w:color w:val="000000"/>
          <w:szCs w:val="24"/>
          <w:lang w:val="es-ES_tradnl"/>
        </w:rPr>
        <w:lastRenderedPageBreak/>
        <w:t>unidades de producción agrícola.  C</w:t>
      </w:r>
      <w:r w:rsidR="008D6AB3">
        <w:rPr>
          <w:rFonts w:ascii="Book Antiqua" w:hAnsi="Book Antiqua" w:cs="Book Antiqua"/>
          <w:szCs w:val="24"/>
          <w:lang w:val="es-ES_tradnl"/>
        </w:rPr>
        <w:t>on la aprobación de la Ley Núm. 63 de 30 de mayo de 1973, el Programa pasó a ser administrado por la Corporación para el Desarrollo Rural (CDR)</w:t>
      </w:r>
      <w:r w:rsidR="008D6AB3">
        <w:rPr>
          <w:rFonts w:ascii="Book Antiqua" w:hAnsi="Book Antiqua" w:cs="Book Antiqua"/>
          <w:i/>
          <w:szCs w:val="24"/>
          <w:lang w:val="es-ES_tradnl"/>
        </w:rPr>
        <w:t>,</w:t>
      </w:r>
      <w:r w:rsidR="008D6AB3">
        <w:rPr>
          <w:rFonts w:ascii="Book Antiqua" w:hAnsi="Book Antiqua" w:cs="Book Antiqua"/>
          <w:szCs w:val="24"/>
          <w:lang w:val="es-ES_tradnl"/>
        </w:rPr>
        <w:t xml:space="preserve"> por lo que la facultad para realizar los mencionados negocios jurídicos recayó en el </w:t>
      </w:r>
      <w:proofErr w:type="gramStart"/>
      <w:r w:rsidR="008D6AB3">
        <w:rPr>
          <w:rFonts w:ascii="Book Antiqua" w:hAnsi="Book Antiqua" w:cs="Book Antiqua"/>
          <w:szCs w:val="24"/>
          <w:lang w:val="es-ES_tradnl"/>
        </w:rPr>
        <w:t>Director</w:t>
      </w:r>
      <w:r w:rsidR="00B83D6B">
        <w:rPr>
          <w:rFonts w:ascii="Book Antiqua" w:hAnsi="Book Antiqua" w:cs="Book Antiqua"/>
          <w:szCs w:val="24"/>
          <w:lang w:val="es-ES_tradnl"/>
        </w:rPr>
        <w:t xml:space="preserve"> </w:t>
      </w:r>
      <w:r w:rsidR="008D6AB3">
        <w:rPr>
          <w:rFonts w:ascii="Book Antiqua" w:hAnsi="Book Antiqua" w:cs="Book Antiqua"/>
          <w:szCs w:val="24"/>
          <w:lang w:val="es-ES_tradnl"/>
        </w:rPr>
        <w:t>Ejecutivo</w:t>
      </w:r>
      <w:proofErr w:type="gramEnd"/>
      <w:r w:rsidR="008D6AB3">
        <w:rPr>
          <w:rFonts w:ascii="Book Antiqua" w:hAnsi="Book Antiqua" w:cs="Book Antiqua"/>
          <w:szCs w:val="24"/>
          <w:lang w:val="es-ES_tradnl"/>
        </w:rPr>
        <w:t xml:space="preserve"> de la Corporación. No es hasta el </w:t>
      </w:r>
      <w:r>
        <w:rPr>
          <w:rFonts w:ascii="Book Antiqua" w:hAnsi="Book Antiqua" w:cs="Book Antiqua"/>
          <w:szCs w:val="24"/>
          <w:lang w:val="es-ES_tradnl"/>
        </w:rPr>
        <w:t xml:space="preserve">año </w:t>
      </w:r>
      <w:r w:rsidR="008D6AB3">
        <w:rPr>
          <w:rFonts w:ascii="Book Antiqua" w:hAnsi="Book Antiqua" w:cs="Book Antiqua"/>
          <w:szCs w:val="24"/>
          <w:lang w:val="es-ES_tradnl"/>
        </w:rPr>
        <w:t>2010</w:t>
      </w:r>
      <w:r w:rsidR="008D6AB3">
        <w:rPr>
          <w:rFonts w:ascii="Book Antiqua" w:hAnsi="Book Antiqua" w:cs="Book Antiqua"/>
          <w:i/>
          <w:szCs w:val="24"/>
          <w:lang w:val="es-ES_tradnl"/>
        </w:rPr>
        <w:t>,</w:t>
      </w:r>
      <w:r w:rsidR="008D6AB3">
        <w:rPr>
          <w:rFonts w:ascii="Book Antiqua" w:hAnsi="Book Antiqua" w:cs="Book Antiqua"/>
          <w:szCs w:val="24"/>
          <w:lang w:val="es-ES_tradnl"/>
        </w:rPr>
        <w:t xml:space="preserve"> mediante el Plan de Reorganización Núm. 4, que se </w:t>
      </w:r>
      <w:r w:rsidR="008D6AB3">
        <w:rPr>
          <w:rFonts w:ascii="Book Antiqua" w:hAnsi="Book Antiqua" w:cs="Book Antiqua"/>
          <w:lang w:val="es-ES_tradnl"/>
        </w:rPr>
        <w:t>transfiere el programa de fincas familiares a la Autoridad de Tierras.</w:t>
      </w:r>
    </w:p>
    <w:p w14:paraId="69D027DD" w14:textId="77777777" w:rsidR="0091241D" w:rsidRDefault="0091241D">
      <w:pPr>
        <w:ind w:firstLine="720"/>
        <w:jc w:val="both"/>
        <w:rPr>
          <w:rFonts w:ascii="Book Antiqua" w:hAnsi="Book Antiqua" w:cs="Book Antiqua"/>
          <w:szCs w:val="24"/>
          <w:lang w:val="es-ES_tradnl"/>
        </w:rPr>
      </w:pPr>
    </w:p>
    <w:p w14:paraId="69D027DE" w14:textId="26FFA96F" w:rsidR="0091241D" w:rsidRDefault="008D6AB3">
      <w:pPr>
        <w:ind w:firstLine="720"/>
        <w:jc w:val="both"/>
      </w:pPr>
      <w:r>
        <w:rPr>
          <w:rFonts w:ascii="Book Antiqua" w:hAnsi="Book Antiqua" w:cs="Book Antiqua"/>
          <w:szCs w:val="24"/>
          <w:lang w:val="es-ES_tradnl"/>
        </w:rPr>
        <w:t xml:space="preserve">Para salvaguardar el destino y uso agrícola de dichas fincas, se creó la Ley Núm. 107 de 3 de julio de 1974, mediante la cual se prohíbe a la Junta de Planificación que apruebe proyectos encaminados a segregar o alterar el uso de las fincas. La Exposición de Motivos de dicha </w:t>
      </w:r>
      <w:r w:rsidR="004078A5">
        <w:rPr>
          <w:rFonts w:ascii="Book Antiqua" w:hAnsi="Book Antiqua" w:cs="Book Antiqua"/>
          <w:szCs w:val="24"/>
          <w:lang w:val="es-ES_tradnl"/>
        </w:rPr>
        <w:t>L</w:t>
      </w:r>
      <w:r>
        <w:rPr>
          <w:rFonts w:ascii="Book Antiqua" w:hAnsi="Book Antiqua" w:cs="Book Antiqua"/>
          <w:szCs w:val="24"/>
          <w:lang w:val="es-ES_tradnl"/>
        </w:rPr>
        <w:t>ey</w:t>
      </w:r>
      <w:r>
        <w:rPr>
          <w:rFonts w:ascii="Book Antiqua" w:hAnsi="Book Antiqua" w:cs="Book Antiqua"/>
          <w:i/>
          <w:szCs w:val="24"/>
          <w:lang w:val="es-ES_tradnl"/>
        </w:rPr>
        <w:t>,</w:t>
      </w:r>
      <w:r>
        <w:rPr>
          <w:rFonts w:ascii="Book Antiqua" w:hAnsi="Book Antiqua" w:cs="Book Antiqua"/>
          <w:szCs w:val="24"/>
          <w:lang w:val="es-ES_tradnl"/>
        </w:rPr>
        <w:t xml:space="preserve"> sostiene como propósito el evitar que las inversiones hechas en terrenos destinados para fines agrícolas puedan ser utilizadas para otros propósitos. Sin embargo, esta prohibición no es absoluta</w:t>
      </w:r>
      <w:r>
        <w:rPr>
          <w:rFonts w:ascii="Book Antiqua" w:hAnsi="Book Antiqua" w:cs="Book Antiqua"/>
          <w:i/>
          <w:szCs w:val="24"/>
          <w:lang w:val="es-ES_tradnl"/>
        </w:rPr>
        <w:t>,</w:t>
      </w:r>
      <w:r>
        <w:rPr>
          <w:rFonts w:ascii="Book Antiqua" w:hAnsi="Book Antiqua" w:cs="Book Antiqua"/>
          <w:szCs w:val="24"/>
          <w:lang w:val="es-ES_tradnl"/>
        </w:rPr>
        <w:t xml:space="preserve"> ya que en la Ley posee varias excepciones, entre ellas cuando media autorización expresa de la Asamblea Legislativa.</w:t>
      </w:r>
    </w:p>
    <w:p w14:paraId="69D027DF" w14:textId="77777777" w:rsidR="0091241D" w:rsidRDefault="0091241D">
      <w:pPr>
        <w:ind w:firstLine="720"/>
        <w:jc w:val="both"/>
        <w:rPr>
          <w:rFonts w:ascii="Book Antiqua" w:hAnsi="Book Antiqua" w:cs="Book Antiqua"/>
          <w:szCs w:val="24"/>
          <w:lang w:val="es-ES_tradnl"/>
        </w:rPr>
      </w:pPr>
    </w:p>
    <w:p w14:paraId="69D027E0" w14:textId="3913D40D" w:rsidR="0091241D" w:rsidRDefault="008D6AB3">
      <w:pPr>
        <w:ind w:firstLine="720"/>
        <w:jc w:val="both"/>
      </w:pPr>
      <w:r>
        <w:rPr>
          <w:rFonts w:ascii="Book Antiqua" w:hAnsi="Book Antiqua" w:cs="Book Antiqua"/>
          <w:szCs w:val="24"/>
          <w:lang w:val="es-ES_tradnl"/>
        </w:rPr>
        <w:t xml:space="preserve">Mediante el Plan de Reorganización Número 4 del 29 de julio de 2010, se estableció que el Programa de Fincas Familiares de la Corporación para el Desarrollo Rural pasaría a ser parte de la Autoridad de Tierras de Puerto Rico. </w:t>
      </w:r>
    </w:p>
    <w:p w14:paraId="69D027E1" w14:textId="77777777" w:rsidR="0091241D" w:rsidRDefault="0091241D">
      <w:pPr>
        <w:ind w:firstLine="720"/>
        <w:jc w:val="both"/>
        <w:rPr>
          <w:rFonts w:ascii="Book Antiqua" w:hAnsi="Book Antiqua" w:cs="Book Antiqua"/>
          <w:szCs w:val="24"/>
          <w:lang w:val="es-ES_tradnl"/>
        </w:rPr>
      </w:pPr>
    </w:p>
    <w:p w14:paraId="69D027E2" w14:textId="3D1EEB6E" w:rsidR="0091241D" w:rsidRDefault="008D6AB3">
      <w:pPr>
        <w:ind w:firstLine="720"/>
        <w:jc w:val="both"/>
      </w:pPr>
      <w:r>
        <w:rPr>
          <w:rFonts w:ascii="Book Antiqua" w:hAnsi="Book Antiqua" w:cs="Book Antiqua"/>
          <w:szCs w:val="24"/>
          <w:lang w:val="es-ES_tradnl"/>
        </w:rPr>
        <w:t>Don David González Soto suscribió</w:t>
      </w:r>
      <w:r>
        <w:rPr>
          <w:rFonts w:ascii="Book Antiqua" w:hAnsi="Book Antiqua" w:cs="Book Antiqua"/>
          <w:i/>
          <w:szCs w:val="24"/>
          <w:lang w:val="es-ES_tradnl"/>
        </w:rPr>
        <w:t>,</w:t>
      </w:r>
      <w:r>
        <w:rPr>
          <w:rFonts w:ascii="Book Antiqua" w:hAnsi="Book Antiqua" w:cs="Book Antiqua"/>
          <w:szCs w:val="24"/>
          <w:lang w:val="es-ES_tradnl"/>
        </w:rPr>
        <w:t xml:space="preserve"> el 23 de junio de 1976</w:t>
      </w:r>
      <w:r>
        <w:rPr>
          <w:rFonts w:ascii="Book Antiqua" w:hAnsi="Book Antiqua" w:cs="Book Antiqua"/>
          <w:i/>
          <w:szCs w:val="24"/>
          <w:lang w:val="es-ES_tradnl"/>
        </w:rPr>
        <w:t>,</w:t>
      </w:r>
      <w:r>
        <w:rPr>
          <w:rFonts w:ascii="Book Antiqua" w:hAnsi="Book Antiqua" w:cs="Book Antiqua"/>
          <w:szCs w:val="24"/>
          <w:lang w:val="es-ES_tradnl"/>
        </w:rPr>
        <w:t xml:space="preserve"> un Contrato Provisional de usufructo con la extinta Corporación para el Desarrollo Rural con relación a la finca número 88 del Proyecto Soller</w:t>
      </w:r>
      <w:r>
        <w:rPr>
          <w:rFonts w:ascii="Book Antiqua" w:hAnsi="Book Antiqua" w:cs="Book Antiqua"/>
          <w:i/>
          <w:szCs w:val="24"/>
          <w:lang w:val="es-ES_tradnl"/>
        </w:rPr>
        <w:t>,</w:t>
      </w:r>
      <w:r>
        <w:rPr>
          <w:rFonts w:ascii="Book Antiqua" w:hAnsi="Book Antiqua" w:cs="Book Antiqua"/>
          <w:szCs w:val="24"/>
          <w:lang w:val="es-ES_tradnl"/>
        </w:rPr>
        <w:t xml:space="preserve"> en Camuy.  El 30 de agosto de 1982 firmó</w:t>
      </w:r>
      <w:r>
        <w:rPr>
          <w:rFonts w:ascii="Book Antiqua" w:hAnsi="Book Antiqua" w:cs="Book Antiqua"/>
          <w:i/>
          <w:szCs w:val="24"/>
          <w:lang w:val="es-ES_tradnl"/>
        </w:rPr>
        <w:t xml:space="preserve"> </w:t>
      </w:r>
      <w:r>
        <w:rPr>
          <w:rFonts w:ascii="Book Antiqua" w:hAnsi="Book Antiqua" w:cs="Book Antiqua"/>
          <w:szCs w:val="24"/>
          <w:lang w:val="es-ES_tradnl"/>
        </w:rPr>
        <w:t xml:space="preserve">otro contrato de usufructo en sustitución del anterior con respecto a la misma finca la cual se describe más adelante.  El Sr. González Soto estuvo casado con doña Myriam Luz Vélez Benítez y durante la vigencia de dicho matrimonio, el Sr. González Soto poseyó en calidad de usufructuario la finca que se describe a continuación: </w:t>
      </w:r>
    </w:p>
    <w:p w14:paraId="69D027E3" w14:textId="77777777" w:rsidR="0091241D" w:rsidRDefault="008D6AB3">
      <w:pPr>
        <w:ind w:firstLine="720"/>
        <w:jc w:val="both"/>
        <w:rPr>
          <w:rFonts w:ascii="Book Antiqua" w:hAnsi="Book Antiqua" w:cs="Book Antiqua"/>
          <w:szCs w:val="24"/>
          <w:lang w:val="es-ES_tradnl"/>
        </w:rPr>
      </w:pPr>
      <w:r>
        <w:rPr>
          <w:rFonts w:ascii="Book Antiqua" w:hAnsi="Book Antiqua" w:cs="Book Antiqua"/>
          <w:szCs w:val="24"/>
          <w:lang w:val="es-ES_tradnl"/>
        </w:rPr>
        <w:tab/>
      </w:r>
    </w:p>
    <w:p w14:paraId="69D027E4" w14:textId="0856A645" w:rsidR="0091241D" w:rsidRDefault="008D6AB3">
      <w:pPr>
        <w:ind w:firstLine="720"/>
        <w:jc w:val="both"/>
        <w:rPr>
          <w:rFonts w:ascii="Book Antiqua" w:hAnsi="Book Antiqua" w:cs="Book Antiqua"/>
          <w:szCs w:val="24"/>
          <w:lang w:val="es-ES_tradnl"/>
        </w:rPr>
      </w:pPr>
      <w:r>
        <w:rPr>
          <w:rFonts w:ascii="Book Antiqua" w:hAnsi="Book Antiqua" w:cs="Book Antiqua"/>
          <w:szCs w:val="24"/>
          <w:lang w:val="es-ES_tradnl"/>
        </w:rPr>
        <w:t>“</w:t>
      </w:r>
      <w:r w:rsidRPr="00B83D6B">
        <w:rPr>
          <w:rFonts w:ascii="Book Antiqua" w:hAnsi="Book Antiqua" w:cs="Book Antiqua"/>
          <w:iCs/>
          <w:szCs w:val="24"/>
          <w:lang w:val="es-ES_tradnl"/>
        </w:rPr>
        <w:t>RÚSTICA:</w:t>
      </w:r>
      <w:r>
        <w:rPr>
          <w:rFonts w:ascii="Book Antiqua" w:hAnsi="Book Antiqua" w:cs="Book Antiqua"/>
          <w:szCs w:val="24"/>
          <w:lang w:val="es-ES_tradnl"/>
        </w:rPr>
        <w:t xml:space="preserve"> Parcela de terreno marcada con el número DR </w:t>
      </w:r>
      <w:proofErr w:type="spellStart"/>
      <w:r>
        <w:rPr>
          <w:rFonts w:ascii="Book Antiqua" w:hAnsi="Book Antiqua" w:cs="Book Antiqua"/>
          <w:szCs w:val="24"/>
          <w:lang w:val="es-ES_tradnl"/>
        </w:rPr>
        <w:t>guión</w:t>
      </w:r>
      <w:proofErr w:type="spellEnd"/>
      <w:r>
        <w:rPr>
          <w:rFonts w:ascii="Book Antiqua" w:hAnsi="Book Antiqua" w:cs="Book Antiqua"/>
          <w:szCs w:val="24"/>
          <w:lang w:val="es-ES_tradnl"/>
        </w:rPr>
        <w:t xml:space="preserve"> ochenta y ocho (DR-88) en el Plano de Subdivisión del Proyecto Soller, sita en el Barrio Quebrada del término municipal de Camuy, Puerto Rico compuesto de veinticinco cuerdas con mil doscientas sesenta y cuatro diezmilésimas de otra (25.1264 </w:t>
      </w:r>
      <w:proofErr w:type="spellStart"/>
      <w:r>
        <w:rPr>
          <w:rFonts w:ascii="Book Antiqua" w:hAnsi="Book Antiqua" w:cs="Book Antiqua"/>
          <w:szCs w:val="24"/>
          <w:lang w:val="es-ES_tradnl"/>
        </w:rPr>
        <w:t>cdas</w:t>
      </w:r>
      <w:proofErr w:type="spellEnd"/>
      <w:r>
        <w:rPr>
          <w:rFonts w:ascii="Book Antiqua" w:hAnsi="Book Antiqua" w:cs="Book Antiqua"/>
          <w:szCs w:val="24"/>
          <w:lang w:val="es-ES_tradnl"/>
        </w:rPr>
        <w:t xml:space="preserve">.), equivalentes a noventa y ocho mil setecientos cincuenta y </w:t>
      </w:r>
      <w:proofErr w:type="gramStart"/>
      <w:r>
        <w:rPr>
          <w:rFonts w:ascii="Book Antiqua" w:hAnsi="Book Antiqua" w:cs="Book Antiqua"/>
          <w:szCs w:val="24"/>
          <w:lang w:val="es-ES_tradnl"/>
        </w:rPr>
        <w:t>seis</w:t>
      </w:r>
      <w:r w:rsidR="00B83D6B">
        <w:rPr>
          <w:rFonts w:ascii="Book Antiqua" w:hAnsi="Book Antiqua" w:cs="Book Antiqua"/>
          <w:szCs w:val="24"/>
          <w:lang w:val="es-ES_tradnl"/>
        </w:rPr>
        <w:t xml:space="preserve"> </w:t>
      </w:r>
      <w:r>
        <w:rPr>
          <w:rFonts w:ascii="Book Antiqua" w:hAnsi="Book Antiqua" w:cs="Book Antiqua"/>
          <w:szCs w:val="24"/>
          <w:lang w:val="es-ES_tradnl"/>
        </w:rPr>
        <w:t>punto</w:t>
      </w:r>
      <w:proofErr w:type="gramEnd"/>
      <w:r>
        <w:rPr>
          <w:rFonts w:ascii="Book Antiqua" w:hAnsi="Book Antiqua" w:cs="Book Antiqua"/>
          <w:szCs w:val="24"/>
          <w:lang w:val="es-ES_tradnl"/>
        </w:rPr>
        <w:t xml:space="preserve"> seis mil quinientos dieciocho metros cuadrados (98,756.6518 </w:t>
      </w:r>
      <w:proofErr w:type="spellStart"/>
      <w:r>
        <w:rPr>
          <w:rFonts w:ascii="Book Antiqua" w:hAnsi="Book Antiqua" w:cs="Book Antiqua"/>
          <w:szCs w:val="24"/>
          <w:lang w:val="es-ES_tradnl"/>
        </w:rPr>
        <w:t>mc</w:t>
      </w:r>
      <w:proofErr w:type="spellEnd"/>
      <w:r>
        <w:rPr>
          <w:rFonts w:ascii="Book Antiqua" w:hAnsi="Book Antiqua" w:cs="Book Antiqua"/>
          <w:szCs w:val="24"/>
          <w:lang w:val="es-ES_tradnl"/>
        </w:rPr>
        <w:t>).  Colinda por el Norte, con la Finca número ochenta y siete (87); por el Sur, con la Finca número ochenta y nueve (89); por el Este, con camino que la separa de la finca número ochenta y tres (83) y carretera estatal número cuatrocientos cincuenta y cinco (455); y por el Oeste, con la finca número ochenta y ocho (88) e Iván Martínez.</w:t>
      </w:r>
      <w:r w:rsidR="004078A5">
        <w:rPr>
          <w:rFonts w:ascii="Book Antiqua" w:hAnsi="Book Antiqua" w:cs="Book Antiqua"/>
          <w:szCs w:val="24"/>
          <w:lang w:val="es-ES_tradnl"/>
        </w:rPr>
        <w:t>”</w:t>
      </w:r>
    </w:p>
    <w:p w14:paraId="69D027E5" w14:textId="77777777" w:rsidR="0091241D" w:rsidRDefault="008D6AB3">
      <w:pPr>
        <w:ind w:firstLine="720"/>
        <w:jc w:val="both"/>
        <w:rPr>
          <w:rFonts w:ascii="Book Antiqua" w:hAnsi="Book Antiqua" w:cs="Book Antiqua"/>
          <w:szCs w:val="24"/>
          <w:lang w:val="es-ES_tradnl"/>
        </w:rPr>
      </w:pPr>
      <w:r>
        <w:rPr>
          <w:rFonts w:ascii="Book Antiqua" w:hAnsi="Book Antiqua" w:cs="Book Antiqua"/>
          <w:szCs w:val="24"/>
          <w:lang w:val="es-ES_tradnl"/>
        </w:rPr>
        <w:t xml:space="preserve"> </w:t>
      </w:r>
    </w:p>
    <w:p w14:paraId="69D027E6" w14:textId="448895B3" w:rsidR="0091241D" w:rsidRDefault="008D6AB3">
      <w:pPr>
        <w:ind w:firstLine="720"/>
        <w:jc w:val="both"/>
      </w:pPr>
      <w:r>
        <w:rPr>
          <w:rFonts w:ascii="Book Antiqua" w:hAnsi="Book Antiqua" w:cs="Book Antiqua"/>
          <w:szCs w:val="24"/>
          <w:lang w:val="es-ES_tradnl"/>
        </w:rPr>
        <w:t xml:space="preserve"> El 30 de diciembre de 1991 el matrimonio entre la Sra. Myriam Luz Vélez Benítez y Don David González Soto, quedó disuelto por divorcio</w:t>
      </w:r>
      <w:r>
        <w:rPr>
          <w:rFonts w:ascii="Book Antiqua" w:hAnsi="Book Antiqua" w:cs="Book Antiqua"/>
          <w:i/>
          <w:szCs w:val="24"/>
          <w:lang w:val="es-ES_tradnl"/>
        </w:rPr>
        <w:t>,</w:t>
      </w:r>
      <w:r>
        <w:rPr>
          <w:rFonts w:ascii="Book Antiqua" w:hAnsi="Book Antiqua" w:cs="Book Antiqua"/>
          <w:szCs w:val="24"/>
          <w:lang w:val="es-ES_tradnl"/>
        </w:rPr>
        <w:t xml:space="preserve"> radicándose al año siguiente una acción civil para la liquidación de la Sociedad Legal de Gananciales en el Tribunal de Primera Instancia bajo el caso número CAC 1992-0310. Debido a lo complicado del caso, las partes, en aras de resolver las controversias planteadas en el mismo, suscribieron el </w:t>
      </w:r>
      <w:r>
        <w:rPr>
          <w:rFonts w:ascii="Book Antiqua" w:hAnsi="Book Antiqua" w:cs="Book Antiqua"/>
          <w:szCs w:val="24"/>
          <w:lang w:val="es-ES_tradnl"/>
        </w:rPr>
        <w:lastRenderedPageBreak/>
        <w:t>13 de noviembre de 1996 un acuerdo o “Convenio de Transacción” mediante el cual se segregaría a favor de la Sra. Vélez Benítez el solar donde enclava la residencia principal (hasta entonces del matrimonio) teniendo dicho solar una cabida no menor de 3,000.00 metros cuadrados.  Dicha transacción entraría en efecto siempre y cuando la Corporación para el Desarrollo Rural (en adelante CDR) le impartiera su aprobación. El acuerdo presentado no fue avalado por la CDR por ser contraria al estado de derecho vigente.  A los hechos de este caso es de aplicación las disposiciones de La Ley Núm. 107 de 3 de julio de 1974, según enmendada, que prohíbe la segregación de fincas del Título VI</w:t>
      </w:r>
      <w:r>
        <w:rPr>
          <w:rFonts w:ascii="Book Antiqua" w:hAnsi="Book Antiqua" w:cs="Book Antiqua"/>
          <w:i/>
          <w:szCs w:val="24"/>
          <w:lang w:val="es-ES_tradnl"/>
        </w:rPr>
        <w:t>,</w:t>
      </w:r>
      <w:r>
        <w:rPr>
          <w:rFonts w:ascii="Book Antiqua" w:hAnsi="Book Antiqua" w:cs="Book Antiqua"/>
          <w:szCs w:val="24"/>
          <w:lang w:val="es-ES_tradnl"/>
        </w:rPr>
        <w:t xml:space="preserve"> salvo ciertas excepciones. </w:t>
      </w:r>
    </w:p>
    <w:p w14:paraId="69D027E7" w14:textId="77777777" w:rsidR="0091241D" w:rsidRDefault="0091241D">
      <w:pPr>
        <w:jc w:val="both"/>
        <w:rPr>
          <w:rFonts w:ascii="Book Antiqua" w:hAnsi="Book Antiqua" w:cs="Book Antiqua"/>
          <w:szCs w:val="24"/>
          <w:lang w:val="es-ES_tradnl"/>
        </w:rPr>
      </w:pPr>
    </w:p>
    <w:p w14:paraId="69D027E8" w14:textId="77777777" w:rsidR="0091241D" w:rsidRDefault="008D6AB3">
      <w:pPr>
        <w:ind w:firstLine="720"/>
        <w:jc w:val="both"/>
      </w:pPr>
      <w:r>
        <w:rPr>
          <w:rFonts w:ascii="Book Antiqua" w:hAnsi="Book Antiqua" w:cs="Book Antiqua"/>
          <w:szCs w:val="24"/>
          <w:lang w:val="es-ES_tradnl"/>
        </w:rPr>
        <w:t>En aras de hacer justicia y permitir que estas familias continúen residiendo en donde ha sido su comunidad por años, se estima meritorio autorizar la liberación de las restricciones impuestas por ley para autorizar la segregación de la finca antes descrita.</w:t>
      </w:r>
    </w:p>
    <w:p w14:paraId="69D027E9" w14:textId="77777777" w:rsidR="0091241D" w:rsidRDefault="0091241D">
      <w:pPr>
        <w:ind w:firstLine="284"/>
        <w:jc w:val="both"/>
        <w:rPr>
          <w:rFonts w:ascii="Book Antiqua" w:hAnsi="Book Antiqua" w:cs="Book Antiqua"/>
          <w:szCs w:val="24"/>
          <w:lang w:val="es-ES_tradnl"/>
        </w:rPr>
      </w:pPr>
    </w:p>
    <w:p w14:paraId="69D027EA" w14:textId="77777777" w:rsidR="0091241D" w:rsidRDefault="008D6AB3">
      <w:pPr>
        <w:spacing w:line="480" w:lineRule="auto"/>
        <w:rPr>
          <w:rFonts w:ascii="Book Antiqua" w:hAnsi="Book Antiqua" w:cs="Book Antiqua"/>
          <w:szCs w:val="24"/>
          <w:lang w:val="es-ES_tradnl"/>
        </w:rPr>
      </w:pPr>
      <w:r>
        <w:rPr>
          <w:rFonts w:ascii="Book Antiqua" w:hAnsi="Book Antiqua" w:cs="Book Antiqua"/>
          <w:i/>
          <w:szCs w:val="24"/>
          <w:lang w:val="es-ES_tradnl"/>
        </w:rPr>
        <w:t>RESUÉLVESE POR LA ASAMBLEA LEGISLATIVA DE PUERTO RICO</w:t>
      </w:r>
      <w:r>
        <w:rPr>
          <w:rFonts w:ascii="Book Antiqua" w:hAnsi="Book Antiqua" w:cs="Book Antiqua"/>
          <w:szCs w:val="24"/>
          <w:lang w:val="es-ES_tradnl"/>
        </w:rPr>
        <w:t>:</w:t>
      </w:r>
    </w:p>
    <w:p w14:paraId="69D027EB" w14:textId="77777777" w:rsidR="0091241D" w:rsidRDefault="0091241D">
      <w:pPr>
        <w:sectPr w:rsidR="0091241D" w:rsidSect="008D6AB3">
          <w:headerReference w:type="default" r:id="rId6"/>
          <w:headerReference w:type="first" r:id="rId7"/>
          <w:pgSz w:w="12240" w:h="15840"/>
          <w:pgMar w:top="1440" w:right="1440" w:bottom="1440" w:left="1440" w:header="720" w:footer="0" w:gutter="0"/>
          <w:cols w:space="720"/>
          <w:formProt w:val="0"/>
          <w:titlePg/>
          <w:docGrid w:linePitch="360"/>
        </w:sectPr>
      </w:pPr>
    </w:p>
    <w:p w14:paraId="69D027EC" w14:textId="617726C2" w:rsidR="0091241D" w:rsidRDefault="008D6AB3">
      <w:pPr>
        <w:spacing w:line="480" w:lineRule="auto"/>
        <w:ind w:firstLine="720"/>
        <w:jc w:val="both"/>
      </w:pPr>
      <w:r w:rsidRPr="00B83D6B">
        <w:rPr>
          <w:rFonts w:ascii="Book Antiqua" w:hAnsi="Book Antiqua" w:cs="Book Antiqua"/>
          <w:iCs/>
          <w:szCs w:val="24"/>
          <w:lang w:val="es-ES_tradnl"/>
        </w:rPr>
        <w:t>Sección 1.-Se ordena a la Autoridad</w:t>
      </w:r>
      <w:r>
        <w:rPr>
          <w:rFonts w:ascii="Book Antiqua" w:hAnsi="Book Antiqua" w:cs="Book Antiqua"/>
          <w:szCs w:val="24"/>
          <w:lang w:val="es-ES_tradnl"/>
        </w:rPr>
        <w:t xml:space="preserve"> de Tierras de Puerto Rico a proceder con la liberación de las condiciones y restricciones de la parcela de terreno marcada con el número DR </w:t>
      </w:r>
      <w:proofErr w:type="spellStart"/>
      <w:r>
        <w:rPr>
          <w:rFonts w:ascii="Book Antiqua" w:hAnsi="Book Antiqua" w:cs="Book Antiqua"/>
          <w:szCs w:val="24"/>
          <w:lang w:val="es-ES_tradnl"/>
        </w:rPr>
        <w:t>guión</w:t>
      </w:r>
      <w:proofErr w:type="spellEnd"/>
      <w:r>
        <w:rPr>
          <w:rFonts w:ascii="Book Antiqua" w:hAnsi="Book Antiqua" w:cs="Book Antiqua"/>
          <w:szCs w:val="24"/>
          <w:lang w:val="es-ES_tradnl"/>
        </w:rPr>
        <w:t xml:space="preserve"> ochenta y ocho (DR-88) en el Plano de Subdivisión del Proyecto Soller, sita en el Barrio Quebrada del término municipal de Camuy, Puerto Rico</w:t>
      </w:r>
      <w:r>
        <w:rPr>
          <w:rFonts w:ascii="Book Antiqua" w:hAnsi="Book Antiqua" w:cs="Book Antiqua"/>
          <w:i/>
          <w:szCs w:val="24"/>
          <w:lang w:val="es-ES_tradnl"/>
        </w:rPr>
        <w:t>,</w:t>
      </w:r>
      <w:r>
        <w:rPr>
          <w:rFonts w:ascii="Book Antiqua" w:hAnsi="Book Antiqua" w:cs="Book Antiqua"/>
          <w:szCs w:val="24"/>
          <w:lang w:val="es-ES_tradnl"/>
        </w:rPr>
        <w:t xml:space="preserve"> compuesto de veinticinco cuerdas con mil doscientas sesenta y cuatro diezmilésimas de otra (25.1264 </w:t>
      </w:r>
      <w:proofErr w:type="spellStart"/>
      <w:r>
        <w:rPr>
          <w:rFonts w:ascii="Book Antiqua" w:hAnsi="Book Antiqua" w:cs="Book Antiqua"/>
          <w:szCs w:val="24"/>
          <w:lang w:val="es-ES_tradnl"/>
        </w:rPr>
        <w:t>cdas</w:t>
      </w:r>
      <w:proofErr w:type="spellEnd"/>
      <w:r>
        <w:rPr>
          <w:rFonts w:ascii="Book Antiqua" w:hAnsi="Book Antiqua" w:cs="Book Antiqua"/>
          <w:szCs w:val="24"/>
          <w:lang w:val="es-ES_tradnl"/>
        </w:rPr>
        <w:t xml:space="preserve">.), equivalentes a noventa y ocho mil setecientos cincuenta y seis punto seis mil quinientos dieciocho metros cuadrados (98,756.6518 </w:t>
      </w:r>
      <w:proofErr w:type="spellStart"/>
      <w:r>
        <w:rPr>
          <w:rFonts w:ascii="Book Antiqua" w:hAnsi="Book Antiqua" w:cs="Book Antiqua"/>
          <w:szCs w:val="24"/>
          <w:lang w:val="es-ES_tradnl"/>
        </w:rPr>
        <w:t>mc</w:t>
      </w:r>
      <w:proofErr w:type="spellEnd"/>
      <w:r>
        <w:rPr>
          <w:rFonts w:ascii="Book Antiqua" w:hAnsi="Book Antiqua" w:cs="Book Antiqua"/>
          <w:szCs w:val="24"/>
          <w:lang w:val="es-ES_tradnl"/>
        </w:rPr>
        <w:t>); la cual colinda por el Norte con la Finca número ochenta y siete (87); por el Sur con la Finca número ochenta y nueve (89); por el Este con camino que la separa de la finca número ochenta y tres (83) y carretera estatal número cuatrocientos cincuenta y cinco (455); y por el Oeste con la finca número ochenta y ocho (88) e Iván Martínez</w:t>
      </w:r>
      <w:r>
        <w:rPr>
          <w:rFonts w:ascii="Book Antiqua" w:hAnsi="Book Antiqua" w:cs="Book Antiqua"/>
          <w:i/>
          <w:szCs w:val="24"/>
          <w:lang w:val="es-ES_tradnl"/>
        </w:rPr>
        <w:t>,</w:t>
      </w:r>
      <w:r>
        <w:rPr>
          <w:rFonts w:ascii="Book Antiqua" w:hAnsi="Book Antiqua" w:cs="Book Antiqua"/>
          <w:szCs w:val="24"/>
          <w:lang w:val="es-ES_tradnl"/>
        </w:rPr>
        <w:t xml:space="preserve"> a los fines de permitir la segregación de esta finca a favor de los titulares; considerándose las restricciones y condiciones de uso agrícola al remanente de la finca.  </w:t>
      </w:r>
    </w:p>
    <w:p w14:paraId="69D027ED" w14:textId="77777777" w:rsidR="0091241D" w:rsidRDefault="008D6AB3">
      <w:pPr>
        <w:spacing w:line="480" w:lineRule="auto"/>
        <w:ind w:left="-90" w:firstLine="810"/>
        <w:jc w:val="both"/>
        <w:rPr>
          <w:rFonts w:ascii="Book Antiqua" w:hAnsi="Book Antiqua" w:cs="Book Antiqua"/>
          <w:szCs w:val="24"/>
          <w:lang w:val="es-ES_tradnl"/>
        </w:rPr>
      </w:pPr>
      <w:r>
        <w:rPr>
          <w:rFonts w:ascii="Book Antiqua" w:hAnsi="Book Antiqua" w:cs="Book Antiqua"/>
          <w:szCs w:val="24"/>
          <w:lang w:val="es-ES_tradnl"/>
        </w:rPr>
        <w:lastRenderedPageBreak/>
        <w:t xml:space="preserve">Sección 2.-Esta Resolución Conjunta comenzará a regir inmediatamente después de su aprobación. </w:t>
      </w:r>
    </w:p>
    <w:sectPr w:rsidR="0091241D">
      <w:type w:val="continuous"/>
      <w:pgSz w:w="12240" w:h="15840"/>
      <w:pgMar w:top="1440" w:right="1440" w:bottom="1440" w:left="1440" w:header="720" w:footer="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DF0FB" w14:textId="77777777" w:rsidR="00B2256F" w:rsidRDefault="00B2256F">
      <w:r>
        <w:separator/>
      </w:r>
    </w:p>
  </w:endnote>
  <w:endnote w:type="continuationSeparator" w:id="0">
    <w:p w14:paraId="3491AA4C" w14:textId="77777777" w:rsidR="00B2256F" w:rsidRDefault="00B22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sig w:usb0="00000001" w:usb1="00000000" w:usb2="00000000" w:usb3="00000000" w:csb0="00000001" w:csb1="00000000"/>
  </w:font>
  <w:font w:name="DejaVu Sans">
    <w:altName w:val="Verdana"/>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Batang">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C10C0" w14:textId="77777777" w:rsidR="00B2256F" w:rsidRDefault="00B2256F">
      <w:r>
        <w:separator/>
      </w:r>
    </w:p>
  </w:footnote>
  <w:footnote w:type="continuationSeparator" w:id="0">
    <w:p w14:paraId="0AA2517C" w14:textId="77777777" w:rsidR="00B2256F" w:rsidRDefault="00B225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027EE" w14:textId="77777777" w:rsidR="0091241D" w:rsidRDefault="008D6AB3">
    <w:pPr>
      <w:pStyle w:val="Header"/>
      <w:jc w:val="center"/>
    </w:pPr>
    <w:r>
      <w:fldChar w:fldCharType="begin"/>
    </w:r>
    <w:r>
      <w:instrText xml:space="preserve"> PAGE </w:instrText>
    </w:r>
    <w:r>
      <w:fldChar w:fldCharType="separate"/>
    </w:r>
    <w:r>
      <w:t>4</w:t>
    </w:r>
    <w:r>
      <w:fldChar w:fldCharType="end"/>
    </w:r>
  </w:p>
  <w:p w14:paraId="69D027EF" w14:textId="77777777" w:rsidR="0091241D" w:rsidRDefault="0091241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027F0" w14:textId="77777777" w:rsidR="0091241D" w:rsidRDefault="009124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41D"/>
    <w:rsid w:val="00245B5D"/>
    <w:rsid w:val="00286FC3"/>
    <w:rsid w:val="004078A5"/>
    <w:rsid w:val="0046341E"/>
    <w:rsid w:val="004B44D7"/>
    <w:rsid w:val="004C39CD"/>
    <w:rsid w:val="008D6AB3"/>
    <w:rsid w:val="0091241D"/>
    <w:rsid w:val="00B2256F"/>
    <w:rsid w:val="00B4216E"/>
    <w:rsid w:val="00B83D6B"/>
    <w:rsid w:val="00BB4FE9"/>
    <w:rsid w:val="00BC2FF6"/>
    <w:rsid w:val="00C60368"/>
    <w:rsid w:val="00D04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027C6"/>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Cs w:val="20"/>
      <w:lang w:val="es-E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2">
    <w:name w:val="WW8Num1z2"/>
    <w:qFormat/>
    <w:rPr>
      <w:rFonts w:ascii="Courier New" w:hAnsi="Courier New" w:cs="Courier New"/>
    </w:rPr>
  </w:style>
  <w:style w:type="character" w:customStyle="1" w:styleId="WW8Num1z3">
    <w:name w:val="WW8Num1z3"/>
    <w:qFormat/>
    <w:rPr>
      <w:rFonts w:ascii="Wingdings" w:hAnsi="Wingdings" w:cs="Wingdings"/>
    </w:rPr>
  </w:style>
  <w:style w:type="character" w:customStyle="1" w:styleId="Fuentedeprrafopredeter1">
    <w:name w:val="Fuente de párrafo predeter.1"/>
    <w:qFormat/>
  </w:style>
  <w:style w:type="character" w:customStyle="1" w:styleId="EncabezadoCar">
    <w:name w:val="Encabezado Car"/>
    <w:qFormat/>
    <w:rPr>
      <w:rFonts w:ascii="Times New Roman" w:eastAsia="Times New Roman" w:hAnsi="Times New Roman" w:cs="Times New Roman"/>
      <w:sz w:val="24"/>
      <w:szCs w:val="20"/>
      <w:lang w:val="es-ES"/>
    </w:rPr>
  </w:style>
  <w:style w:type="character" w:styleId="PageNumber">
    <w:name w:val="page number"/>
    <w:basedOn w:val="Fuentedeprrafopredeter1"/>
  </w:style>
  <w:style w:type="character" w:customStyle="1" w:styleId="TextodegloboCar">
    <w:name w:val="Texto de globo Car"/>
    <w:qFormat/>
    <w:rPr>
      <w:rFonts w:ascii="Tahoma" w:eastAsia="Times New Roman" w:hAnsi="Tahoma" w:cs="Tahoma"/>
      <w:sz w:val="16"/>
      <w:szCs w:val="16"/>
      <w:lang w:val="es-ES"/>
    </w:rPr>
  </w:style>
  <w:style w:type="character" w:styleId="LineNumber">
    <w:name w:val="line number"/>
    <w:basedOn w:val="Fuentedeprrafopredeter1"/>
  </w:style>
  <w:style w:type="character" w:customStyle="1" w:styleId="PiedepginaCar">
    <w:name w:val="Pie de página Car"/>
    <w:qFormat/>
    <w:rPr>
      <w:rFonts w:ascii="Times New Roman" w:eastAsia="Times New Roman" w:hAnsi="Times New Roman" w:cs="Times New Roman"/>
      <w:sz w:val="24"/>
      <w:szCs w:val="20"/>
      <w:lang w:val="es-ES"/>
    </w:rPr>
  </w:style>
  <w:style w:type="paragraph" w:customStyle="1" w:styleId="Heading">
    <w:name w:val="Heading"/>
    <w:basedOn w:val="Normal"/>
    <w:next w:val="BodyText"/>
    <w:qFormat/>
    <w:pPr>
      <w:keepNext/>
      <w:spacing w:before="240" w:after="120"/>
    </w:pPr>
    <w:rPr>
      <w:rFonts w:ascii="Liberation Sans" w:eastAsia="DejaVu Sans"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customStyle="1" w:styleId="Textodeglobo1">
    <w:name w:val="Texto de globo1"/>
    <w:basedOn w:val="Normal"/>
    <w:qFormat/>
    <w:rPr>
      <w:rFonts w:ascii="Tahoma" w:hAnsi="Tahoma" w:cs="Tahoma"/>
      <w:sz w:val="16"/>
      <w:szCs w:val="16"/>
    </w:rPr>
  </w:style>
  <w:style w:type="paragraph" w:styleId="Footer">
    <w:name w:val="footer"/>
    <w:basedOn w:val="Normal"/>
    <w:pPr>
      <w:tabs>
        <w:tab w:val="center" w:pos="4680"/>
        <w:tab w:val="right" w:pos="9360"/>
      </w:tabs>
    </w:pPr>
  </w:style>
  <w:style w:type="paragraph" w:customStyle="1" w:styleId="Title2">
    <w:name w:val="Title2"/>
    <w:basedOn w:val="Normal"/>
    <w:next w:val="Normal"/>
    <w:qFormat/>
    <w:pPr>
      <w:tabs>
        <w:tab w:val="left" w:pos="648"/>
        <w:tab w:val="right" w:pos="7776"/>
        <w:tab w:val="left" w:pos="7848"/>
      </w:tabs>
    </w:pPr>
    <w:rPr>
      <w:rFonts w:eastAsia="Batang"/>
      <w:lang w:val="en-US"/>
    </w:rP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1074</Words>
  <Characters>5910</Characters>
  <Application>Microsoft Office Word</Application>
  <DocSecurity>4</DocSecurity>
  <Lines>49</Lines>
  <Paragraphs>13</Paragraphs>
  <ScaleCrop>false</ScaleCrop>
  <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T. Quintana</dc:creator>
  <cp:keywords/>
  <dc:description/>
  <cp:lastModifiedBy>Gloria de Jesús Maldonado</cp:lastModifiedBy>
  <cp:revision>2</cp:revision>
  <cp:lastPrinted>2026-06-11T17:22:00Z</cp:lastPrinted>
  <dcterms:created xsi:type="dcterms:W3CDTF">2026-06-11T21:53:00Z</dcterms:created>
  <dcterms:modified xsi:type="dcterms:W3CDTF">2026-06-11T21:53:00Z</dcterms:modified>
  <dc:language>en-US</dc:language>
</cp:coreProperties>
</file>