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84374" w14:textId="77777777" w:rsidR="004A3521" w:rsidRPr="009D2B0E" w:rsidRDefault="00952957">
      <w:pPr>
        <w:jc w:val="center"/>
        <w:rPr>
          <w:lang w:val="es-ES"/>
        </w:rPr>
      </w:pPr>
      <w:r w:rsidRPr="009D2B0E">
        <w:rPr>
          <w:b/>
          <w:bCs/>
          <w:sz w:val="28"/>
          <w:szCs w:val="28"/>
          <w:lang w:val="es-ES"/>
        </w:rPr>
        <w:t>GOBIERNO DE PUERTO RICO</w:t>
      </w:r>
    </w:p>
    <w:p w14:paraId="02784375" w14:textId="77777777" w:rsidR="004A3521" w:rsidRPr="009D2B0E" w:rsidRDefault="004A3521">
      <w:pPr>
        <w:rPr>
          <w:lang w:val="es-ES"/>
        </w:rPr>
      </w:pPr>
    </w:p>
    <w:p w14:paraId="02784376" w14:textId="77777777" w:rsidR="004A3521" w:rsidRPr="009D2B0E" w:rsidRDefault="00952957">
      <w:pPr>
        <w:tabs>
          <w:tab w:val="right" w:pos="9026"/>
        </w:tabs>
        <w:rPr>
          <w:lang w:val="es-ES"/>
        </w:rPr>
      </w:pPr>
      <w:r w:rsidRPr="009D2B0E">
        <w:rPr>
          <w:lang w:val="es-ES"/>
        </w:rPr>
        <w:t>20</w:t>
      </w:r>
      <w:r w:rsidRPr="009D2B0E">
        <w:rPr>
          <w:vertAlign w:val="superscript"/>
          <w:lang w:val="es-ES"/>
        </w:rPr>
        <w:t>ma.</w:t>
      </w:r>
      <w:r w:rsidRPr="009D2B0E">
        <w:rPr>
          <w:lang w:val="es-ES"/>
        </w:rPr>
        <w:t xml:space="preserve"> Asamblea</w:t>
      </w:r>
      <w:r w:rsidRPr="009D2B0E">
        <w:rPr>
          <w:lang w:val="es-ES"/>
        </w:rPr>
        <w:tab/>
        <w:t>3</w:t>
      </w:r>
      <w:r w:rsidRPr="009D2B0E">
        <w:rPr>
          <w:vertAlign w:val="superscript"/>
          <w:lang w:val="es-ES"/>
        </w:rPr>
        <w:t>ra.</w:t>
      </w:r>
      <w:r w:rsidRPr="009D2B0E">
        <w:rPr>
          <w:lang w:val="es-ES"/>
        </w:rPr>
        <w:t xml:space="preserve"> Sesión</w:t>
      </w:r>
    </w:p>
    <w:p w14:paraId="02784377" w14:textId="77777777" w:rsidR="004A3521" w:rsidRPr="009D2B0E" w:rsidRDefault="00952957">
      <w:pPr>
        <w:tabs>
          <w:tab w:val="right" w:pos="9026"/>
        </w:tabs>
        <w:rPr>
          <w:lang w:val="es-ES"/>
        </w:rPr>
      </w:pPr>
      <w:r w:rsidRPr="009D2B0E">
        <w:rPr>
          <w:lang w:val="es-ES"/>
        </w:rPr>
        <w:t>Legislativa</w:t>
      </w:r>
      <w:r w:rsidRPr="009D2B0E">
        <w:rPr>
          <w:lang w:val="es-ES"/>
        </w:rPr>
        <w:tab/>
        <w:t>Ordinaria</w:t>
      </w:r>
    </w:p>
    <w:p w14:paraId="02784378" w14:textId="77777777" w:rsidR="004A3521" w:rsidRPr="009D2B0E" w:rsidRDefault="004A3521">
      <w:pPr>
        <w:rPr>
          <w:lang w:val="es-ES"/>
        </w:rPr>
      </w:pPr>
    </w:p>
    <w:p w14:paraId="02784379" w14:textId="77777777" w:rsidR="004A3521" w:rsidRPr="009D2B0E" w:rsidRDefault="00952957">
      <w:pPr>
        <w:jc w:val="center"/>
        <w:rPr>
          <w:lang w:val="es-ES"/>
        </w:rPr>
      </w:pPr>
      <w:r w:rsidRPr="009D2B0E">
        <w:rPr>
          <w:b/>
          <w:bCs/>
          <w:sz w:val="36"/>
          <w:szCs w:val="36"/>
          <w:lang w:val="es-ES"/>
        </w:rPr>
        <w:t>CÁMARA DE REPRESENTANTES</w:t>
      </w:r>
    </w:p>
    <w:p w14:paraId="0278437A" w14:textId="77777777" w:rsidR="004A3521" w:rsidRPr="009D2B0E" w:rsidRDefault="004A3521">
      <w:pPr>
        <w:rPr>
          <w:lang w:val="es-ES"/>
        </w:rPr>
      </w:pPr>
    </w:p>
    <w:p w14:paraId="0278437B" w14:textId="77777777" w:rsidR="004A3521" w:rsidRPr="009D2B0E" w:rsidRDefault="00952957">
      <w:pPr>
        <w:jc w:val="center"/>
        <w:rPr>
          <w:lang w:val="es-ES"/>
        </w:rPr>
      </w:pPr>
      <w:r w:rsidRPr="009D2B0E">
        <w:rPr>
          <w:b/>
          <w:bCs/>
          <w:sz w:val="52"/>
          <w:szCs w:val="52"/>
          <w:lang w:val="es-ES"/>
        </w:rPr>
        <w:t>R. C. de la C. 308</w:t>
      </w:r>
    </w:p>
    <w:p w14:paraId="0278437C" w14:textId="77777777" w:rsidR="004A3521" w:rsidRPr="009D2B0E" w:rsidRDefault="004A3521">
      <w:pPr>
        <w:rPr>
          <w:lang w:val="es-ES"/>
        </w:rPr>
      </w:pPr>
    </w:p>
    <w:p w14:paraId="0278437D" w14:textId="77777777" w:rsidR="004A3521" w:rsidRPr="009D2B0E" w:rsidRDefault="00952957">
      <w:pPr>
        <w:jc w:val="center"/>
        <w:rPr>
          <w:lang w:val="es-ES"/>
        </w:rPr>
      </w:pPr>
      <w:r w:rsidRPr="009D2B0E">
        <w:rPr>
          <w:b/>
          <w:bCs/>
          <w:sz w:val="28"/>
          <w:szCs w:val="28"/>
          <w:lang w:val="es-ES"/>
        </w:rPr>
        <w:t>INFORME POSITIVO</w:t>
      </w:r>
    </w:p>
    <w:p w14:paraId="0278437E" w14:textId="77777777" w:rsidR="004A3521" w:rsidRPr="009D2B0E" w:rsidRDefault="004A3521">
      <w:pPr>
        <w:rPr>
          <w:lang w:val="es-ES"/>
        </w:rPr>
      </w:pPr>
    </w:p>
    <w:p w14:paraId="0278437F" w14:textId="2405646C" w:rsidR="004A3521" w:rsidRPr="009D2B0E" w:rsidRDefault="00AD03A3">
      <w:pPr>
        <w:jc w:val="center"/>
        <w:rPr>
          <w:lang w:val="es-ES"/>
        </w:rPr>
      </w:pPr>
      <w:r>
        <w:rPr>
          <w:b/>
          <w:bCs/>
          <w:lang w:val="es-ES"/>
        </w:rPr>
        <w:t xml:space="preserve">8 </w:t>
      </w:r>
      <w:r w:rsidR="00952957">
        <w:rPr>
          <w:b/>
          <w:bCs/>
          <w:lang w:val="es-ES"/>
        </w:rPr>
        <w:t>DE JUNIO DE 2026</w:t>
      </w:r>
    </w:p>
    <w:p w14:paraId="02784380" w14:textId="77777777" w:rsidR="004A3521" w:rsidRPr="009D2B0E" w:rsidRDefault="004A3521">
      <w:pPr>
        <w:rPr>
          <w:lang w:val="es-ES"/>
        </w:rPr>
      </w:pPr>
    </w:p>
    <w:p w14:paraId="02784381" w14:textId="77777777" w:rsidR="004A3521" w:rsidRPr="009D2B0E" w:rsidRDefault="004A3521">
      <w:pPr>
        <w:rPr>
          <w:lang w:val="es-ES"/>
        </w:rPr>
      </w:pPr>
    </w:p>
    <w:p w14:paraId="02784382" w14:textId="77777777" w:rsidR="004A3521" w:rsidRPr="009D2B0E" w:rsidRDefault="00952957">
      <w:pPr>
        <w:spacing w:after="200"/>
        <w:jc w:val="both"/>
        <w:rPr>
          <w:lang w:val="es-ES"/>
        </w:rPr>
      </w:pPr>
      <w:r w:rsidRPr="009D2B0E">
        <w:rPr>
          <w:b/>
          <w:bCs/>
          <w:lang w:val="es-ES"/>
        </w:rPr>
        <w:t>A LA CÁMARA DE REPRESENTANTES DE PUERTO RICO:</w:t>
      </w:r>
    </w:p>
    <w:p w14:paraId="02784383" w14:textId="77777777" w:rsidR="004A3521" w:rsidRPr="009D2B0E" w:rsidRDefault="004A3521">
      <w:pPr>
        <w:rPr>
          <w:lang w:val="es-ES"/>
        </w:rPr>
      </w:pPr>
    </w:p>
    <w:p w14:paraId="02784384" w14:textId="77777777" w:rsidR="004A3521" w:rsidRPr="009D2B0E" w:rsidRDefault="00952957">
      <w:pPr>
        <w:spacing w:after="200"/>
        <w:ind w:firstLine="720"/>
        <w:jc w:val="both"/>
        <w:rPr>
          <w:lang w:val="es-ES"/>
        </w:rPr>
      </w:pPr>
      <w:r w:rsidRPr="00D02679">
        <w:rPr>
          <w:lang w:val="es-419"/>
        </w:rPr>
        <w:t xml:space="preserve">La </w:t>
      </w:r>
      <w:r w:rsidRPr="00D02679">
        <w:rPr>
          <w:b/>
          <w:lang w:val="es-419"/>
        </w:rPr>
        <w:t>Comisión de Agricultura de la Cámara de Representantes del Gobierno de Puerto Rico</w:t>
      </w:r>
      <w:r w:rsidRPr="00D02679">
        <w:rPr>
          <w:lang w:val="es-419"/>
        </w:rPr>
        <w:t xml:space="preserve">, previo estudio y consideración de la </w:t>
      </w:r>
      <w:r w:rsidRPr="00D02679">
        <w:rPr>
          <w:b/>
          <w:lang w:val="es-419"/>
        </w:rPr>
        <w:t>Resolución Conjunta de la Cámara 308</w:t>
      </w:r>
      <w:r w:rsidRPr="00D02679">
        <w:rPr>
          <w:lang w:val="es-419"/>
        </w:rPr>
        <w:t xml:space="preserve">, tiene el honor de recomendar a este Honorable Cuerpo Legislativo su </w:t>
      </w:r>
      <w:r w:rsidRPr="00D02679">
        <w:rPr>
          <w:b/>
          <w:lang w:val="es-419"/>
        </w:rPr>
        <w:t xml:space="preserve">aprobación, con las enmiendas contenidas en el </w:t>
      </w:r>
      <w:proofErr w:type="spellStart"/>
      <w:r w:rsidRPr="00D02679">
        <w:rPr>
          <w:b/>
          <w:lang w:val="es-419"/>
        </w:rPr>
        <w:t>entirillado</w:t>
      </w:r>
      <w:proofErr w:type="spellEnd"/>
      <w:r w:rsidRPr="00D02679">
        <w:rPr>
          <w:b/>
          <w:lang w:val="es-419"/>
        </w:rPr>
        <w:t xml:space="preserve"> electrónico que le acompaña.</w:t>
      </w:r>
    </w:p>
    <w:p w14:paraId="02784385" w14:textId="77777777" w:rsidR="004A3521" w:rsidRPr="009D2B0E" w:rsidRDefault="00952957" w:rsidP="00952957">
      <w:pPr>
        <w:spacing w:before="320" w:after="200"/>
        <w:jc w:val="center"/>
        <w:rPr>
          <w:lang w:val="es-ES"/>
        </w:rPr>
      </w:pPr>
      <w:r w:rsidRPr="009D2B0E">
        <w:rPr>
          <w:b/>
          <w:bCs/>
          <w:caps/>
          <w:lang w:val="es-ES"/>
        </w:rPr>
        <w:t>Alcance de la Medida</w:t>
      </w:r>
    </w:p>
    <w:p w14:paraId="02784386" w14:textId="77777777" w:rsidR="004A3521" w:rsidRPr="009D2B0E" w:rsidRDefault="00952957">
      <w:pPr>
        <w:spacing w:after="200"/>
        <w:ind w:firstLine="720"/>
        <w:jc w:val="both"/>
        <w:rPr>
          <w:lang w:val="es-ES"/>
        </w:rPr>
      </w:pPr>
      <w:r w:rsidRPr="009D2B0E">
        <w:rPr>
          <w:lang w:val="es-ES"/>
        </w:rPr>
        <w:t>La Resolución Conjunta de la Cámara 308 ordena a la Autoridad de Tierras de Puerto Rico a proceder con la liberación de las condiciones y restricciones de la parcela de terreno marcada con el número DR-88 en el Plano de Subdivisión del Proyecto Soller, sita en el Barrio Quebrada del término municipal de Camuy, Puerto Rico, compuesta de 25.1264 cuerdas, equivalentes a 98,756.6518 metros cuadrados, a los fines de permitir la segregación de esta finca a favor de los titulares, considerándose las restricciones y condiciones de uso agrícola al remanente de la finca.</w:t>
      </w:r>
    </w:p>
    <w:p w14:paraId="02784387" w14:textId="77777777" w:rsidR="004A3521" w:rsidRPr="009D2B0E" w:rsidRDefault="00952957" w:rsidP="00952957">
      <w:pPr>
        <w:spacing w:before="320" w:after="200"/>
        <w:jc w:val="center"/>
        <w:rPr>
          <w:lang w:val="es-ES"/>
        </w:rPr>
      </w:pPr>
      <w:r w:rsidRPr="009D2B0E">
        <w:rPr>
          <w:b/>
          <w:bCs/>
          <w:caps/>
          <w:lang w:val="es-ES"/>
        </w:rPr>
        <w:t>Análisis de la Medida</w:t>
      </w:r>
    </w:p>
    <w:p w14:paraId="02784388" w14:textId="77777777" w:rsidR="004A3521" w:rsidRPr="009D2B0E" w:rsidRDefault="00952957">
      <w:pPr>
        <w:spacing w:after="200"/>
        <w:ind w:firstLine="720"/>
        <w:jc w:val="both"/>
        <w:rPr>
          <w:lang w:val="es-ES"/>
        </w:rPr>
      </w:pPr>
      <w:r w:rsidRPr="009D2B0E">
        <w:rPr>
          <w:lang w:val="es-ES"/>
        </w:rPr>
        <w:t xml:space="preserve">La Ley Núm. 107 de 3 de julio de 1974, según enmendada, creó el Programa de Fincas de Tipo Familiar, conocido como “Título VI de la Ley de Tierras”, para establecer las condiciones y restricciones de no segregación ni cambio de uso agrícola a las fincas adscritas a dicho Programa. Conforme a dicha disposición legal, el Secretario de Agricultura está facultado para disponer de terrenos para uso agrícola mediante cesión, venta, arrendamiento o donación, bajo una serie de condiciones y restricciones que incluyen prohibiciones de segregación y de cambio de uso agrícola. Mediante el Plan de Reorganización Núm. 4 de 29 de julio de 2010, la administración del Programa de Fincas </w:t>
      </w:r>
      <w:r w:rsidRPr="009D2B0E">
        <w:rPr>
          <w:lang w:val="es-ES"/>
        </w:rPr>
        <w:lastRenderedPageBreak/>
        <w:t>de Tipo Familiar fue transferida de la Corporación para el Desarrollo Rural de Puerto Rico a la Autoridad de Tierras de Puerto Rico. La propia Ley Núm. 107, en su Artículo 3, reconoce la facultad inherente de la Asamblea Legislativa para ordenar la liberación de dichas restricciones en aquellos casos que estime meritorio.</w:t>
      </w:r>
    </w:p>
    <w:p w14:paraId="02784389" w14:textId="77777777" w:rsidR="004A3521" w:rsidRPr="009D2B0E" w:rsidRDefault="00952957">
      <w:pPr>
        <w:spacing w:after="200"/>
        <w:ind w:firstLine="720"/>
        <w:jc w:val="both"/>
        <w:rPr>
          <w:lang w:val="es-ES"/>
        </w:rPr>
      </w:pPr>
      <w:r w:rsidRPr="009D2B0E">
        <w:rPr>
          <w:lang w:val="es-ES"/>
        </w:rPr>
        <w:t>Surge de la medida que don David González Soto suscribió, el 23 de junio de 1976, un Contrato Provisional de Usufructo con la extinta Corporación para el Desarrollo Rural con relación a la finca número 88 del Proyecto Soller, en Camuy, sustituido el 30 de agosto de 1982 por otro contrato de usufructo sobre la misma finca. La parcela DR-88 colinda por el Norte con la finca número 87; por el Sur con la finca número 89; por el Este con camino que la separa de la finca número 83 y la carretera estatal número 455; y por el Oeste con la finca número 88 y terrenos de Iván Martínez.</w:t>
      </w:r>
    </w:p>
    <w:p w14:paraId="0278438A" w14:textId="77777777" w:rsidR="004A3521" w:rsidRPr="009D2B0E" w:rsidRDefault="00952957">
      <w:pPr>
        <w:spacing w:after="200"/>
        <w:ind w:firstLine="720"/>
        <w:jc w:val="both"/>
        <w:rPr>
          <w:lang w:val="es-ES"/>
        </w:rPr>
      </w:pPr>
      <w:r w:rsidRPr="009D2B0E">
        <w:rPr>
          <w:lang w:val="es-ES"/>
        </w:rPr>
        <w:t>En su origen, la finalidad del Programa de Fincas de Tipo Familiar era promover la agricultura en pequeños predios. No obstante, a lo largo de más de cuatro décadas de cambios sociales, económicos y demográficos en Puerto Rico, los hijos de los titulares originales necesitaron un lugar donde vivir y desarrollarse, ampliando el entorno mediante el establecimiento de comunidades en dichas tierras. Hoy, en muchos casos, los terrenos han dejado de tener un fin exclusivamente agrícola y se han convertido en el hogar de los titulares y sus familias, surgiendo la necesidad de atemperar la realidad registral con la realidad física y social existente.</w:t>
      </w:r>
    </w:p>
    <w:p w14:paraId="0278438B" w14:textId="77777777" w:rsidR="004A3521" w:rsidRPr="009D2B0E" w:rsidRDefault="00952957">
      <w:pPr>
        <w:spacing w:after="200"/>
        <w:ind w:firstLine="720"/>
        <w:jc w:val="both"/>
        <w:rPr>
          <w:lang w:val="es-ES"/>
        </w:rPr>
      </w:pPr>
      <w:r w:rsidRPr="009D2B0E">
        <w:rPr>
          <w:lang w:val="es-ES"/>
        </w:rPr>
        <w:t>En el caso particular ante nuestra consideración, disuelto por divorcio en 1991 el matrimonio entre don David González Soto y doña Myriam Luz Vélez Benítez, las partes suscribieron en 1996 un Convenio de Transacción en el caso civil número CAC 1992-0310 para segregar el solar donde enclava la residencia principal, el cual no fue avalado por la Corporación para el Desarrollo Rural por ser contrario al estado de derecho entonces vigente. Los actuales titulares y poseedores han solicitado la segregación de la finca antes descrita, a los fines de que estas familias puedan continuar residiendo en donde ha sido su comunidad por años.</w:t>
      </w:r>
    </w:p>
    <w:p w14:paraId="0278438C" w14:textId="77777777" w:rsidR="004A3521" w:rsidRPr="009D2B0E" w:rsidRDefault="00952957" w:rsidP="00952957">
      <w:pPr>
        <w:spacing w:before="240" w:after="100"/>
        <w:jc w:val="center"/>
        <w:rPr>
          <w:lang w:val="es-ES"/>
        </w:rPr>
      </w:pPr>
      <w:r w:rsidRPr="009D2B0E">
        <w:rPr>
          <w:b/>
          <w:bCs/>
          <w:lang w:val="es-ES"/>
        </w:rPr>
        <w:t>Autoridad de Tierras de Puerto Rico</w:t>
      </w:r>
    </w:p>
    <w:p w14:paraId="0278438D" w14:textId="77777777" w:rsidR="004A3521" w:rsidRPr="009D2B0E" w:rsidRDefault="00952957">
      <w:pPr>
        <w:spacing w:after="200"/>
        <w:ind w:firstLine="720"/>
        <w:jc w:val="both"/>
        <w:rPr>
          <w:lang w:val="es-ES"/>
        </w:rPr>
      </w:pPr>
      <w:r w:rsidRPr="009D2B0E">
        <w:rPr>
          <w:lang w:val="es-ES"/>
        </w:rPr>
        <w:t>Es de conocimiento de esta Comisión que la Autoridad de Tierras de Puerto Rico (en adelante, “ATPR”), corporación pública adscrita al Departamento de Agricultura, creada al amparo de la Ley Núm. 26 de 12 de abril de 1941, según enmendada, conocida como “Ley de Tierras de Puerto Rico”,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0278438E" w14:textId="77777777" w:rsidR="004A3521" w:rsidRPr="009D2B0E" w:rsidRDefault="00952957">
      <w:pPr>
        <w:spacing w:after="200"/>
        <w:ind w:firstLine="720"/>
        <w:jc w:val="both"/>
        <w:rPr>
          <w:lang w:val="es-ES"/>
        </w:rPr>
      </w:pPr>
      <w:r w:rsidRPr="009D2B0E">
        <w:rPr>
          <w:lang w:val="es-ES"/>
        </w:rPr>
        <w:t xml:space="preserve">La ATPR fundamenta dicha postura en que, según disponen la Ley Núm. 177 de 23 de octubre de 2014 y la Ley Núm. 113 de 29 de julio de 2024, su agencia se encuentra impedida legalmente de aprobar segregaciones a segundos y/o terceros titulares en </w:t>
      </w:r>
      <w:r w:rsidRPr="009D2B0E">
        <w:rPr>
          <w:lang w:val="es-ES"/>
        </w:rPr>
        <w:lastRenderedPageBreak/>
        <w:t>fincas que fueron obtenidas bajo el Título VI, dado que sus titulares aceptaron las condiciones y restricciones de forma libre y voluntaria.</w:t>
      </w:r>
    </w:p>
    <w:p w14:paraId="0278438F" w14:textId="77777777" w:rsidR="004A3521" w:rsidRPr="009D2B0E" w:rsidRDefault="00952957">
      <w:pPr>
        <w:spacing w:after="200"/>
        <w:ind w:firstLine="720"/>
        <w:jc w:val="both"/>
        <w:rPr>
          <w:lang w:val="es-ES"/>
        </w:rPr>
      </w:pPr>
      <w:r w:rsidRPr="009D2B0E">
        <w:rPr>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02784390" w14:textId="77777777" w:rsidR="004A3521" w:rsidRPr="009D2B0E" w:rsidRDefault="00952957">
      <w:pPr>
        <w:spacing w:after="200"/>
        <w:ind w:firstLine="720"/>
        <w:jc w:val="both"/>
        <w:rPr>
          <w:lang w:val="es-ES"/>
        </w:rPr>
      </w:pPr>
      <w:r w:rsidRPr="009D2B0E">
        <w:rPr>
          <w:lang w:val="es-ES"/>
        </w:rPr>
        <w:t xml:space="preserve">No </w:t>
      </w:r>
      <w:proofErr w:type="gramStart"/>
      <w:r w:rsidRPr="009D2B0E">
        <w:rPr>
          <w:lang w:val="es-ES"/>
        </w:rPr>
        <w:t>obstante</w:t>
      </w:r>
      <w:proofErr w:type="gramEnd"/>
      <w:r w:rsidRPr="009D2B0E">
        <w:rPr>
          <w:lang w:val="es-ES"/>
        </w:rPr>
        <w:t xml:space="preserve"> la posición expresada por la Autoridad de Tierras, esta Comisión entiende que la aprobación de la R. C. de la C. 308 constituye un acto meritorio y de justicia para los titulares y sus herederos, quienes durante décadas han permanecido sujetos a restricciones que ya no cumplen el propósito para el cual fueron concebidas.</w:t>
      </w:r>
    </w:p>
    <w:p w14:paraId="02784391" w14:textId="77777777" w:rsidR="004A3521" w:rsidRPr="009D2B0E" w:rsidRDefault="00952957">
      <w:pPr>
        <w:spacing w:after="200"/>
        <w:ind w:firstLine="720"/>
        <w:jc w:val="both"/>
        <w:rPr>
          <w:lang w:val="es-ES"/>
        </w:rPr>
      </w:pPr>
      <w:r w:rsidRPr="009D2B0E">
        <w:rPr>
          <w:lang w:val="es-ES"/>
        </w:rPr>
        <w:t>La Asamblea Legislativa, como poder soberano del Gobierno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02784392" w14:textId="77777777" w:rsidR="004A3521" w:rsidRPr="009D2B0E" w:rsidRDefault="00952957">
      <w:pPr>
        <w:spacing w:after="200"/>
        <w:ind w:firstLine="720"/>
        <w:jc w:val="both"/>
        <w:rPr>
          <w:lang w:val="es-ES"/>
        </w:rPr>
      </w:pPr>
      <w:r w:rsidRPr="009D2B0E">
        <w:rPr>
          <w:lang w:val="es-ES"/>
        </w:rPr>
        <w:t>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de los titulares y sus herederos. La presente medida es cónsona con dicha trayectoria legislativa.</w:t>
      </w:r>
    </w:p>
    <w:p w14:paraId="02784393" w14:textId="77777777" w:rsidR="004A3521" w:rsidRPr="009D2B0E" w:rsidRDefault="00952957">
      <w:pPr>
        <w:spacing w:after="200"/>
        <w:ind w:firstLine="720"/>
        <w:jc w:val="both"/>
        <w:rPr>
          <w:lang w:val="es-ES"/>
        </w:rPr>
      </w:pPr>
      <w:r w:rsidRPr="009D2B0E">
        <w:rPr>
          <w:lang w:val="es-ES"/>
        </w:rPr>
        <w:t>En virtud de sus facultades legislativas, y luego de haber evaluado los méritos de la medida, la posición conocida de la Autoridad de Tierras y las circunstancias particulares de este caso, la Comisión de Agricultura procede a recomendar la aprobación de la R. C. de la C. 308, con las enmiendas incluidas en el entirillado electrónico que se acompaña, dirigidas a corregir errores de forma y de contenido advertidos en la medida.</w:t>
      </w:r>
    </w:p>
    <w:p w14:paraId="02784394" w14:textId="77777777" w:rsidR="004A3521" w:rsidRPr="009D2B0E" w:rsidRDefault="00952957" w:rsidP="00AA2229">
      <w:pPr>
        <w:spacing w:before="320" w:after="200"/>
        <w:jc w:val="center"/>
        <w:rPr>
          <w:lang w:val="es-ES"/>
        </w:rPr>
      </w:pPr>
      <w:r w:rsidRPr="009D2B0E">
        <w:rPr>
          <w:b/>
          <w:bCs/>
          <w:caps/>
          <w:lang w:val="es-ES"/>
        </w:rPr>
        <w:t>Impacto Fiscal</w:t>
      </w:r>
    </w:p>
    <w:p w14:paraId="02784395" w14:textId="77777777" w:rsidR="004A3521" w:rsidRPr="009D2B0E" w:rsidRDefault="00952957">
      <w:pPr>
        <w:spacing w:after="200"/>
        <w:ind w:firstLine="720"/>
        <w:jc w:val="both"/>
        <w:rPr>
          <w:lang w:val="es-ES"/>
        </w:rPr>
      </w:pPr>
      <w:r w:rsidRPr="009D2B0E">
        <w:rPr>
          <w:lang w:val="es-ES"/>
        </w:rPr>
        <w:t>La medida propuesta no conlleva impacto fiscal al erario público. La liberación de las condiciones y restricciones impuestas bajo el Título VI de la Ley de Tierras constituye un acto administrativo que no requiere asignaciones presupuestarias adicionales.</w:t>
      </w:r>
    </w:p>
    <w:p w14:paraId="02784396" w14:textId="77777777" w:rsidR="004A3521" w:rsidRPr="009D2B0E" w:rsidRDefault="00952957" w:rsidP="00AA2229">
      <w:pPr>
        <w:spacing w:before="320" w:after="200"/>
        <w:jc w:val="center"/>
        <w:rPr>
          <w:lang w:val="es-ES"/>
        </w:rPr>
      </w:pPr>
      <w:r w:rsidRPr="009D2B0E">
        <w:rPr>
          <w:b/>
          <w:bCs/>
          <w:caps/>
          <w:lang w:val="es-ES"/>
        </w:rPr>
        <w:t>Conclusión</w:t>
      </w:r>
    </w:p>
    <w:p w14:paraId="02784397" w14:textId="77777777" w:rsidR="004A3521" w:rsidRPr="009D2B0E" w:rsidRDefault="00952957">
      <w:pPr>
        <w:spacing w:after="200"/>
        <w:ind w:firstLine="720"/>
        <w:jc w:val="both"/>
        <w:rPr>
          <w:lang w:val="es-ES"/>
        </w:rPr>
      </w:pPr>
      <w:r w:rsidRPr="00D02679">
        <w:rPr>
          <w:lang w:val="es-419"/>
        </w:rPr>
        <w:t xml:space="preserve">Por todo lo antes expuesto, la </w:t>
      </w:r>
      <w:r w:rsidRPr="00D02679">
        <w:rPr>
          <w:b/>
          <w:lang w:val="es-419"/>
        </w:rPr>
        <w:t>Comisión de Agricultura de la Cámara de Representantes del Gobierno de Puerto Rico</w:t>
      </w:r>
      <w:r w:rsidRPr="00D02679">
        <w:rPr>
          <w:lang w:val="es-419"/>
        </w:rPr>
        <w:t xml:space="preserve">, previo estudio y consideración, tiene a bien someter su Informe en relación con la </w:t>
      </w:r>
      <w:r w:rsidRPr="00D02679">
        <w:rPr>
          <w:b/>
          <w:lang w:val="es-419"/>
        </w:rPr>
        <w:t>Resolución Conjunta de la Cámara 308</w:t>
      </w:r>
      <w:r w:rsidRPr="00D02679">
        <w:rPr>
          <w:lang w:val="es-419"/>
        </w:rPr>
        <w:t xml:space="preserve">, </w:t>
      </w:r>
      <w:r w:rsidRPr="00D02679">
        <w:rPr>
          <w:lang w:val="es-419"/>
        </w:rPr>
        <w:lastRenderedPageBreak/>
        <w:t xml:space="preserve">recomendando su </w:t>
      </w:r>
      <w:r w:rsidRPr="00D02679">
        <w:rPr>
          <w:b/>
          <w:lang w:val="es-419"/>
        </w:rPr>
        <w:t xml:space="preserve">aprobación, con las enmiendas contenidas en el </w:t>
      </w:r>
      <w:proofErr w:type="spellStart"/>
      <w:r w:rsidRPr="00D02679">
        <w:rPr>
          <w:b/>
          <w:lang w:val="es-419"/>
        </w:rPr>
        <w:t>entirillado</w:t>
      </w:r>
      <w:proofErr w:type="spellEnd"/>
      <w:r w:rsidRPr="00D02679">
        <w:rPr>
          <w:b/>
          <w:lang w:val="es-419"/>
        </w:rPr>
        <w:t xml:space="preserve"> electrónico que le acompaña.</w:t>
      </w:r>
    </w:p>
    <w:p w14:paraId="02784398" w14:textId="77777777" w:rsidR="004A3521" w:rsidRPr="009D2B0E" w:rsidRDefault="004A3521">
      <w:pPr>
        <w:rPr>
          <w:lang w:val="es-ES"/>
        </w:rPr>
      </w:pPr>
    </w:p>
    <w:p w14:paraId="02784399" w14:textId="77777777" w:rsidR="004A3521" w:rsidRPr="009D2B0E" w:rsidRDefault="00952957" w:rsidP="00D02679">
      <w:pPr>
        <w:spacing w:after="200"/>
        <w:rPr>
          <w:lang w:val="es-ES"/>
        </w:rPr>
      </w:pPr>
      <w:r w:rsidRPr="009D2B0E">
        <w:rPr>
          <w:lang w:val="es-ES"/>
        </w:rPr>
        <w:t>Respetuosamente sometido,</w:t>
      </w:r>
    </w:p>
    <w:p w14:paraId="0278439A" w14:textId="77777777" w:rsidR="004A3521" w:rsidRPr="009D2B0E" w:rsidRDefault="004A3521" w:rsidP="00D02679">
      <w:pPr>
        <w:rPr>
          <w:lang w:val="es-ES"/>
        </w:rPr>
      </w:pPr>
    </w:p>
    <w:p w14:paraId="0278439B" w14:textId="77777777" w:rsidR="004A3521" w:rsidRDefault="004A3521" w:rsidP="00D02679">
      <w:pPr>
        <w:rPr>
          <w:lang w:val="es-ES"/>
        </w:rPr>
      </w:pPr>
    </w:p>
    <w:p w14:paraId="1F26FA5F" w14:textId="77777777" w:rsidR="00D02679" w:rsidRPr="009D2B0E" w:rsidRDefault="00D02679" w:rsidP="00D02679">
      <w:pPr>
        <w:rPr>
          <w:lang w:val="es-ES"/>
        </w:rPr>
      </w:pPr>
    </w:p>
    <w:p w14:paraId="384E054E" w14:textId="77777777" w:rsidR="00D02679" w:rsidRDefault="00D02679" w:rsidP="00D02679">
      <w:pPr>
        <w:rPr>
          <w:b/>
          <w:bCs/>
          <w:lang w:val="es-ES"/>
        </w:rPr>
      </w:pPr>
      <w:r w:rsidRPr="009D2B0E">
        <w:rPr>
          <w:b/>
          <w:bCs/>
          <w:lang w:val="es-ES"/>
        </w:rPr>
        <w:t>Joe "Joito" Colón Rodríguez</w:t>
      </w:r>
    </w:p>
    <w:p w14:paraId="242E53A6" w14:textId="77777777" w:rsidR="00D02679" w:rsidRDefault="00D02679" w:rsidP="00D02679">
      <w:pPr>
        <w:rPr>
          <w:lang w:val="es-ES"/>
        </w:rPr>
      </w:pPr>
      <w:r>
        <w:rPr>
          <w:lang w:val="es-ES"/>
        </w:rPr>
        <w:t>Presidente</w:t>
      </w:r>
    </w:p>
    <w:p w14:paraId="204BBC0E" w14:textId="77777777" w:rsidR="00D02679" w:rsidRPr="009D2B0E" w:rsidRDefault="00D02679" w:rsidP="00D02679">
      <w:pPr>
        <w:rPr>
          <w:lang w:val="es-ES"/>
        </w:rPr>
      </w:pPr>
      <w:r>
        <w:rPr>
          <w:lang w:val="es-ES"/>
        </w:rPr>
        <w:t>Comisión de Agricultura</w:t>
      </w:r>
    </w:p>
    <w:p w14:paraId="0278439F" w14:textId="355FD3D3" w:rsidR="004A3521" w:rsidRPr="009D2B0E" w:rsidRDefault="004A3521" w:rsidP="00D02679">
      <w:pPr>
        <w:spacing w:after="200"/>
        <w:rPr>
          <w:lang w:val="es-ES"/>
        </w:rPr>
      </w:pPr>
    </w:p>
    <w:sectPr w:rsidR="004A3521" w:rsidRPr="009D2B0E">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0F8CB" w14:textId="77777777" w:rsidR="00861306" w:rsidRDefault="00861306">
      <w:r>
        <w:separator/>
      </w:r>
    </w:p>
  </w:endnote>
  <w:endnote w:type="continuationSeparator" w:id="0">
    <w:p w14:paraId="2E47FA19" w14:textId="77777777" w:rsidR="00861306" w:rsidRDefault="00861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43A0" w14:textId="69F0353C" w:rsidR="004A3521" w:rsidRDefault="00952957">
    <w:pPr>
      <w:jc w:val="center"/>
    </w:pPr>
    <w:r>
      <w:rPr>
        <w:sz w:val="18"/>
        <w:szCs w:val="18"/>
      </w:rPr>
      <w:t xml:space="preserve">Página </w:t>
    </w:r>
    <w:r>
      <w:rPr>
        <w:sz w:val="18"/>
        <w:szCs w:val="18"/>
      </w:rPr>
      <w:fldChar w:fldCharType="begin"/>
    </w:r>
    <w:r>
      <w:rPr>
        <w:sz w:val="18"/>
        <w:szCs w:val="18"/>
      </w:rPr>
      <w:instrText>PAGE</w:instrText>
    </w:r>
    <w:r>
      <w:rPr>
        <w:sz w:val="18"/>
        <w:szCs w:val="18"/>
      </w:rPr>
      <w:fldChar w:fldCharType="separate"/>
    </w:r>
    <w:r w:rsidR="009D2B0E">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659BF" w14:textId="77777777" w:rsidR="00861306" w:rsidRDefault="00861306">
      <w:r>
        <w:separator/>
      </w:r>
    </w:p>
  </w:footnote>
  <w:footnote w:type="continuationSeparator" w:id="0">
    <w:p w14:paraId="0FAAC57E" w14:textId="77777777" w:rsidR="00861306" w:rsidRDefault="00861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F226C"/>
    <w:multiLevelType w:val="hybridMultilevel"/>
    <w:tmpl w:val="960E4658"/>
    <w:lvl w:ilvl="0" w:tplc="27C06002">
      <w:start w:val="1"/>
      <w:numFmt w:val="bullet"/>
      <w:lvlText w:val="●"/>
      <w:lvlJc w:val="left"/>
      <w:pPr>
        <w:ind w:left="720" w:hanging="360"/>
      </w:pPr>
    </w:lvl>
    <w:lvl w:ilvl="1" w:tplc="8E4436A4">
      <w:start w:val="1"/>
      <w:numFmt w:val="bullet"/>
      <w:lvlText w:val="○"/>
      <w:lvlJc w:val="left"/>
      <w:pPr>
        <w:ind w:left="1440" w:hanging="360"/>
      </w:pPr>
    </w:lvl>
    <w:lvl w:ilvl="2" w:tplc="ACF0E3B4">
      <w:start w:val="1"/>
      <w:numFmt w:val="bullet"/>
      <w:lvlText w:val="■"/>
      <w:lvlJc w:val="left"/>
      <w:pPr>
        <w:ind w:left="2160" w:hanging="360"/>
      </w:pPr>
    </w:lvl>
    <w:lvl w:ilvl="3" w:tplc="047E9D9E">
      <w:start w:val="1"/>
      <w:numFmt w:val="bullet"/>
      <w:lvlText w:val="●"/>
      <w:lvlJc w:val="left"/>
      <w:pPr>
        <w:ind w:left="2880" w:hanging="360"/>
      </w:pPr>
    </w:lvl>
    <w:lvl w:ilvl="4" w:tplc="1F5EB450">
      <w:start w:val="1"/>
      <w:numFmt w:val="bullet"/>
      <w:lvlText w:val="○"/>
      <w:lvlJc w:val="left"/>
      <w:pPr>
        <w:ind w:left="3600" w:hanging="360"/>
      </w:pPr>
    </w:lvl>
    <w:lvl w:ilvl="5" w:tplc="FA0072F0">
      <w:start w:val="1"/>
      <w:numFmt w:val="bullet"/>
      <w:lvlText w:val="■"/>
      <w:lvlJc w:val="left"/>
      <w:pPr>
        <w:ind w:left="4320" w:hanging="360"/>
      </w:pPr>
    </w:lvl>
    <w:lvl w:ilvl="6" w:tplc="DBC6BAC6">
      <w:start w:val="1"/>
      <w:numFmt w:val="bullet"/>
      <w:lvlText w:val="●"/>
      <w:lvlJc w:val="left"/>
      <w:pPr>
        <w:ind w:left="5040" w:hanging="360"/>
      </w:pPr>
    </w:lvl>
    <w:lvl w:ilvl="7" w:tplc="B776B09A">
      <w:start w:val="1"/>
      <w:numFmt w:val="bullet"/>
      <w:lvlText w:val="●"/>
      <w:lvlJc w:val="left"/>
      <w:pPr>
        <w:ind w:left="5760" w:hanging="360"/>
      </w:pPr>
    </w:lvl>
    <w:lvl w:ilvl="8" w:tplc="ABD6D492">
      <w:start w:val="1"/>
      <w:numFmt w:val="bullet"/>
      <w:lvlText w:val="●"/>
      <w:lvlJc w:val="left"/>
      <w:pPr>
        <w:ind w:left="6480" w:hanging="360"/>
      </w:pPr>
    </w:lvl>
  </w:abstractNum>
  <w:num w:numId="1" w16cid:durableId="180029363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521"/>
    <w:rsid w:val="000F294D"/>
    <w:rsid w:val="0027315E"/>
    <w:rsid w:val="003736C0"/>
    <w:rsid w:val="004A3521"/>
    <w:rsid w:val="00640DD1"/>
    <w:rsid w:val="006913A2"/>
    <w:rsid w:val="00861306"/>
    <w:rsid w:val="00952957"/>
    <w:rsid w:val="009D2B0E"/>
    <w:rsid w:val="00A54C01"/>
    <w:rsid w:val="00AA2229"/>
    <w:rsid w:val="00AD03A3"/>
    <w:rsid w:val="00D02679"/>
    <w:rsid w:val="00DC0D5B"/>
    <w:rsid w:val="00DE4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84374"/>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Book Antiqua" w:hAnsi="Book Antiqua" w:cs="Book Antiqu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1180</Words>
  <Characters>6730</Characters>
  <Application>Microsoft Office Word</Application>
  <DocSecurity>4</DocSecurity>
  <Lines>56</Lines>
  <Paragraphs>15</Paragraphs>
  <ScaleCrop>false</ScaleCrop>
  <Company/>
  <LinksUpToDate>false</LinksUpToDate>
  <CharactersWithSpaces>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Positivo R. C. de la C. 334</dc:title>
  <dc:creator>Comisión de Agricultura - Cámara de Representantes de Puerto Rico</dc:creator>
  <cp:lastModifiedBy>Camyl Moreno Pantojas</cp:lastModifiedBy>
  <cp:revision>2</cp:revision>
  <cp:lastPrinted>2026-06-04T20:04:00Z</cp:lastPrinted>
  <dcterms:created xsi:type="dcterms:W3CDTF">2026-06-08T18:59:00Z</dcterms:created>
  <dcterms:modified xsi:type="dcterms:W3CDTF">2026-06-08T18:59:00Z</dcterms:modified>
</cp:coreProperties>
</file>