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A407C" w:rsidRDefault="00FA57FC">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00000002" w14:textId="77777777" w:rsidR="004A407C" w:rsidRDefault="004A407C">
      <w:pPr>
        <w:jc w:val="center"/>
        <w:rPr>
          <w:rFonts w:ascii="Book Antiqua" w:eastAsia="Book Antiqua" w:hAnsi="Book Antiqua" w:cs="Book Antiqua"/>
        </w:rPr>
      </w:pPr>
    </w:p>
    <w:p w14:paraId="00000004" w14:textId="1BDE14D7" w:rsidR="004A407C" w:rsidRDefault="00FA57FC" w:rsidP="00A25C24">
      <w:pPr>
        <w:pBdr>
          <w:top w:val="nil"/>
          <w:left w:val="nil"/>
          <w:bottom w:val="nil"/>
          <w:right w:val="nil"/>
          <w:between w:val="nil"/>
        </w:pBdr>
        <w:ind w:left="1440" w:hanging="1440"/>
        <w:jc w:val="both"/>
        <w:rPr>
          <w:rFonts w:ascii="Book Antiqua" w:eastAsia="Book Antiqua" w:hAnsi="Book Antiqua" w:cs="Book Antiqua"/>
          <w:color w:val="000000"/>
        </w:rPr>
      </w:pPr>
      <w:r>
        <w:rPr>
          <w:rFonts w:ascii="Book Antiqua" w:eastAsia="Book Antiqua" w:hAnsi="Book Antiqua" w:cs="Book Antiqua"/>
          <w:color w:val="000000"/>
        </w:rPr>
        <w:t>20ma. Asamblea</w:t>
      </w:r>
      <w:r>
        <w:rPr>
          <w:rFonts w:ascii="Book Antiqua" w:eastAsia="Book Antiqua" w:hAnsi="Book Antiqua" w:cs="Book Antiqua"/>
          <w:color w:val="000000"/>
        </w:rPr>
        <w:tab/>
      </w:r>
      <w:r w:rsidR="00A25C24">
        <w:rPr>
          <w:rFonts w:ascii="Book Antiqua" w:eastAsia="Book Antiqua" w:hAnsi="Book Antiqua" w:cs="Book Antiqua"/>
          <w:color w:val="000000"/>
        </w:rPr>
        <w:t xml:space="preserve">                                                                                               3ra.</w:t>
      </w:r>
      <w:r w:rsidR="00080454">
        <w:rPr>
          <w:rFonts w:ascii="Book Antiqua" w:eastAsia="Book Antiqua" w:hAnsi="Book Antiqua" w:cs="Book Antiqua"/>
          <w:color w:val="000000"/>
        </w:rPr>
        <w:t xml:space="preserve"> </w:t>
      </w:r>
      <w:r>
        <w:rPr>
          <w:rFonts w:ascii="Book Antiqua" w:eastAsia="Book Antiqua" w:hAnsi="Book Antiqua" w:cs="Book Antiqua"/>
          <w:color w:val="000000"/>
        </w:rPr>
        <w:t>Sesión</w:t>
      </w:r>
      <w:r w:rsidR="00080454" w:rsidRPr="00080454">
        <w:t xml:space="preserve"> </w:t>
      </w:r>
      <w:r w:rsidR="00080454">
        <w:t xml:space="preserve">    </w:t>
      </w:r>
    </w:p>
    <w:p w14:paraId="62A1B5CB" w14:textId="31D23DE5" w:rsidR="00080454" w:rsidRDefault="00080454" w:rsidP="00A25C24">
      <w:pPr>
        <w:rPr>
          <w:rFonts w:ascii="Book Antiqua" w:eastAsia="Book Antiqua" w:hAnsi="Book Antiqua" w:cs="Book Antiqua"/>
        </w:rPr>
      </w:pPr>
      <w:r>
        <w:rPr>
          <w:rFonts w:ascii="Book Antiqua" w:eastAsia="Book Antiqua" w:hAnsi="Book Antiqua" w:cs="Book Antiqua"/>
        </w:rPr>
        <w:t xml:space="preserve">          </w:t>
      </w:r>
      <w:r w:rsidR="00A25C24">
        <w:rPr>
          <w:rFonts w:ascii="Book Antiqua" w:eastAsia="Book Antiqua" w:hAnsi="Book Antiqua" w:cs="Book Antiqua"/>
        </w:rPr>
        <w:t xml:space="preserve"> </w:t>
      </w:r>
      <w:r>
        <w:rPr>
          <w:rFonts w:ascii="Book Antiqua" w:eastAsia="Book Antiqua" w:hAnsi="Book Antiqua" w:cs="Book Antiqua"/>
        </w:rPr>
        <w:t>Legislativa</w:t>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t xml:space="preserve">  </w:t>
      </w:r>
      <w:r w:rsidR="00A25C24">
        <w:rPr>
          <w:rFonts w:ascii="Book Antiqua" w:eastAsia="Book Antiqua" w:hAnsi="Book Antiqua" w:cs="Book Antiqua"/>
        </w:rPr>
        <w:t xml:space="preserve">                </w:t>
      </w:r>
      <w:r>
        <w:rPr>
          <w:rFonts w:ascii="Book Antiqua" w:eastAsia="Book Antiqua" w:hAnsi="Book Antiqua" w:cs="Book Antiqua"/>
        </w:rPr>
        <w:t>Ordinaria</w:t>
      </w:r>
    </w:p>
    <w:p w14:paraId="00000005" w14:textId="4637B82F" w:rsidR="004A407C" w:rsidRDefault="00080454">
      <w:pPr>
        <w:rPr>
          <w:rFonts w:ascii="Book Antiqua" w:eastAsia="Book Antiqua" w:hAnsi="Book Antiqua" w:cs="Book Antiqua"/>
        </w:rPr>
      </w:pPr>
      <w:r>
        <w:rPr>
          <w:rFonts w:ascii="Book Antiqua" w:eastAsia="Book Antiqua" w:hAnsi="Book Antiqua" w:cs="Book Antiqua"/>
        </w:rPr>
        <w:tab/>
      </w:r>
    </w:p>
    <w:p w14:paraId="00000006" w14:textId="77777777" w:rsidR="004A407C" w:rsidRDefault="00FA57FC">
      <w:pPr>
        <w:pStyle w:val="Ttulo2"/>
        <w:rPr>
          <w:rFonts w:ascii="Book Antiqua" w:eastAsia="Book Antiqua" w:hAnsi="Book Antiqua" w:cs="Book Antiqua"/>
        </w:rPr>
      </w:pPr>
      <w:r>
        <w:rPr>
          <w:rFonts w:ascii="Book Antiqua" w:eastAsia="Book Antiqua" w:hAnsi="Book Antiqua" w:cs="Book Antiqua"/>
        </w:rPr>
        <w:t>CÁMARA DE REPRESENTANTES</w:t>
      </w:r>
    </w:p>
    <w:p w14:paraId="00000007" w14:textId="77777777" w:rsidR="004A407C" w:rsidRDefault="004A407C">
      <w:pPr>
        <w:jc w:val="center"/>
        <w:rPr>
          <w:rFonts w:ascii="Book Antiqua" w:eastAsia="Book Antiqua" w:hAnsi="Book Antiqua" w:cs="Book Antiqua"/>
          <w:b/>
          <w:bCs/>
        </w:rPr>
      </w:pPr>
    </w:p>
    <w:p w14:paraId="00000008" w14:textId="31C297B8" w:rsidR="004A407C" w:rsidRDefault="00FA57FC">
      <w:pPr>
        <w:pStyle w:val="Ttulo3"/>
        <w:rPr>
          <w:rFonts w:ascii="Book Antiqua" w:eastAsia="Book Antiqua" w:hAnsi="Book Antiqua" w:cs="Book Antiqua"/>
          <w:sz w:val="52"/>
          <w:szCs w:val="52"/>
        </w:rPr>
      </w:pPr>
      <w:r>
        <w:rPr>
          <w:rFonts w:ascii="Book Antiqua" w:eastAsia="Book Antiqua" w:hAnsi="Book Antiqua" w:cs="Book Antiqua"/>
          <w:sz w:val="52"/>
          <w:szCs w:val="52"/>
        </w:rPr>
        <w:t xml:space="preserve">P. de la C. </w:t>
      </w:r>
      <w:r w:rsidR="00AB2226">
        <w:rPr>
          <w:rFonts w:ascii="Book Antiqua" w:eastAsia="Book Antiqua" w:hAnsi="Book Antiqua" w:cs="Book Antiqua"/>
          <w:sz w:val="52"/>
          <w:szCs w:val="52"/>
        </w:rPr>
        <w:t>1186</w:t>
      </w:r>
    </w:p>
    <w:p w14:paraId="00000009" w14:textId="77777777" w:rsidR="004A407C" w:rsidRDefault="004A407C">
      <w:pPr>
        <w:rPr>
          <w:rFonts w:ascii="Book Antiqua" w:eastAsia="Book Antiqua" w:hAnsi="Book Antiqua" w:cs="Book Antiqua"/>
        </w:rPr>
      </w:pPr>
    </w:p>
    <w:p w14:paraId="0000000A" w14:textId="3A7D62E2" w:rsidR="004A407C" w:rsidRDefault="00AB2226">
      <w:pPr>
        <w:jc w:val="center"/>
        <w:rPr>
          <w:rFonts w:ascii="Book Antiqua" w:eastAsia="Book Antiqua" w:hAnsi="Book Antiqua" w:cs="Book Antiqua"/>
        </w:rPr>
      </w:pPr>
      <w:r>
        <w:rPr>
          <w:rFonts w:ascii="Book Antiqua" w:eastAsia="Book Antiqua" w:hAnsi="Book Antiqua" w:cs="Book Antiqua"/>
        </w:rPr>
        <w:t>13</w:t>
      </w:r>
      <w:r w:rsidR="00FA57FC">
        <w:rPr>
          <w:rFonts w:ascii="Book Antiqua" w:eastAsia="Book Antiqua" w:hAnsi="Book Antiqua" w:cs="Book Antiqua"/>
        </w:rPr>
        <w:t xml:space="preserve"> DE </w:t>
      </w:r>
      <w:r w:rsidR="003372D7">
        <w:rPr>
          <w:rFonts w:ascii="Book Antiqua" w:eastAsia="Book Antiqua" w:hAnsi="Book Antiqua" w:cs="Book Antiqua"/>
        </w:rPr>
        <w:t>MARZO</w:t>
      </w:r>
      <w:r w:rsidR="00FA57FC">
        <w:rPr>
          <w:rFonts w:ascii="Book Antiqua" w:eastAsia="Book Antiqua" w:hAnsi="Book Antiqua" w:cs="Book Antiqua"/>
        </w:rPr>
        <w:t xml:space="preserve"> DE 2026</w:t>
      </w:r>
    </w:p>
    <w:p w14:paraId="0000000B" w14:textId="77777777" w:rsidR="004A407C" w:rsidRDefault="004A407C">
      <w:pPr>
        <w:jc w:val="center"/>
        <w:rPr>
          <w:rFonts w:ascii="Book Antiqua" w:eastAsia="Book Antiqua" w:hAnsi="Book Antiqua" w:cs="Book Antiqua"/>
        </w:rPr>
      </w:pPr>
    </w:p>
    <w:p w14:paraId="0000000C" w14:textId="77777777" w:rsidR="004A407C" w:rsidRDefault="00FA57FC">
      <w:pPr>
        <w:jc w:val="center"/>
        <w:rPr>
          <w:rFonts w:ascii="Book Antiqua" w:eastAsia="Book Antiqua" w:hAnsi="Book Antiqua" w:cs="Book Antiqua"/>
        </w:rPr>
      </w:pPr>
      <w:r>
        <w:rPr>
          <w:rFonts w:ascii="Book Antiqua" w:eastAsia="Book Antiqua" w:hAnsi="Book Antiqua" w:cs="Book Antiqua"/>
        </w:rPr>
        <w:t>Presentado por el representante</w:t>
      </w:r>
      <w:r>
        <w:rPr>
          <w:rFonts w:ascii="Book Antiqua" w:eastAsia="Book Antiqua" w:hAnsi="Book Antiqua" w:cs="Book Antiqua"/>
          <w:i/>
          <w:iCs/>
        </w:rPr>
        <w:t xml:space="preserve"> López Román</w:t>
      </w:r>
    </w:p>
    <w:p w14:paraId="0000000D" w14:textId="77777777" w:rsidR="004A407C" w:rsidRDefault="004A407C">
      <w:pPr>
        <w:jc w:val="center"/>
        <w:rPr>
          <w:rFonts w:ascii="Book Antiqua" w:eastAsia="Book Antiqua" w:hAnsi="Book Antiqua" w:cs="Book Antiqua"/>
        </w:rPr>
      </w:pPr>
    </w:p>
    <w:p w14:paraId="0000000E" w14:textId="425F583D" w:rsidR="004A407C" w:rsidRDefault="00FA57FC">
      <w:pPr>
        <w:jc w:val="center"/>
        <w:rPr>
          <w:rFonts w:ascii="Book Antiqua" w:eastAsia="Book Antiqua" w:hAnsi="Book Antiqua" w:cs="Book Antiqua"/>
        </w:rPr>
      </w:pPr>
      <w:r>
        <w:rPr>
          <w:rFonts w:ascii="Book Antiqua" w:eastAsia="Book Antiqua" w:hAnsi="Book Antiqua" w:cs="Book Antiqua"/>
        </w:rPr>
        <w:t xml:space="preserve">Referido a la Comisión de </w:t>
      </w:r>
      <w:r w:rsidR="00A25C24">
        <w:rPr>
          <w:rFonts w:ascii="Book Antiqua" w:eastAsia="Book Antiqua" w:hAnsi="Book Antiqua" w:cs="Book Antiqua"/>
        </w:rPr>
        <w:t>Recursos Naturales</w:t>
      </w:r>
    </w:p>
    <w:p w14:paraId="0000000F" w14:textId="77777777" w:rsidR="004A407C" w:rsidRDefault="004A407C">
      <w:pPr>
        <w:jc w:val="both"/>
        <w:rPr>
          <w:rFonts w:ascii="Book Antiqua" w:eastAsia="Book Antiqua" w:hAnsi="Book Antiqua" w:cs="Book Antiqua"/>
        </w:rPr>
      </w:pPr>
    </w:p>
    <w:p w14:paraId="00000010" w14:textId="77777777" w:rsidR="004A407C" w:rsidRDefault="00FA57FC">
      <w:pPr>
        <w:jc w:val="center"/>
        <w:rPr>
          <w:rFonts w:ascii="Book Antiqua" w:eastAsia="Book Antiqua" w:hAnsi="Book Antiqua" w:cs="Book Antiqua"/>
          <w:b/>
          <w:bCs/>
          <w:sz w:val="28"/>
          <w:szCs w:val="28"/>
        </w:rPr>
      </w:pPr>
      <w:r>
        <w:rPr>
          <w:rFonts w:ascii="Book Antiqua" w:eastAsia="Book Antiqua" w:hAnsi="Book Antiqua" w:cs="Book Antiqua"/>
          <w:b/>
          <w:bCs/>
          <w:sz w:val="28"/>
          <w:szCs w:val="28"/>
        </w:rPr>
        <w:t>LEY</w:t>
      </w:r>
    </w:p>
    <w:p w14:paraId="00000011" w14:textId="77777777" w:rsidR="004A407C" w:rsidRDefault="004A407C">
      <w:pPr>
        <w:jc w:val="both"/>
        <w:rPr>
          <w:rFonts w:ascii="Book Antiqua" w:eastAsia="Book Antiqua" w:hAnsi="Book Antiqua" w:cs="Book Antiqua"/>
        </w:rPr>
      </w:pPr>
    </w:p>
    <w:p w14:paraId="00000012" w14:textId="636C0C42" w:rsidR="004A407C" w:rsidRDefault="00FA57FC">
      <w:pPr>
        <w:ind w:left="720" w:hanging="720"/>
        <w:jc w:val="both"/>
        <w:rPr>
          <w:rFonts w:ascii="Book Antiqua" w:eastAsia="Book Antiqua" w:hAnsi="Book Antiqua" w:cs="Book Antiqua"/>
        </w:rPr>
      </w:pPr>
      <w:r>
        <w:rPr>
          <w:rFonts w:ascii="Book Antiqua" w:eastAsia="Book Antiqua" w:hAnsi="Book Antiqua" w:cs="Book Antiqua"/>
        </w:rPr>
        <w:t xml:space="preserve">Para enmendar los Artículos 3, 6, 8, 9, 10 y 11; y añadir el Articulo 12;  de la Ley Núm. 218 de 9 de agosto de 2008, según enmendada, conocida como la “Ley para el Control y la Prevención de la Contaminación Lumínica”, a los fines de definir e identificar las </w:t>
      </w:r>
      <w:r w:rsidR="000B709C">
        <w:rPr>
          <w:rFonts w:ascii="Book Antiqua" w:eastAsia="Book Antiqua" w:hAnsi="Book Antiqua" w:cs="Book Antiqua"/>
        </w:rPr>
        <w:t xml:space="preserve">Zonas </w:t>
      </w:r>
      <w:r>
        <w:rPr>
          <w:rFonts w:ascii="Book Antiqua" w:eastAsia="Book Antiqua" w:hAnsi="Book Antiqua" w:cs="Book Antiqua"/>
        </w:rPr>
        <w:t xml:space="preserve">Críticas de </w:t>
      </w:r>
      <w:proofErr w:type="spellStart"/>
      <w:r>
        <w:rPr>
          <w:rFonts w:ascii="Book Antiqua" w:eastAsia="Book Antiqua" w:hAnsi="Book Antiqua" w:cs="Book Antiqua"/>
        </w:rPr>
        <w:t>Anidaje</w:t>
      </w:r>
      <w:proofErr w:type="spellEnd"/>
      <w:r>
        <w:rPr>
          <w:rFonts w:ascii="Book Antiqua" w:eastAsia="Book Antiqua" w:hAnsi="Book Antiqua" w:cs="Book Antiqua"/>
        </w:rPr>
        <w:t xml:space="preserve"> de Tortugas Marinas; establecer estándares especiales y obligatorios de iluminación en dichas áreas y en zonas adyacentes; reforzar la clasificación de áreas exteriores y la regulación del alumbrado público en playas utilizadas para el </w:t>
      </w:r>
      <w:proofErr w:type="spellStart"/>
      <w:r>
        <w:rPr>
          <w:rFonts w:ascii="Book Antiqua" w:eastAsia="Book Antiqua" w:hAnsi="Book Antiqua" w:cs="Book Antiqua"/>
        </w:rPr>
        <w:t>anidaje</w:t>
      </w:r>
      <w:proofErr w:type="spellEnd"/>
      <w:r>
        <w:rPr>
          <w:rFonts w:ascii="Book Antiqua" w:eastAsia="Book Antiqua" w:hAnsi="Book Antiqua" w:cs="Book Antiqua"/>
        </w:rPr>
        <w:t xml:space="preserve"> de tortugas marinas; disponer un periodo transitorio para la corrección de luminarias existentes; asignar responsabilidades de fiscalización y coordinación </w:t>
      </w:r>
      <w:proofErr w:type="spellStart"/>
      <w:r>
        <w:rPr>
          <w:rFonts w:ascii="Book Antiqua" w:eastAsia="Book Antiqua" w:hAnsi="Book Antiqua" w:cs="Book Antiqua"/>
        </w:rPr>
        <w:t>interagencial</w:t>
      </w:r>
      <w:proofErr w:type="spellEnd"/>
      <w:r>
        <w:rPr>
          <w:rFonts w:ascii="Book Antiqua" w:eastAsia="Book Antiqua" w:hAnsi="Book Antiqua" w:cs="Book Antiqua"/>
        </w:rPr>
        <w:t>; establecer penalidades administrativas por incumplimiento; y para otros fines relacionados.</w:t>
      </w:r>
    </w:p>
    <w:p w14:paraId="00000013" w14:textId="77777777" w:rsidR="004A407C" w:rsidRDefault="004A407C">
      <w:pPr>
        <w:ind w:left="720" w:hanging="720"/>
        <w:jc w:val="both"/>
        <w:rPr>
          <w:rFonts w:ascii="Book Antiqua" w:eastAsia="Book Antiqua" w:hAnsi="Book Antiqua" w:cs="Book Antiqua"/>
        </w:rPr>
      </w:pPr>
    </w:p>
    <w:p w14:paraId="00000014" w14:textId="77777777" w:rsidR="004A407C" w:rsidRDefault="00FA57FC">
      <w:pPr>
        <w:ind w:left="720" w:hanging="720"/>
        <w:jc w:val="center"/>
        <w:rPr>
          <w:rFonts w:ascii="Book Antiqua" w:eastAsia="Book Antiqua" w:hAnsi="Book Antiqua" w:cs="Book Antiqua"/>
        </w:rPr>
      </w:pPr>
      <w:r>
        <w:rPr>
          <w:rFonts w:ascii="Book Antiqua" w:eastAsia="Book Antiqua" w:hAnsi="Book Antiqua" w:cs="Book Antiqua"/>
        </w:rPr>
        <w:t>EXPOSICIÓN DE MOTIVOS</w:t>
      </w:r>
    </w:p>
    <w:p w14:paraId="00000015" w14:textId="77777777" w:rsidR="004A407C" w:rsidRDefault="004A407C">
      <w:pPr>
        <w:rPr>
          <w:rFonts w:ascii="Book Antiqua" w:eastAsia="Book Antiqua" w:hAnsi="Book Antiqua" w:cs="Book Antiqua"/>
        </w:rPr>
      </w:pPr>
    </w:p>
    <w:p w14:paraId="00000016" w14:textId="77777777" w:rsidR="004A407C" w:rsidRDefault="00FA57FC">
      <w:pPr>
        <w:ind w:firstLine="720"/>
        <w:jc w:val="both"/>
        <w:rPr>
          <w:rFonts w:ascii="Book Antiqua" w:eastAsia="Book Antiqua" w:hAnsi="Book Antiqua" w:cs="Book Antiqua"/>
        </w:rPr>
      </w:pPr>
      <w:r>
        <w:rPr>
          <w:rFonts w:ascii="Book Antiqua" w:eastAsia="Book Antiqua" w:hAnsi="Book Antiqua" w:cs="Book Antiqua"/>
        </w:rPr>
        <w:t>La contaminación lumínica constituye uno de los problemas ambientales de mayor crecimiento a nivel global y local, con efectos adversos significativos sobre la salud humana, la biodiversidad, los ecosistemas naturales, el consumo energético y la seguridad pública. Puerto Rico, por su condición de archipiélago con una alta concentración urbana y una vasta riqueza ecológica en espacios geográficos limitados, enfrenta un impacto particularmente severo de este fenómeno.</w:t>
      </w:r>
    </w:p>
    <w:p w14:paraId="00000017" w14:textId="77777777" w:rsidR="004A407C" w:rsidRDefault="004A407C">
      <w:pPr>
        <w:ind w:firstLine="720"/>
        <w:jc w:val="both"/>
        <w:rPr>
          <w:rFonts w:ascii="Book Antiqua" w:eastAsia="Book Antiqua" w:hAnsi="Book Antiqua" w:cs="Book Antiqua"/>
        </w:rPr>
      </w:pPr>
    </w:p>
    <w:p w14:paraId="00000018" w14:textId="77777777" w:rsidR="004A407C" w:rsidRDefault="00FA57FC">
      <w:pPr>
        <w:ind w:firstLine="720"/>
        <w:jc w:val="both"/>
        <w:rPr>
          <w:rFonts w:ascii="Book Antiqua" w:eastAsia="Book Antiqua" w:hAnsi="Book Antiqua" w:cs="Book Antiqua"/>
        </w:rPr>
      </w:pPr>
      <w:r>
        <w:rPr>
          <w:rFonts w:ascii="Book Antiqua" w:eastAsia="Book Antiqua" w:hAnsi="Book Antiqua" w:cs="Book Antiqua"/>
        </w:rPr>
        <w:t xml:space="preserve">El desarrollo urbano acelerado en regiones como el área metropolitana de San Juan, los ejes urbanos de Caguas, Bayamón, Ponce y Mayagüez, así como la expansión de infraestructura turística, comercial y vial en zonas costeras, ha provocado un aumento sostenido en el uso de iluminación artificial nocturna sin criterios uniformes de control, </w:t>
      </w:r>
      <w:r>
        <w:rPr>
          <w:rFonts w:ascii="Book Antiqua" w:eastAsia="Book Antiqua" w:hAnsi="Book Antiqua" w:cs="Book Antiqua"/>
        </w:rPr>
        <w:lastRenderedPageBreak/>
        <w:t>apantallamiento o eficiencia. Esto ha resultado en una mayor dispersión de luz hacia el cielo nocturno y hacia áreas naturales sensibles, afectando tanto ecosistemas terrestres como marinos.</w:t>
      </w:r>
    </w:p>
    <w:p w14:paraId="00000019" w14:textId="77777777" w:rsidR="004A407C" w:rsidRDefault="004A407C">
      <w:pPr>
        <w:ind w:firstLine="720"/>
        <w:jc w:val="both"/>
        <w:rPr>
          <w:rFonts w:ascii="Book Antiqua" w:eastAsia="Book Antiqua" w:hAnsi="Book Antiqua" w:cs="Book Antiqua"/>
        </w:rPr>
      </w:pPr>
    </w:p>
    <w:p w14:paraId="0000001A" w14:textId="77777777" w:rsidR="004A407C" w:rsidRDefault="00FA57FC">
      <w:pPr>
        <w:ind w:firstLine="720"/>
        <w:jc w:val="both"/>
        <w:rPr>
          <w:rFonts w:ascii="Book Antiqua" w:eastAsia="Book Antiqua" w:hAnsi="Book Antiqua" w:cs="Book Antiqua"/>
        </w:rPr>
      </w:pPr>
      <w:r>
        <w:rPr>
          <w:rFonts w:ascii="Book Antiqua" w:eastAsia="Book Antiqua" w:hAnsi="Book Antiqua" w:cs="Book Antiqua"/>
        </w:rPr>
        <w:t>Diversos estudios científicos</w:t>
      </w:r>
      <w:r>
        <w:rPr>
          <w:rFonts w:ascii="Book Antiqua" w:eastAsia="Book Antiqua" w:hAnsi="Book Antiqua" w:cs="Book Antiqua"/>
          <w:vertAlign w:val="superscript"/>
        </w:rPr>
        <w:footnoteReference w:id="1"/>
      </w:r>
      <w:r>
        <w:rPr>
          <w:rFonts w:ascii="Book Antiqua" w:eastAsia="Book Antiqua" w:hAnsi="Book Antiqua" w:cs="Book Antiqua"/>
        </w:rPr>
        <w:t xml:space="preserve"> y datos recopilados por organizaciones ambientales y académicas en Puerto Rico han evidenciado que la iluminación artificial excesiva impacta negativamente ecosistemas de alto valor ecológico, incluyendo el Bosque Nacional El Yunque, la Reserva Natural Laguna Tortuguero, la Bahía de Jobos, el Bosque Seco de Guánica, la Reserva Natural Caño Tiburones, así como múltiples corredores ecológicos y áreas protegidas costeras. Estas zonas albergan especies endémicas y en peligro de extinción cuya supervivencia depende del mantenimiento de ciclos naturales de luz y oscuridad.</w:t>
      </w:r>
    </w:p>
    <w:p w14:paraId="0000001B" w14:textId="77777777" w:rsidR="004A407C" w:rsidRDefault="004A407C">
      <w:pPr>
        <w:ind w:firstLine="720"/>
        <w:jc w:val="both"/>
        <w:rPr>
          <w:rFonts w:ascii="Book Antiqua" w:eastAsia="Book Antiqua" w:hAnsi="Book Antiqua" w:cs="Book Antiqua"/>
        </w:rPr>
      </w:pPr>
    </w:p>
    <w:p w14:paraId="0000001C" w14:textId="3C74C180" w:rsidR="004A407C" w:rsidRDefault="00080454">
      <w:pPr>
        <w:ind w:firstLine="720"/>
        <w:jc w:val="both"/>
        <w:rPr>
          <w:rFonts w:ascii="Book Antiqua" w:eastAsia="Book Antiqua" w:hAnsi="Book Antiqua" w:cs="Book Antiqua"/>
        </w:rPr>
      </w:pPr>
      <w:r>
        <w:rPr>
          <w:rFonts w:ascii="Book Antiqua" w:eastAsia="Book Antiqua" w:hAnsi="Book Antiqua" w:cs="Book Antiqua"/>
        </w:rPr>
        <w:t>Los pueblos ubicados en las costas de Puerto Rico,</w:t>
      </w:r>
      <w:r w:rsidR="00A73EB1">
        <w:rPr>
          <w:rFonts w:ascii="Book Antiqua" w:eastAsia="Book Antiqua" w:hAnsi="Book Antiqua" w:cs="Book Antiqua"/>
        </w:rPr>
        <w:t xml:space="preserve"> </w:t>
      </w:r>
      <w:proofErr w:type="spellStart"/>
      <w:r>
        <w:rPr>
          <w:rFonts w:ascii="Book Antiqua" w:eastAsia="Book Antiqua" w:hAnsi="Book Antiqua" w:cs="Book Antiqua"/>
        </w:rPr>
        <w:t>inclueyendo</w:t>
      </w:r>
      <w:proofErr w:type="spellEnd"/>
      <w:r>
        <w:rPr>
          <w:rFonts w:ascii="Book Antiqua" w:eastAsia="Book Antiqua" w:hAnsi="Book Antiqua" w:cs="Book Antiqua"/>
        </w:rPr>
        <w:t xml:space="preserve"> a Vieque</w:t>
      </w:r>
      <w:r w:rsidR="000B709C">
        <w:rPr>
          <w:rFonts w:ascii="Book Antiqua" w:eastAsia="Book Antiqua" w:hAnsi="Book Antiqua" w:cs="Book Antiqua"/>
        </w:rPr>
        <w:t>s</w:t>
      </w:r>
      <w:r>
        <w:rPr>
          <w:rFonts w:ascii="Book Antiqua" w:eastAsia="Book Antiqua" w:hAnsi="Book Antiqua" w:cs="Book Antiqua"/>
        </w:rPr>
        <w:t xml:space="preserve">, y Culebra, constituyen áreas críticas de </w:t>
      </w:r>
      <w:proofErr w:type="spellStart"/>
      <w:r>
        <w:rPr>
          <w:rFonts w:ascii="Book Antiqua" w:eastAsia="Book Antiqua" w:hAnsi="Book Antiqua" w:cs="Book Antiqua"/>
        </w:rPr>
        <w:t>anidaje</w:t>
      </w:r>
      <w:proofErr w:type="spellEnd"/>
      <w:r>
        <w:rPr>
          <w:rFonts w:ascii="Book Antiqua" w:eastAsia="Book Antiqua" w:hAnsi="Book Antiqua" w:cs="Book Antiqua"/>
        </w:rPr>
        <w:t xml:space="preserve"> para tortugas marinas protegidas bajo legislación estatal y federal, tales como el tinglar (</w:t>
      </w:r>
      <w:proofErr w:type="spellStart"/>
      <w:r>
        <w:rPr>
          <w:rFonts w:ascii="Book Antiqua" w:eastAsia="Book Antiqua" w:hAnsi="Book Antiqua" w:cs="Book Antiqua"/>
          <w:i/>
          <w:iCs/>
        </w:rPr>
        <w:t>Dermochelys</w:t>
      </w:r>
      <w:proofErr w:type="spellEnd"/>
      <w:r>
        <w:rPr>
          <w:rFonts w:ascii="Book Antiqua" w:eastAsia="Book Antiqua" w:hAnsi="Book Antiqua" w:cs="Book Antiqua"/>
          <w:i/>
          <w:iCs/>
        </w:rPr>
        <w:t xml:space="preserve"> </w:t>
      </w:r>
      <w:proofErr w:type="spellStart"/>
      <w:r>
        <w:rPr>
          <w:rFonts w:ascii="Book Antiqua" w:eastAsia="Book Antiqua" w:hAnsi="Book Antiqua" w:cs="Book Antiqua"/>
          <w:i/>
          <w:iCs/>
        </w:rPr>
        <w:t>coriacea</w:t>
      </w:r>
      <w:proofErr w:type="spellEnd"/>
      <w:r>
        <w:rPr>
          <w:rFonts w:ascii="Book Antiqua" w:eastAsia="Book Antiqua" w:hAnsi="Book Antiqua" w:cs="Book Antiqua"/>
        </w:rPr>
        <w:t>), el carey (</w:t>
      </w:r>
      <w:proofErr w:type="spellStart"/>
      <w:r>
        <w:rPr>
          <w:rFonts w:ascii="Book Antiqua" w:eastAsia="Book Antiqua" w:hAnsi="Book Antiqua" w:cs="Book Antiqua"/>
          <w:i/>
          <w:iCs/>
        </w:rPr>
        <w:t>Eretmochelys</w:t>
      </w:r>
      <w:proofErr w:type="spellEnd"/>
      <w:r>
        <w:rPr>
          <w:rFonts w:ascii="Book Antiqua" w:eastAsia="Book Antiqua" w:hAnsi="Book Antiqua" w:cs="Book Antiqua"/>
          <w:i/>
          <w:iCs/>
        </w:rPr>
        <w:t xml:space="preserve"> </w:t>
      </w:r>
      <w:proofErr w:type="spellStart"/>
      <w:r>
        <w:rPr>
          <w:rFonts w:ascii="Book Antiqua" w:eastAsia="Book Antiqua" w:hAnsi="Book Antiqua" w:cs="Book Antiqua"/>
          <w:i/>
          <w:iCs/>
        </w:rPr>
        <w:t>imbricata</w:t>
      </w:r>
      <w:proofErr w:type="spellEnd"/>
      <w:r>
        <w:rPr>
          <w:rFonts w:ascii="Book Antiqua" w:eastAsia="Book Antiqua" w:hAnsi="Book Antiqua" w:cs="Book Antiqua"/>
        </w:rPr>
        <w:t>) y el peje blanco (</w:t>
      </w:r>
      <w:proofErr w:type="spellStart"/>
      <w:r>
        <w:rPr>
          <w:rFonts w:ascii="Book Antiqua" w:eastAsia="Book Antiqua" w:hAnsi="Book Antiqua" w:cs="Book Antiqua"/>
          <w:i/>
          <w:iCs/>
        </w:rPr>
        <w:t>Chelonia</w:t>
      </w:r>
      <w:proofErr w:type="spellEnd"/>
      <w:r>
        <w:rPr>
          <w:rFonts w:ascii="Book Antiqua" w:eastAsia="Book Antiqua" w:hAnsi="Book Antiqua" w:cs="Book Antiqua"/>
          <w:i/>
          <w:iCs/>
        </w:rPr>
        <w:t xml:space="preserve"> </w:t>
      </w:r>
      <w:proofErr w:type="spellStart"/>
      <w:r>
        <w:rPr>
          <w:rFonts w:ascii="Book Antiqua" w:eastAsia="Book Antiqua" w:hAnsi="Book Antiqua" w:cs="Book Antiqua"/>
          <w:i/>
          <w:iCs/>
        </w:rPr>
        <w:t>mydas</w:t>
      </w:r>
      <w:proofErr w:type="spellEnd"/>
      <w:r>
        <w:rPr>
          <w:rFonts w:ascii="Book Antiqua" w:eastAsia="Book Antiqua" w:hAnsi="Book Antiqua" w:cs="Book Antiqua"/>
        </w:rPr>
        <w:t>). La evidencia científica demuestra que la iluminación artificial mal dirigida en playas y zonas cercanas provoca desorientación en las crías recién nacidas, reduciendo drásticamente sus probabilidades de llegar al mar y afectando negativamente la recuperación de estas especies</w:t>
      </w:r>
      <w:r>
        <w:rPr>
          <w:rFonts w:ascii="Book Antiqua" w:eastAsia="Book Antiqua" w:hAnsi="Book Antiqua" w:cs="Book Antiqua"/>
          <w:vertAlign w:val="superscript"/>
        </w:rPr>
        <w:footnoteReference w:id="2"/>
      </w:r>
      <w:r>
        <w:rPr>
          <w:rFonts w:ascii="Book Antiqua" w:eastAsia="Book Antiqua" w:hAnsi="Book Antiqua" w:cs="Book Antiqua"/>
        </w:rPr>
        <w:t>.</w:t>
      </w:r>
    </w:p>
    <w:p w14:paraId="0000001D" w14:textId="77777777" w:rsidR="004A407C" w:rsidRDefault="004A407C">
      <w:pPr>
        <w:ind w:firstLine="720"/>
        <w:jc w:val="both"/>
        <w:rPr>
          <w:rFonts w:ascii="Book Antiqua" w:eastAsia="Book Antiqua" w:hAnsi="Book Antiqua" w:cs="Book Antiqua"/>
        </w:rPr>
      </w:pPr>
    </w:p>
    <w:p w14:paraId="0000001E" w14:textId="205CCD3F" w:rsidR="004A407C" w:rsidRDefault="00FA57FC">
      <w:pPr>
        <w:ind w:firstLine="720"/>
        <w:jc w:val="both"/>
        <w:rPr>
          <w:rFonts w:ascii="Book Antiqua" w:eastAsia="Book Antiqua" w:hAnsi="Book Antiqua" w:cs="Book Antiqua"/>
        </w:rPr>
      </w:pPr>
      <w:r>
        <w:rPr>
          <w:rFonts w:ascii="Book Antiqua" w:eastAsia="Book Antiqua" w:hAnsi="Book Antiqua" w:cs="Book Antiqua"/>
        </w:rPr>
        <w:t>Asimismo, la contaminación lumínica afecta poblaciones de aves migratorias que utilizan a Puerto Rico como punto de descanso</w:t>
      </w:r>
      <w:r w:rsidR="00A73EB1">
        <w:rPr>
          <w:rFonts w:ascii="Book Antiqua" w:eastAsia="Book Antiqua" w:hAnsi="Book Antiqua" w:cs="Book Antiqua"/>
        </w:rPr>
        <w:t xml:space="preserve">. </w:t>
      </w:r>
      <w:r w:rsidR="00A73EB1">
        <w:t xml:space="preserve">También </w:t>
      </w:r>
      <w:r w:rsidR="00A73EB1">
        <w:rPr>
          <w:rFonts w:ascii="Book Antiqua" w:eastAsia="Book Antiqua" w:hAnsi="Book Antiqua" w:cs="Book Antiqua"/>
        </w:rPr>
        <w:t xml:space="preserve">las </w:t>
      </w:r>
      <w:r>
        <w:rPr>
          <w:rFonts w:ascii="Book Antiqua" w:eastAsia="Book Antiqua" w:hAnsi="Book Antiqua" w:cs="Book Antiqua"/>
        </w:rPr>
        <w:t>especies endémicas como el coquí, murciélagos insectívoros y polinizadores nocturnos,</w:t>
      </w:r>
      <w:r w:rsidR="00A73EB1">
        <w:rPr>
          <w:rFonts w:ascii="Book Antiqua" w:eastAsia="Book Antiqua" w:hAnsi="Book Antiqua" w:cs="Book Antiqua"/>
        </w:rPr>
        <w:t xml:space="preserve"> se ven afectadas ya que</w:t>
      </w:r>
      <w:r>
        <w:rPr>
          <w:rFonts w:ascii="Book Antiqua" w:eastAsia="Book Antiqua" w:hAnsi="Book Antiqua" w:cs="Book Antiqua"/>
        </w:rPr>
        <w:t xml:space="preserve"> </w:t>
      </w:r>
      <w:r w:rsidR="00A73EB1">
        <w:rPr>
          <w:rFonts w:ascii="Book Antiqua" w:eastAsia="Book Antiqua" w:hAnsi="Book Antiqua" w:cs="Book Antiqua"/>
        </w:rPr>
        <w:t>sus a</w:t>
      </w:r>
      <w:r>
        <w:rPr>
          <w:rFonts w:ascii="Book Antiqua" w:eastAsia="Book Antiqua" w:hAnsi="Book Antiqua" w:cs="Book Antiqua"/>
        </w:rPr>
        <w:t>ctividad</w:t>
      </w:r>
      <w:r w:rsidR="00A73EB1">
        <w:rPr>
          <w:rFonts w:ascii="Book Antiqua" w:eastAsia="Book Antiqua" w:hAnsi="Book Antiqua" w:cs="Book Antiqua"/>
        </w:rPr>
        <w:t>es</w:t>
      </w:r>
      <w:r>
        <w:rPr>
          <w:rFonts w:ascii="Book Antiqua" w:eastAsia="Book Antiqua" w:hAnsi="Book Antiqua" w:cs="Book Antiqua"/>
        </w:rPr>
        <w:t xml:space="preserve"> se </w:t>
      </w:r>
      <w:r w:rsidR="00A73EB1">
        <w:rPr>
          <w:rFonts w:ascii="Book Antiqua" w:eastAsia="Book Antiqua" w:hAnsi="Book Antiqua" w:cs="Book Antiqua"/>
        </w:rPr>
        <w:t>alteran</w:t>
      </w:r>
      <w:r>
        <w:rPr>
          <w:rFonts w:ascii="Book Antiqua" w:eastAsia="Book Antiqua" w:hAnsi="Book Antiqua" w:cs="Book Antiqua"/>
        </w:rPr>
        <w:t xml:space="preserve"> por la iluminación artificial continua. Estas alteraciones repercuten en procesos ecológicos esenciales como la polinización, el control de insectos y el equilibrio entre especies depredadoras y presas.</w:t>
      </w:r>
    </w:p>
    <w:p w14:paraId="0000001F" w14:textId="77777777" w:rsidR="004A407C" w:rsidRDefault="004A407C">
      <w:pPr>
        <w:ind w:firstLine="720"/>
        <w:jc w:val="both"/>
        <w:rPr>
          <w:rFonts w:ascii="Book Antiqua" w:eastAsia="Book Antiqua" w:hAnsi="Book Antiqua" w:cs="Book Antiqua"/>
        </w:rPr>
      </w:pPr>
    </w:p>
    <w:p w14:paraId="00000021" w14:textId="5C92A0D5" w:rsidR="004A407C" w:rsidRDefault="00FA57FC">
      <w:pPr>
        <w:ind w:firstLine="720"/>
        <w:jc w:val="both"/>
        <w:rPr>
          <w:rFonts w:ascii="Book Antiqua" w:eastAsia="Book Antiqua" w:hAnsi="Book Antiqua" w:cs="Book Antiqua"/>
        </w:rPr>
      </w:pPr>
      <w:r>
        <w:rPr>
          <w:rFonts w:ascii="Book Antiqua" w:eastAsia="Book Antiqua" w:hAnsi="Book Antiqua" w:cs="Book Antiqua"/>
        </w:rPr>
        <w:t>Desde una perspectiva estadística y energética, se estima que una proporción significativa del alumbrado exterior instalado en Puerto Rico genera luz innecesaria o mal dirigida, lo que conlleva un desperdicio considerable de energía eléctrica. En un contexto donde el Puerto Rico enfrenta altos costos energéticos, vulnerabilidad en su sistema eléctrico y compromisos de reducción de emisiones, la iluminación ineficiente representa un gasto evitable para el Gobierno Central, los municipios y las corporaciones públicas. La modernización de los sistemas de iluminación, conforme a criterios de control de contaminación lumínica, puede traducirse en ahorros sustanciales y en una reducción de la huella ambiental.</w:t>
      </w:r>
    </w:p>
    <w:p w14:paraId="00000022" w14:textId="77777777" w:rsidR="004A407C" w:rsidRDefault="00FA57FC">
      <w:pPr>
        <w:ind w:firstLine="720"/>
        <w:jc w:val="both"/>
        <w:rPr>
          <w:rFonts w:ascii="Book Antiqua" w:eastAsia="Book Antiqua" w:hAnsi="Book Antiqua" w:cs="Book Antiqua"/>
        </w:rPr>
      </w:pPr>
      <w:r>
        <w:rPr>
          <w:rFonts w:ascii="Book Antiqua" w:eastAsia="Book Antiqua" w:hAnsi="Book Antiqua" w:cs="Book Antiqua"/>
        </w:rPr>
        <w:lastRenderedPageBreak/>
        <w:t>La Ley Núm. 218-2008, conocida como la “Ley para el Control y la Prevención de la Contaminación Lumínica”, representó un paso afirmativo al reconocer esta problemática y establecer una política pública dirigida a su mitigación. No obstante, desde su aprobación, Puerto Rico ha experimentado cambios significativos en patrones de desarrollo, avances tecnológicos en sistemas de iluminación, y una mayor conciencia científica sobre los efectos de la contaminación lumínica en la biodiversidad y la salud de los ecosistemas.</w:t>
      </w:r>
    </w:p>
    <w:p w14:paraId="00000023" w14:textId="77777777" w:rsidR="004A407C" w:rsidRDefault="004A407C">
      <w:pPr>
        <w:ind w:firstLine="720"/>
        <w:jc w:val="both"/>
        <w:rPr>
          <w:rFonts w:ascii="Book Antiqua" w:eastAsia="Book Antiqua" w:hAnsi="Book Antiqua" w:cs="Book Antiqua"/>
        </w:rPr>
      </w:pPr>
    </w:p>
    <w:p w14:paraId="00000024" w14:textId="18B612F7" w:rsidR="004A407C" w:rsidRDefault="00FA57FC">
      <w:pPr>
        <w:ind w:firstLine="720"/>
        <w:jc w:val="both"/>
        <w:rPr>
          <w:rFonts w:ascii="Book Antiqua" w:eastAsia="Book Antiqua" w:hAnsi="Book Antiqua" w:cs="Book Antiqua"/>
        </w:rPr>
      </w:pPr>
      <w:r>
        <w:rPr>
          <w:rFonts w:ascii="Book Antiqua" w:eastAsia="Book Antiqua" w:hAnsi="Book Antiqua" w:cs="Book Antiqua"/>
        </w:rPr>
        <w:t xml:space="preserve">Resulta, por tanto, necesario enmendar la Ley 218-2008 para fortalecer sus disposiciones, actualizar definiciones y criterios técnicos, y reforzar los mecanismos de protección en áreas ecológicamente </w:t>
      </w:r>
      <w:sdt>
        <w:sdtPr>
          <w:tag w:val="goog_rdk_2"/>
          <w:id w:val="1279422492"/>
        </w:sdtPr>
        <w:sdtEndPr/>
        <w:sdtContent/>
      </w:sdt>
      <w:r>
        <w:rPr>
          <w:rFonts w:ascii="Book Antiqua" w:eastAsia="Book Antiqua" w:hAnsi="Book Antiqua" w:cs="Book Antiqua"/>
        </w:rPr>
        <w:t>sen</w:t>
      </w:r>
      <w:r w:rsidR="00A73EB1">
        <w:rPr>
          <w:rFonts w:ascii="Book Antiqua" w:eastAsia="Book Antiqua" w:hAnsi="Book Antiqua" w:cs="Book Antiqua"/>
        </w:rPr>
        <w:t>sibles</w:t>
      </w:r>
      <w:r>
        <w:rPr>
          <w:rFonts w:ascii="Book Antiqua" w:eastAsia="Book Antiqua" w:hAnsi="Book Antiqua" w:cs="Book Antiqua"/>
        </w:rPr>
        <w:t>, sin menoscabar la seguridad pública ni el desarrollo económico. Esta medida legislativa busca armonizar el crecimiento urbano con la conservación ambiental, promover prácticas de iluminación responsable y reafirmar el compromiso del Gobierno de Puerto Rico con la protección de sus recursos naturales y especies protegidas.</w:t>
      </w:r>
    </w:p>
    <w:p w14:paraId="00000025" w14:textId="77777777" w:rsidR="004A407C" w:rsidRDefault="004A407C">
      <w:pPr>
        <w:ind w:firstLine="720"/>
        <w:jc w:val="both"/>
        <w:rPr>
          <w:rFonts w:ascii="Book Antiqua" w:eastAsia="Book Antiqua" w:hAnsi="Book Antiqua" w:cs="Book Antiqua"/>
        </w:rPr>
      </w:pPr>
    </w:p>
    <w:p w14:paraId="00000026" w14:textId="77777777" w:rsidR="004A407C" w:rsidRDefault="00FA57FC">
      <w:pPr>
        <w:ind w:firstLine="720"/>
        <w:jc w:val="both"/>
        <w:rPr>
          <w:rFonts w:ascii="Book Antiqua" w:eastAsia="Book Antiqua" w:hAnsi="Book Antiqua" w:cs="Book Antiqua"/>
        </w:rPr>
      </w:pPr>
      <w:r>
        <w:rPr>
          <w:rFonts w:ascii="Book Antiqua" w:eastAsia="Book Antiqua" w:hAnsi="Book Antiqua" w:cs="Book Antiqua"/>
        </w:rPr>
        <w:t>La Asamblea Legislativa entiende que enmendar la Ley Núm. 218-2008 es una acción necesaria y urgente para salvaguardar la biodiversidad del País, proteger ecosistemas de alto valor ecológico, promover el uso eficiente de energía y garantizar un desarrollo sostenible para las generaciones presentes y futuras.</w:t>
      </w:r>
    </w:p>
    <w:p w14:paraId="00000027" w14:textId="77777777" w:rsidR="004A407C" w:rsidRDefault="004A407C">
      <w:pPr>
        <w:ind w:firstLine="720"/>
        <w:jc w:val="both"/>
        <w:rPr>
          <w:rFonts w:ascii="Book Antiqua" w:eastAsia="Book Antiqua" w:hAnsi="Book Antiqua" w:cs="Book Antiqua"/>
        </w:rPr>
      </w:pPr>
    </w:p>
    <w:p w14:paraId="00000028" w14:textId="77777777" w:rsidR="004A407C" w:rsidRDefault="00FA57FC">
      <w:pPr>
        <w:spacing w:line="480" w:lineRule="auto"/>
        <w:rPr>
          <w:rFonts w:ascii="Book Antiqua" w:eastAsia="Book Antiqua" w:hAnsi="Book Antiqua" w:cs="Book Antiqua"/>
          <w:i/>
          <w:iCs/>
        </w:rPr>
        <w:sectPr w:rsidR="004A407C">
          <w:headerReference w:type="default" r:id="rId8"/>
          <w:pgSz w:w="12240" w:h="15840"/>
          <w:pgMar w:top="1440" w:right="1440" w:bottom="1440" w:left="1440" w:header="720" w:footer="720" w:gutter="0"/>
          <w:pgNumType w:start="1"/>
          <w:cols w:space="720"/>
          <w:titlePg/>
        </w:sectPr>
      </w:pPr>
      <w:r>
        <w:rPr>
          <w:rFonts w:ascii="Book Antiqua" w:eastAsia="Book Antiqua" w:hAnsi="Book Antiqua" w:cs="Book Antiqua"/>
          <w:i/>
          <w:iCs/>
        </w:rPr>
        <w:t>DECRÉTASE POR LA ASAMBLEA LEGISLATIVA DE PUERTO RICO:</w:t>
      </w:r>
    </w:p>
    <w:p w14:paraId="00000029" w14:textId="4063E9B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Sección 1.  Para</w:t>
      </w:r>
      <w:r w:rsidR="004D1A36">
        <w:rPr>
          <w:rFonts w:ascii="Book Antiqua" w:eastAsia="Book Antiqua" w:hAnsi="Book Antiqua" w:cs="Book Antiqua"/>
          <w:color w:val="000000"/>
        </w:rPr>
        <w:t xml:space="preserve"> enmendar el inciso (x) y añadir el inciso (</w:t>
      </w:r>
      <w:proofErr w:type="spellStart"/>
      <w:r w:rsidR="004D1A36">
        <w:rPr>
          <w:rFonts w:ascii="Book Antiqua" w:eastAsia="Book Antiqua" w:hAnsi="Book Antiqua" w:cs="Book Antiqua"/>
          <w:color w:val="000000"/>
        </w:rPr>
        <w:t>oo</w:t>
      </w:r>
      <w:proofErr w:type="spellEnd"/>
      <w:r w:rsidR="004D1A36">
        <w:rPr>
          <w:rFonts w:ascii="Book Antiqua" w:eastAsia="Book Antiqua" w:hAnsi="Book Antiqua" w:cs="Book Antiqua"/>
          <w:color w:val="000000"/>
        </w:rPr>
        <w:t xml:space="preserve">) </w:t>
      </w:r>
      <w:r>
        <w:rPr>
          <w:rFonts w:ascii="Book Antiqua" w:eastAsia="Book Antiqua" w:hAnsi="Book Antiqua" w:cs="Book Antiqua"/>
          <w:color w:val="000000"/>
        </w:rPr>
        <w:t>al Artículo 3 de la Ley Núm. 218 de 2008, según enmendada para que lea como sigue:</w:t>
      </w:r>
    </w:p>
    <w:p w14:paraId="0000002A"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Artículo 3. — Definiciones. (12 L.P.R.A. § 8031)</w:t>
      </w:r>
    </w:p>
    <w:p w14:paraId="0000002B" w14:textId="38517BEA" w:rsidR="004A407C" w:rsidRDefault="004D1A36">
      <w:pPr>
        <w:pBdr>
          <w:top w:val="nil"/>
          <w:left w:val="nil"/>
          <w:bottom w:val="nil"/>
          <w:right w:val="nil"/>
          <w:between w:val="nil"/>
        </w:pBdr>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a) …</w:t>
      </w:r>
    </w:p>
    <w:p w14:paraId="6465D047" w14:textId="160C3363" w:rsidR="004D1A36" w:rsidRDefault="004D1A36">
      <w:pPr>
        <w:pBdr>
          <w:top w:val="nil"/>
          <w:left w:val="nil"/>
          <w:bottom w:val="nil"/>
          <w:right w:val="nil"/>
          <w:between w:val="nil"/>
        </w:pBdr>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b) …</w:t>
      </w:r>
    </w:p>
    <w:p w14:paraId="7699E493" w14:textId="79F65DDB" w:rsidR="004D1A36" w:rsidRDefault="004D1A36" w:rsidP="004D1A36">
      <w:pPr>
        <w:pBdr>
          <w:top w:val="nil"/>
          <w:left w:val="nil"/>
          <w:bottom w:val="nil"/>
          <w:right w:val="nil"/>
          <w:between w:val="nil"/>
        </w:pBdr>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w:t>
      </w:r>
    </w:p>
    <w:p w14:paraId="2CB9A239" w14:textId="16FCC7D4" w:rsidR="004D1A36" w:rsidRDefault="004D1A36" w:rsidP="004D1A36">
      <w:pPr>
        <w:pBdr>
          <w:top w:val="nil"/>
          <w:left w:val="nil"/>
          <w:bottom w:val="nil"/>
          <w:right w:val="nil"/>
          <w:between w:val="nil"/>
        </w:pBdr>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x)</w:t>
      </w:r>
      <w:r w:rsidR="00FA57FC">
        <w:rPr>
          <w:rFonts w:ascii="Book Antiqua" w:eastAsia="Book Antiqua" w:hAnsi="Book Antiqua" w:cs="Book Antiqua"/>
          <w:color w:val="000000"/>
        </w:rPr>
        <w:t xml:space="preserve"> “Letreros Digitales” — Significa todo sistema lumínico utilizado para rótulos o anuncios digitales</w:t>
      </w:r>
      <w:r>
        <w:rPr>
          <w:rFonts w:ascii="Book Antiqua" w:eastAsia="Book Antiqua" w:hAnsi="Book Antiqua" w:cs="Book Antiqua"/>
          <w:i/>
          <w:iCs/>
          <w:color w:val="000000"/>
        </w:rPr>
        <w:t xml:space="preserve">, </w:t>
      </w:r>
      <w:r w:rsidR="00FA57FC">
        <w:rPr>
          <w:rFonts w:ascii="Book Antiqua" w:eastAsia="Book Antiqua" w:hAnsi="Book Antiqua" w:cs="Book Antiqua"/>
          <w:color w:val="000000"/>
        </w:rPr>
        <w:t>al aire libre, que utilice tecnología digital, tales como “plasma”, “LED”, “LCD”, u otra con características y propósitos similares</w:t>
      </w:r>
      <w:r w:rsidR="00897D7B">
        <w:rPr>
          <w:rFonts w:ascii="Book Antiqua" w:eastAsia="Book Antiqua" w:hAnsi="Book Antiqua" w:cs="Book Antiqua"/>
          <w:color w:val="000000"/>
        </w:rPr>
        <w:t xml:space="preserve"> </w:t>
      </w:r>
      <w:r w:rsidR="00897D7B">
        <w:rPr>
          <w:rFonts w:ascii="Book Antiqua" w:eastAsia="Book Antiqua" w:hAnsi="Book Antiqua" w:cs="Book Antiqua"/>
          <w:i/>
          <w:iCs/>
          <w:color w:val="000000"/>
        </w:rPr>
        <w:t>a los “</w:t>
      </w:r>
      <w:proofErr w:type="spellStart"/>
      <w:r w:rsidR="00897D7B">
        <w:rPr>
          <w:rFonts w:ascii="Book Antiqua" w:eastAsia="Book Antiqua" w:hAnsi="Book Antiqua" w:cs="Book Antiqua"/>
          <w:i/>
          <w:iCs/>
          <w:color w:val="000000"/>
        </w:rPr>
        <w:t>billboards</w:t>
      </w:r>
      <w:proofErr w:type="spellEnd"/>
      <w:r w:rsidR="00897D7B">
        <w:rPr>
          <w:rFonts w:ascii="Book Antiqua" w:eastAsia="Book Antiqua" w:hAnsi="Book Antiqua" w:cs="Book Antiqua"/>
          <w:i/>
          <w:iCs/>
          <w:color w:val="000000"/>
        </w:rPr>
        <w:t>”.</w:t>
      </w:r>
    </w:p>
    <w:p w14:paraId="73BDDBF9" w14:textId="530FA092" w:rsidR="004D1A36" w:rsidRDefault="004D1A36" w:rsidP="004D1A36">
      <w:pPr>
        <w:pBdr>
          <w:top w:val="nil"/>
          <w:left w:val="nil"/>
          <w:bottom w:val="nil"/>
          <w:right w:val="nil"/>
          <w:between w:val="nil"/>
        </w:pBdr>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y) …</w:t>
      </w:r>
    </w:p>
    <w:p w14:paraId="5CFB1BE8" w14:textId="614B456E" w:rsidR="004D1A36" w:rsidRDefault="004D1A36" w:rsidP="004D1A36">
      <w:pPr>
        <w:pBdr>
          <w:top w:val="nil"/>
          <w:left w:val="nil"/>
          <w:bottom w:val="nil"/>
          <w:right w:val="nil"/>
          <w:between w:val="nil"/>
        </w:pBdr>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lastRenderedPageBreak/>
        <w:t>z) …</w:t>
      </w:r>
    </w:p>
    <w:p w14:paraId="283284C4" w14:textId="09CE026F" w:rsidR="004D1A36" w:rsidRDefault="004D1A36" w:rsidP="004D1A36">
      <w:pPr>
        <w:pBdr>
          <w:top w:val="nil"/>
          <w:left w:val="nil"/>
          <w:bottom w:val="nil"/>
          <w:right w:val="nil"/>
          <w:between w:val="nil"/>
        </w:pBdr>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w:t>
      </w:r>
    </w:p>
    <w:p w14:paraId="351D66FB" w14:textId="531044D8" w:rsidR="004D1A36" w:rsidRPr="004D1A36" w:rsidRDefault="004D1A36" w:rsidP="004D1A36">
      <w:pPr>
        <w:pBdr>
          <w:top w:val="nil"/>
          <w:left w:val="nil"/>
          <w:bottom w:val="nil"/>
          <w:right w:val="nil"/>
          <w:between w:val="nil"/>
        </w:pBdr>
        <w:spacing w:line="480" w:lineRule="auto"/>
        <w:ind w:left="720"/>
        <w:jc w:val="both"/>
        <w:rPr>
          <w:rFonts w:ascii="Book Antiqua" w:eastAsia="Book Antiqua" w:hAnsi="Book Antiqua" w:cs="Book Antiqua"/>
          <w:i/>
          <w:iCs/>
          <w:color w:val="000000"/>
        </w:rPr>
      </w:pPr>
      <w:proofErr w:type="spellStart"/>
      <w:r>
        <w:rPr>
          <w:rFonts w:ascii="Book Antiqua" w:eastAsia="Book Antiqua" w:hAnsi="Book Antiqua" w:cs="Book Antiqua"/>
          <w:i/>
          <w:iCs/>
          <w:color w:val="000000"/>
        </w:rPr>
        <w:t>oo</w:t>
      </w:r>
      <w:proofErr w:type="spellEnd"/>
      <w:r>
        <w:rPr>
          <w:rFonts w:ascii="Book Antiqua" w:eastAsia="Book Antiqua" w:hAnsi="Book Antiqua" w:cs="Book Antiqua"/>
          <w:i/>
          <w:iCs/>
          <w:color w:val="000000"/>
        </w:rPr>
        <w:t xml:space="preserve">) </w:t>
      </w:r>
      <w:r w:rsidRPr="00080454">
        <w:rPr>
          <w:rFonts w:ascii="Book Antiqua" w:eastAsia="Book Antiqua" w:hAnsi="Book Antiqua" w:cs="Book Antiqua"/>
          <w:i/>
          <w:iCs/>
          <w:color w:val="000000"/>
        </w:rPr>
        <w:t>“</w:t>
      </w:r>
      <w:r>
        <w:rPr>
          <w:rFonts w:ascii="Book Antiqua" w:eastAsia="Book Antiqua" w:hAnsi="Book Antiqua" w:cs="Book Antiqua"/>
          <w:i/>
          <w:iCs/>
          <w:color w:val="000000"/>
        </w:rPr>
        <w:t>Zona</w:t>
      </w:r>
      <w:r w:rsidRPr="00080454">
        <w:rPr>
          <w:rFonts w:ascii="Book Antiqua" w:eastAsia="Book Antiqua" w:hAnsi="Book Antiqua" w:cs="Book Antiqua"/>
          <w:i/>
          <w:iCs/>
          <w:color w:val="000000"/>
        </w:rPr>
        <w:t xml:space="preserve"> Crítica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de Tortugas Marinas”:</w:t>
      </w:r>
      <w:r>
        <w:rPr>
          <w:rFonts w:ascii="Book Antiqua" w:eastAsia="Book Antiqua" w:hAnsi="Book Antiqua" w:cs="Book Antiqua"/>
          <w:i/>
          <w:iCs/>
          <w:color w:val="000000"/>
        </w:rPr>
        <w:t xml:space="preserve"> </w:t>
      </w:r>
      <w:r w:rsidRPr="00080454">
        <w:rPr>
          <w:rFonts w:ascii="Book Antiqua" w:eastAsia="Book Antiqua" w:hAnsi="Book Antiqua" w:cs="Book Antiqua"/>
          <w:i/>
          <w:iCs/>
          <w:color w:val="000000"/>
        </w:rPr>
        <w:t xml:space="preserve">Toda playa o franja costera, pública o privada, identificada por el Departamento de Recursos Naturales y Ambientales (DRNA) como hábitat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recurrente de tortugas marinas, conforme a datos científicos, históricos o técnicos disponibles.</w:t>
      </w:r>
    </w:p>
    <w:p w14:paraId="00000056"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Sección 2.-</w:t>
      </w:r>
      <w:r>
        <w:rPr>
          <w:color w:val="000000"/>
        </w:rPr>
        <w:t xml:space="preserve"> </w:t>
      </w:r>
      <w:r>
        <w:rPr>
          <w:rFonts w:ascii="Book Antiqua" w:eastAsia="Book Antiqua" w:hAnsi="Book Antiqua" w:cs="Book Antiqua"/>
          <w:color w:val="000000"/>
        </w:rPr>
        <w:t>Para añadir un nuevo inciso (f) al Artículo 6 de la Ley Núm. 218 de 2008, según enmendada para que lea como sigue:</w:t>
      </w:r>
    </w:p>
    <w:p w14:paraId="00000057"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Artículo 6. – Disposiciones Generales. (12 L.P.R.A. § 8034)</w:t>
      </w:r>
    </w:p>
    <w:p w14:paraId="00000058" w14:textId="77777777" w:rsidR="004A407C" w:rsidRDefault="00FA57FC">
      <w:pPr>
        <w:numPr>
          <w:ilvl w:val="0"/>
          <w:numId w:val="1"/>
        </w:num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w:t>
      </w:r>
    </w:p>
    <w:p w14:paraId="00000059" w14:textId="77777777" w:rsidR="004A407C" w:rsidRDefault="00FA57FC">
      <w:pPr>
        <w:numPr>
          <w:ilvl w:val="0"/>
          <w:numId w:val="1"/>
        </w:num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w:t>
      </w:r>
    </w:p>
    <w:p w14:paraId="0000005A" w14:textId="77777777" w:rsidR="004A407C" w:rsidRDefault="00FA57FC">
      <w:pPr>
        <w:pBdr>
          <w:top w:val="nil"/>
          <w:left w:val="nil"/>
          <w:bottom w:val="nil"/>
          <w:right w:val="nil"/>
          <w:between w:val="nil"/>
        </w:pBdr>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w:t>
      </w:r>
    </w:p>
    <w:p w14:paraId="0000005B" w14:textId="05484C6D" w:rsidR="004A407C" w:rsidRPr="00080454" w:rsidRDefault="00FA57FC">
      <w:pPr>
        <w:pBdr>
          <w:top w:val="nil"/>
          <w:left w:val="nil"/>
          <w:bottom w:val="nil"/>
          <w:right w:val="nil"/>
          <w:between w:val="nil"/>
        </w:pBdr>
        <w:spacing w:line="480" w:lineRule="auto"/>
        <w:ind w:firstLine="720"/>
        <w:jc w:val="both"/>
        <w:rPr>
          <w:rFonts w:ascii="Book Antiqua" w:eastAsia="Book Antiqua" w:hAnsi="Book Antiqua" w:cs="Book Antiqua"/>
          <w:color w:val="000000"/>
        </w:rPr>
      </w:pPr>
      <w:r w:rsidRPr="00080454">
        <w:rPr>
          <w:rFonts w:ascii="Book Antiqua" w:eastAsia="Book Antiqua" w:hAnsi="Book Antiqua" w:cs="Book Antiqua"/>
          <w:i/>
          <w:iCs/>
          <w:color w:val="000000"/>
        </w:rPr>
        <w:t>(f)</w:t>
      </w:r>
      <w:r w:rsidRPr="00080454">
        <w:rPr>
          <w:color w:val="000000"/>
        </w:rPr>
        <w:t xml:space="preserve"> </w:t>
      </w:r>
      <w:r w:rsidRPr="00080454">
        <w:rPr>
          <w:rFonts w:ascii="Book Antiqua" w:eastAsia="Book Antiqua" w:hAnsi="Book Antiqua" w:cs="Book Antiqua"/>
          <w:i/>
          <w:iCs/>
          <w:color w:val="000000"/>
        </w:rPr>
        <w:t xml:space="preserve">Protección de </w:t>
      </w:r>
      <w:r w:rsidR="000B709C">
        <w:rPr>
          <w:rFonts w:ascii="Book Antiqua" w:eastAsia="Book Antiqua" w:hAnsi="Book Antiqua" w:cs="Book Antiqua"/>
          <w:i/>
          <w:iCs/>
          <w:color w:val="000000"/>
        </w:rPr>
        <w:t>Zonas</w:t>
      </w:r>
      <w:r w:rsidRPr="00080454">
        <w:rPr>
          <w:rFonts w:ascii="Book Antiqua" w:eastAsia="Book Antiqua" w:hAnsi="Book Antiqua" w:cs="Book Antiqua"/>
          <w:i/>
          <w:iCs/>
          <w:color w:val="000000"/>
        </w:rPr>
        <w:t xml:space="preserve"> Críticas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de Tortugas Marinas:</w:t>
      </w:r>
    </w:p>
    <w:p w14:paraId="0000005C" w14:textId="6850A2C5" w:rsidR="004A407C" w:rsidRPr="00080454" w:rsidRDefault="00FA57FC">
      <w:pPr>
        <w:pBdr>
          <w:top w:val="nil"/>
          <w:left w:val="nil"/>
          <w:bottom w:val="nil"/>
          <w:right w:val="nil"/>
          <w:between w:val="nil"/>
        </w:pBdr>
        <w:spacing w:line="480" w:lineRule="auto"/>
        <w:ind w:left="144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(1)</w:t>
      </w:r>
      <w:r w:rsidRPr="00080454">
        <w:rPr>
          <w:rFonts w:ascii="Book Antiqua" w:eastAsia="Book Antiqua" w:hAnsi="Book Antiqua" w:cs="Book Antiqua"/>
          <w:i/>
          <w:iCs/>
          <w:color w:val="000000"/>
        </w:rPr>
        <w:tab/>
        <w:t xml:space="preserve">Las </w:t>
      </w:r>
      <w:r w:rsidR="000B709C">
        <w:rPr>
          <w:rFonts w:ascii="Book Antiqua" w:eastAsia="Book Antiqua" w:hAnsi="Book Antiqua" w:cs="Book Antiqua"/>
          <w:i/>
          <w:iCs/>
          <w:color w:val="000000"/>
        </w:rPr>
        <w:t>Zonas</w:t>
      </w:r>
      <w:r w:rsidRPr="00080454">
        <w:rPr>
          <w:rFonts w:ascii="Book Antiqua" w:eastAsia="Book Antiqua" w:hAnsi="Book Antiqua" w:cs="Book Antiqua"/>
          <w:i/>
          <w:iCs/>
          <w:color w:val="000000"/>
        </w:rPr>
        <w:t xml:space="preserve"> Críticas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de Tortugas Marinas se considerarán Zonas Especiales de Iluminación, obligatorias para el cumplimiento de los estándares de iluminación de esta Ley.</w:t>
      </w:r>
    </w:p>
    <w:p w14:paraId="0000005D" w14:textId="77777777" w:rsidR="004A407C" w:rsidRPr="00080454" w:rsidRDefault="00FA57FC">
      <w:pPr>
        <w:pBdr>
          <w:top w:val="nil"/>
          <w:left w:val="nil"/>
          <w:bottom w:val="nil"/>
          <w:right w:val="nil"/>
          <w:between w:val="nil"/>
        </w:pBdr>
        <w:spacing w:line="480" w:lineRule="auto"/>
        <w:ind w:left="720" w:firstLine="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(2)</w:t>
      </w:r>
      <w:r w:rsidRPr="00080454">
        <w:rPr>
          <w:rFonts w:ascii="Book Antiqua" w:eastAsia="Book Antiqua" w:hAnsi="Book Antiqua" w:cs="Book Antiqua"/>
          <w:i/>
          <w:iCs/>
          <w:color w:val="000000"/>
        </w:rPr>
        <w:tab/>
      </w:r>
      <w:sdt>
        <w:sdtPr>
          <w:tag w:val="goog_rdk_3"/>
          <w:id w:val="-549092166"/>
        </w:sdtPr>
        <w:sdtEndPr/>
        <w:sdtContent/>
      </w:sdt>
      <w:r w:rsidRPr="00080454">
        <w:rPr>
          <w:rFonts w:ascii="Book Antiqua" w:eastAsia="Book Antiqua" w:hAnsi="Book Antiqua" w:cs="Book Antiqua"/>
          <w:i/>
          <w:iCs/>
          <w:color w:val="000000"/>
        </w:rPr>
        <w:t>En estas áreas será obligatorio</w:t>
      </w:r>
    </w:p>
    <w:p w14:paraId="0000005E" w14:textId="77777777" w:rsidR="004A407C" w:rsidRPr="00080454" w:rsidRDefault="00FA57FC">
      <w:pPr>
        <w:pBdr>
          <w:top w:val="nil"/>
          <w:left w:val="nil"/>
          <w:bottom w:val="nil"/>
          <w:right w:val="nil"/>
          <w:between w:val="nil"/>
        </w:pBdr>
        <w:spacing w:line="480" w:lineRule="auto"/>
        <w:ind w:left="720" w:firstLine="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i. Utilizar luminarias certificadas como amigables con tortugas marinas.</w:t>
      </w:r>
    </w:p>
    <w:p w14:paraId="0000005F" w14:textId="77777777" w:rsidR="004A407C" w:rsidRPr="00080454" w:rsidRDefault="00FA57FC">
      <w:pPr>
        <w:pBdr>
          <w:top w:val="nil"/>
          <w:left w:val="nil"/>
          <w:bottom w:val="nil"/>
          <w:right w:val="nil"/>
          <w:between w:val="nil"/>
        </w:pBdr>
        <w:spacing w:line="480" w:lineRule="auto"/>
        <w:ind w:left="720" w:firstLine="720"/>
        <w:jc w:val="both"/>
        <w:rPr>
          <w:rFonts w:ascii="Book Antiqua" w:eastAsia="Book Antiqua" w:hAnsi="Book Antiqua" w:cs="Book Antiqua"/>
          <w:i/>
          <w:iCs/>
          <w:color w:val="000000"/>
        </w:rPr>
      </w:pPr>
      <w:proofErr w:type="spellStart"/>
      <w:r w:rsidRPr="00080454">
        <w:rPr>
          <w:rFonts w:ascii="Book Antiqua" w:eastAsia="Book Antiqua" w:hAnsi="Book Antiqua" w:cs="Book Antiqua"/>
          <w:i/>
          <w:iCs/>
          <w:color w:val="000000"/>
        </w:rPr>
        <w:t>ii</w:t>
      </w:r>
      <w:proofErr w:type="spellEnd"/>
      <w:r w:rsidRPr="00080454">
        <w:rPr>
          <w:rFonts w:ascii="Book Antiqua" w:eastAsia="Book Antiqua" w:hAnsi="Book Antiqua" w:cs="Book Antiqua"/>
          <w:i/>
          <w:iCs/>
          <w:color w:val="000000"/>
        </w:rPr>
        <w:t>. Evitar la emisión de luz directa hacia la playa o hacia el mar.</w:t>
      </w:r>
    </w:p>
    <w:p w14:paraId="00000060" w14:textId="77777777" w:rsidR="004A407C" w:rsidRPr="00080454" w:rsidRDefault="00FA57FC">
      <w:pPr>
        <w:pBdr>
          <w:top w:val="nil"/>
          <w:left w:val="nil"/>
          <w:bottom w:val="nil"/>
          <w:right w:val="nil"/>
          <w:between w:val="nil"/>
        </w:pBdr>
        <w:spacing w:line="480" w:lineRule="auto"/>
        <w:ind w:left="1440"/>
        <w:jc w:val="both"/>
        <w:rPr>
          <w:rFonts w:ascii="Book Antiqua" w:eastAsia="Book Antiqua" w:hAnsi="Book Antiqua" w:cs="Book Antiqua"/>
          <w:i/>
          <w:iCs/>
          <w:color w:val="000000"/>
        </w:rPr>
      </w:pPr>
      <w:proofErr w:type="spellStart"/>
      <w:r w:rsidRPr="00080454">
        <w:rPr>
          <w:rFonts w:ascii="Book Antiqua" w:eastAsia="Book Antiqua" w:hAnsi="Book Antiqua" w:cs="Book Antiqua"/>
          <w:i/>
          <w:iCs/>
          <w:color w:val="000000"/>
        </w:rPr>
        <w:t>iii</w:t>
      </w:r>
      <w:proofErr w:type="spellEnd"/>
      <w:r w:rsidRPr="00080454">
        <w:rPr>
          <w:rFonts w:ascii="Book Antiqua" w:eastAsia="Book Antiqua" w:hAnsi="Book Antiqua" w:cs="Book Antiqua"/>
          <w:i/>
          <w:iCs/>
          <w:color w:val="000000"/>
        </w:rPr>
        <w:t xml:space="preserve">. Reducir, reorientar o apagar la iluminación no esencial durante la temporada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w:t>
      </w:r>
    </w:p>
    <w:p w14:paraId="00000061" w14:textId="77777777" w:rsidR="004A407C" w:rsidRPr="00080454" w:rsidRDefault="00FA57FC">
      <w:pPr>
        <w:pBdr>
          <w:top w:val="nil"/>
          <w:left w:val="nil"/>
          <w:bottom w:val="nil"/>
          <w:right w:val="nil"/>
          <w:between w:val="nil"/>
        </w:pBdr>
        <w:spacing w:line="480" w:lineRule="auto"/>
        <w:ind w:left="1440"/>
        <w:jc w:val="both"/>
        <w:rPr>
          <w:rFonts w:ascii="Book Antiqua" w:eastAsia="Book Antiqua" w:hAnsi="Book Antiqua" w:cs="Book Antiqua"/>
          <w:i/>
          <w:iCs/>
          <w:color w:val="000000"/>
        </w:rPr>
      </w:pPr>
      <w:proofErr w:type="spellStart"/>
      <w:r w:rsidRPr="00080454">
        <w:rPr>
          <w:rFonts w:ascii="Book Antiqua" w:eastAsia="Book Antiqua" w:hAnsi="Book Antiqua" w:cs="Book Antiqua"/>
          <w:i/>
          <w:iCs/>
          <w:color w:val="000000"/>
        </w:rPr>
        <w:lastRenderedPageBreak/>
        <w:t>iv</w:t>
      </w:r>
      <w:proofErr w:type="spellEnd"/>
      <w:r w:rsidRPr="00080454">
        <w:rPr>
          <w:rFonts w:ascii="Book Antiqua" w:eastAsia="Book Antiqua" w:hAnsi="Book Antiqua" w:cs="Book Antiqua"/>
          <w:i/>
          <w:iCs/>
          <w:color w:val="000000"/>
        </w:rPr>
        <w:t>. Mantener la intensidad lumínica y la longitud de onda recomendadas para no desorientar a neonatos y adultos.</w:t>
      </w:r>
    </w:p>
    <w:p w14:paraId="00000062" w14:textId="5C43F164" w:rsidR="004A407C" w:rsidRPr="00080454" w:rsidRDefault="00FA57FC">
      <w:pPr>
        <w:pBdr>
          <w:top w:val="nil"/>
          <w:left w:val="nil"/>
          <w:bottom w:val="nil"/>
          <w:right w:val="nil"/>
          <w:between w:val="nil"/>
        </w:pBdr>
        <w:spacing w:line="480" w:lineRule="auto"/>
        <w:ind w:left="144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 xml:space="preserve">(3) La Junta de Calidad Ambiental, en coordinación con la </w:t>
      </w:r>
      <w:sdt>
        <w:sdtPr>
          <w:tag w:val="goog_rdk_4"/>
          <w:id w:val="1978715232"/>
        </w:sdtPr>
        <w:sdtEndPr/>
        <w:sdtContent/>
      </w:sdt>
      <w:r w:rsidRPr="00080454">
        <w:rPr>
          <w:rFonts w:ascii="Book Antiqua" w:eastAsia="Book Antiqua" w:hAnsi="Book Antiqua" w:cs="Book Antiqua"/>
          <w:i/>
          <w:iCs/>
          <w:color w:val="000000"/>
        </w:rPr>
        <w:t xml:space="preserve">OGP y el Departamento de Recursos Naturales y Ambientales, será responsable de establecer planes de monitoreo y corrección para estas </w:t>
      </w:r>
      <w:r w:rsidR="000B709C">
        <w:rPr>
          <w:rFonts w:ascii="Book Antiqua" w:eastAsia="Book Antiqua" w:hAnsi="Book Antiqua" w:cs="Book Antiqua"/>
          <w:i/>
          <w:iCs/>
          <w:color w:val="000000"/>
        </w:rPr>
        <w:t>zonas</w:t>
      </w:r>
      <w:r w:rsidRPr="00080454">
        <w:rPr>
          <w:rFonts w:ascii="Book Antiqua" w:eastAsia="Book Antiqua" w:hAnsi="Book Antiqua" w:cs="Book Antiqua"/>
          <w:i/>
          <w:iCs/>
          <w:color w:val="000000"/>
        </w:rPr>
        <w:t>, utilizando recursos existentes de las agencias.</w:t>
      </w:r>
    </w:p>
    <w:p w14:paraId="00000063"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Sección 3.- Para enmendar el inciso (8) en el Artículo 8, de la Ley Núm. 218 de 2008, según enmendada para que lea como sigue:</w:t>
      </w:r>
    </w:p>
    <w:p w14:paraId="00000064"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Artículo 8. – Clasificación de Áreas Exteriores y Especiales. (12 L.P.R.A. § 8036)</w:t>
      </w:r>
    </w:p>
    <w:p w14:paraId="00000065" w14:textId="77777777" w:rsidR="004A407C" w:rsidRDefault="00FA57FC">
      <w:pPr>
        <w:numPr>
          <w:ilvl w:val="0"/>
          <w:numId w:val="2"/>
        </w:num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Se establecen las siguientes clases de áreas exteriores y especiales, de acuerdo con sus características de iluminación:</w:t>
      </w:r>
    </w:p>
    <w:p w14:paraId="00000066" w14:textId="77777777" w:rsidR="004A407C" w:rsidRDefault="00FA57FC">
      <w:pPr>
        <w:numPr>
          <w:ilvl w:val="0"/>
          <w:numId w:val="3"/>
        </w:num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w:t>
      </w:r>
    </w:p>
    <w:p w14:paraId="00000067" w14:textId="77777777" w:rsidR="004A407C" w:rsidRDefault="00FA57FC">
      <w:pPr>
        <w:numPr>
          <w:ilvl w:val="0"/>
          <w:numId w:val="3"/>
        </w:num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w:t>
      </w:r>
    </w:p>
    <w:p w14:paraId="00000068" w14:textId="77777777" w:rsidR="004A407C" w:rsidRDefault="00FA57FC">
      <w:pPr>
        <w:pBdr>
          <w:top w:val="nil"/>
          <w:left w:val="nil"/>
          <w:bottom w:val="nil"/>
          <w:right w:val="nil"/>
          <w:between w:val="nil"/>
        </w:pBdr>
        <w:spacing w:line="480" w:lineRule="auto"/>
        <w:ind w:left="1440"/>
        <w:rPr>
          <w:rFonts w:ascii="Book Antiqua" w:eastAsia="Book Antiqua" w:hAnsi="Book Antiqua" w:cs="Book Antiqua"/>
          <w:color w:val="000000"/>
        </w:rPr>
      </w:pPr>
      <w:r>
        <w:rPr>
          <w:rFonts w:ascii="Book Antiqua" w:eastAsia="Book Antiqua" w:hAnsi="Book Antiqua" w:cs="Book Antiqua"/>
          <w:color w:val="000000"/>
        </w:rPr>
        <w:t>…</w:t>
      </w:r>
    </w:p>
    <w:p w14:paraId="00000069" w14:textId="64535141" w:rsidR="004A407C" w:rsidRDefault="00FA57FC">
      <w:pPr>
        <w:pBdr>
          <w:top w:val="nil"/>
          <w:left w:val="nil"/>
          <w:bottom w:val="nil"/>
          <w:right w:val="nil"/>
          <w:between w:val="nil"/>
        </w:pBdr>
        <w:spacing w:line="480" w:lineRule="auto"/>
        <w:ind w:left="1080"/>
        <w:jc w:val="both"/>
        <w:rPr>
          <w:rFonts w:ascii="Book Antiqua" w:eastAsia="Book Antiqua" w:hAnsi="Book Antiqua" w:cs="Book Antiqua"/>
          <w:i/>
          <w:iCs/>
          <w:color w:val="000000"/>
          <w:u w:val="single"/>
        </w:rPr>
      </w:pPr>
      <w:r>
        <w:rPr>
          <w:rFonts w:ascii="Book Antiqua" w:eastAsia="Book Antiqua" w:hAnsi="Book Antiqua" w:cs="Book Antiqua"/>
          <w:color w:val="000000"/>
        </w:rPr>
        <w:t xml:space="preserve">(8) Clase especial para las áreas de playas utilizadas por tortugas marinas —todo el litoral costero que sirva como lugar de </w:t>
      </w:r>
      <w:proofErr w:type="spellStart"/>
      <w:r>
        <w:rPr>
          <w:rFonts w:ascii="Book Antiqua" w:eastAsia="Book Antiqua" w:hAnsi="Book Antiqua" w:cs="Book Antiqua"/>
          <w:color w:val="000000"/>
        </w:rPr>
        <w:t>anidaje</w:t>
      </w:r>
      <w:proofErr w:type="spellEnd"/>
      <w:r>
        <w:rPr>
          <w:rFonts w:ascii="Book Antiqua" w:eastAsia="Book Antiqua" w:hAnsi="Book Antiqua" w:cs="Book Antiqua"/>
          <w:color w:val="000000"/>
        </w:rPr>
        <w:t xml:space="preserve"> y desove para las tortugas marinas </w:t>
      </w:r>
      <w:r w:rsidR="00080454" w:rsidRPr="000B709C">
        <w:rPr>
          <w:rFonts w:ascii="Book Antiqua" w:eastAsia="Book Antiqua" w:hAnsi="Book Antiqua" w:cs="Book Antiqua"/>
          <w:b/>
          <w:bCs/>
          <w:color w:val="000000"/>
        </w:rPr>
        <w:t>[</w:t>
      </w:r>
      <w:r w:rsidRPr="00080454">
        <w:rPr>
          <w:rFonts w:ascii="Book Antiqua" w:eastAsia="Book Antiqua" w:hAnsi="Book Antiqua" w:cs="Book Antiqua"/>
          <w:b/>
          <w:bCs/>
          <w:color w:val="000000"/>
        </w:rPr>
        <w:t>en su visita anual por nuestras costas</w:t>
      </w:r>
      <w:r w:rsidR="00080454">
        <w:rPr>
          <w:rFonts w:ascii="Book Antiqua" w:eastAsia="Book Antiqua" w:hAnsi="Book Antiqua" w:cs="Book Antiqua"/>
          <w:b/>
          <w:bCs/>
          <w:color w:val="000000"/>
        </w:rPr>
        <w:t>]</w:t>
      </w:r>
      <w:r>
        <w:rPr>
          <w:rFonts w:ascii="Book Antiqua" w:eastAsia="Book Antiqua" w:hAnsi="Book Antiqua" w:cs="Book Antiqua"/>
          <w:color w:val="000000"/>
        </w:rPr>
        <w:t xml:space="preserve"> </w:t>
      </w:r>
      <w:r w:rsidRPr="00080454">
        <w:rPr>
          <w:rFonts w:ascii="Book Antiqua" w:eastAsia="Book Antiqua" w:hAnsi="Book Antiqua" w:cs="Book Antiqua"/>
          <w:i/>
          <w:iCs/>
          <w:color w:val="000000"/>
        </w:rPr>
        <w:t>será delimitado por la Junta de Planificación con asesoramiento del Departamento de Recursos Naturales y Ambientales.</w:t>
      </w:r>
      <w:r w:rsidR="00080454" w:rsidRPr="00080454">
        <w:rPr>
          <w:rFonts w:ascii="Book Antiqua" w:eastAsia="Book Antiqua" w:hAnsi="Book Antiqua" w:cs="Book Antiqua"/>
          <w:b/>
          <w:bCs/>
          <w:i/>
          <w:iCs/>
          <w:color w:val="000000"/>
        </w:rPr>
        <w:t xml:space="preserve"> </w:t>
      </w:r>
      <w:r w:rsidR="00080454" w:rsidRPr="00080454">
        <w:rPr>
          <w:rFonts w:ascii="Book Antiqua" w:eastAsia="Book Antiqua" w:hAnsi="Book Antiqua" w:cs="Book Antiqua"/>
          <w:b/>
          <w:bCs/>
          <w:color w:val="000000"/>
        </w:rPr>
        <w:t>[</w:t>
      </w:r>
      <w:r w:rsidRPr="00080454">
        <w:rPr>
          <w:rFonts w:ascii="Book Antiqua" w:eastAsia="Book Antiqua" w:hAnsi="Book Antiqua" w:cs="Book Antiqua"/>
          <w:b/>
          <w:bCs/>
          <w:color w:val="000000"/>
        </w:rPr>
        <w:t>Dichas áreas serán delimitadas por la Junta de Planificación con el asesoramiento y colaboración del Departamento de Recursos Naturales y Ambientales</w:t>
      </w:r>
      <w:r w:rsidR="00080454">
        <w:rPr>
          <w:rFonts w:ascii="Book Antiqua" w:eastAsia="Book Antiqua" w:hAnsi="Book Antiqua" w:cs="Book Antiqua"/>
          <w:b/>
          <w:bCs/>
          <w:color w:val="000000"/>
        </w:rPr>
        <w:t>]</w:t>
      </w:r>
      <w:r w:rsidRPr="00080454">
        <w:rPr>
          <w:rFonts w:ascii="Book Antiqua" w:eastAsia="Book Antiqua" w:hAnsi="Book Antiqua" w:cs="Book Antiqua"/>
          <w:b/>
          <w:bCs/>
          <w:color w:val="000000"/>
        </w:rPr>
        <w:t>.</w:t>
      </w:r>
      <w:r w:rsidRPr="00080454">
        <w:rPr>
          <w:rFonts w:ascii="Book Antiqua" w:eastAsia="Book Antiqua" w:hAnsi="Book Antiqua" w:cs="Book Antiqua"/>
          <w:i/>
          <w:iCs/>
          <w:color w:val="000000"/>
        </w:rPr>
        <w:t xml:space="preserve"> En estas </w:t>
      </w:r>
      <w:r w:rsidR="000B709C">
        <w:rPr>
          <w:rFonts w:ascii="Book Antiqua" w:eastAsia="Book Antiqua" w:hAnsi="Book Antiqua" w:cs="Book Antiqua"/>
          <w:i/>
          <w:iCs/>
          <w:color w:val="000000"/>
        </w:rPr>
        <w:t>áreas</w:t>
      </w:r>
      <w:r w:rsidRPr="00080454">
        <w:rPr>
          <w:rFonts w:ascii="Book Antiqua" w:eastAsia="Book Antiqua" w:hAnsi="Book Antiqua" w:cs="Book Antiqua"/>
          <w:i/>
          <w:iCs/>
          <w:color w:val="000000"/>
        </w:rPr>
        <w:t xml:space="preserve"> se aplicarán los estándares de iluminación establecidos </w:t>
      </w:r>
      <w:r w:rsidRPr="00080454">
        <w:rPr>
          <w:rFonts w:ascii="Book Antiqua" w:eastAsia="Book Antiqua" w:hAnsi="Book Antiqua" w:cs="Book Antiqua"/>
          <w:i/>
          <w:iCs/>
          <w:color w:val="000000"/>
        </w:rPr>
        <w:lastRenderedPageBreak/>
        <w:t>en la Ley y sus reglamentos, garantizando la protección de los neonatos y la seguridad de la fauna marina.</w:t>
      </w:r>
    </w:p>
    <w:p w14:paraId="0000006A" w14:textId="77777777" w:rsidR="004A407C" w:rsidRDefault="00FA57FC">
      <w:p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Sección 4.- Para añadir el inciso (5) y (d) en el Artículo 9, de la Ley Núm. 218 de 2008, según enmendada para que lea como sigue:</w:t>
      </w:r>
    </w:p>
    <w:p w14:paraId="0000006B"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Artículo 9.-Alumbrado Público. (12 L.P.R.A. § 8036a)</w:t>
      </w:r>
    </w:p>
    <w:p w14:paraId="0000006C" w14:textId="77777777" w:rsidR="004A407C" w:rsidRDefault="00FA57FC">
      <w:pPr>
        <w:pBdr>
          <w:top w:val="nil"/>
          <w:left w:val="nil"/>
          <w:bottom w:val="nil"/>
          <w:right w:val="nil"/>
          <w:between w:val="nil"/>
        </w:pBdr>
        <w:spacing w:line="480" w:lineRule="auto"/>
        <w:ind w:left="360"/>
        <w:jc w:val="both"/>
        <w:rPr>
          <w:rFonts w:ascii="Book Antiqua" w:eastAsia="Book Antiqua" w:hAnsi="Book Antiqua" w:cs="Book Antiqua"/>
          <w:color w:val="000000"/>
        </w:rPr>
      </w:pPr>
      <w:r>
        <w:rPr>
          <w:rFonts w:ascii="Book Antiqua" w:eastAsia="Book Antiqua" w:hAnsi="Book Antiqua" w:cs="Book Antiqua"/>
          <w:color w:val="000000"/>
        </w:rPr>
        <w:t>(c) En el caso de las Clases Especiales y la Clase 1 identificadas en el Artículo 8, se disponen las siguientes normas para toda luminaria pública:</w:t>
      </w:r>
    </w:p>
    <w:p w14:paraId="0000006D" w14:textId="3F775CB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(1)</w:t>
      </w:r>
      <w:r w:rsidR="004D1A36">
        <w:rPr>
          <w:rFonts w:ascii="Book Antiqua" w:eastAsia="Book Antiqua" w:hAnsi="Book Antiqua" w:cs="Book Antiqua"/>
          <w:color w:val="000000"/>
        </w:rPr>
        <w:t xml:space="preserve"> </w:t>
      </w:r>
      <w:r>
        <w:rPr>
          <w:rFonts w:ascii="Book Antiqua" w:eastAsia="Book Antiqua" w:hAnsi="Book Antiqua" w:cs="Book Antiqua"/>
          <w:color w:val="000000"/>
        </w:rPr>
        <w:t>…</w:t>
      </w:r>
    </w:p>
    <w:p w14:paraId="0000006E" w14:textId="4AA4265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(2)</w:t>
      </w:r>
      <w:r w:rsidR="004D1A36">
        <w:rPr>
          <w:rFonts w:ascii="Book Antiqua" w:eastAsia="Book Antiqua" w:hAnsi="Book Antiqua" w:cs="Book Antiqua"/>
          <w:color w:val="000000"/>
        </w:rPr>
        <w:t xml:space="preserve"> </w:t>
      </w:r>
      <w:r>
        <w:rPr>
          <w:rFonts w:ascii="Book Antiqua" w:eastAsia="Book Antiqua" w:hAnsi="Book Antiqua" w:cs="Book Antiqua"/>
          <w:color w:val="000000"/>
        </w:rPr>
        <w:t xml:space="preserve">… </w:t>
      </w:r>
      <w:r>
        <w:rPr>
          <w:rFonts w:ascii="Book Antiqua" w:eastAsia="Book Antiqua" w:hAnsi="Book Antiqua" w:cs="Book Antiqua"/>
          <w:color w:val="000000"/>
        </w:rPr>
        <w:tab/>
      </w:r>
    </w:p>
    <w:p w14:paraId="0000006F"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w:t>
      </w:r>
    </w:p>
    <w:p w14:paraId="00000070" w14:textId="3EE324DA" w:rsidR="004A407C" w:rsidRPr="00080454" w:rsidRDefault="00FA57FC">
      <w:pPr>
        <w:pBdr>
          <w:top w:val="nil"/>
          <w:left w:val="nil"/>
          <w:bottom w:val="nil"/>
          <w:right w:val="nil"/>
          <w:between w:val="nil"/>
        </w:pBdr>
        <w:spacing w:line="480" w:lineRule="auto"/>
        <w:ind w:left="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 xml:space="preserve">(5) Las luminarias públicas ubicadas en </w:t>
      </w:r>
      <w:r w:rsidR="000B709C">
        <w:rPr>
          <w:rFonts w:ascii="Book Antiqua" w:eastAsia="Book Antiqua" w:hAnsi="Book Antiqua" w:cs="Book Antiqua"/>
          <w:i/>
          <w:iCs/>
          <w:color w:val="000000"/>
        </w:rPr>
        <w:t>áreas</w:t>
      </w:r>
      <w:r w:rsidRPr="00080454">
        <w:rPr>
          <w:rFonts w:ascii="Book Antiqua" w:eastAsia="Book Antiqua" w:hAnsi="Book Antiqua" w:cs="Book Antiqua"/>
          <w:i/>
          <w:iCs/>
          <w:color w:val="000000"/>
        </w:rPr>
        <w:t xml:space="preserve"> adyacentes a </w:t>
      </w:r>
      <w:r w:rsidR="000B709C">
        <w:rPr>
          <w:rFonts w:ascii="Book Antiqua" w:eastAsia="Book Antiqua" w:hAnsi="Book Antiqua" w:cs="Book Antiqua"/>
          <w:i/>
          <w:iCs/>
          <w:color w:val="000000"/>
        </w:rPr>
        <w:t>Zonas</w:t>
      </w:r>
      <w:r w:rsidRPr="00080454">
        <w:rPr>
          <w:rFonts w:ascii="Book Antiqua" w:eastAsia="Book Antiqua" w:hAnsi="Book Antiqua" w:cs="Book Antiqua"/>
          <w:i/>
          <w:iCs/>
          <w:color w:val="000000"/>
        </w:rPr>
        <w:t xml:space="preserve"> Críticas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de Tortugas Marinas deberán cumplir con los criterios de orientación y control lumínico establecidos para evitar la invasión de luz hacia la playa o hacia el mar, manteniendo la intensidad lumínica mínima necesaria para seguridad, y priorizando la protección de la fauna marina durante la temporada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w:t>
      </w:r>
    </w:p>
    <w:p w14:paraId="00000071" w14:textId="764F5CFD" w:rsidR="004A407C" w:rsidRPr="00080454" w:rsidRDefault="00FA57FC">
      <w:pPr>
        <w:pBdr>
          <w:top w:val="nil"/>
          <w:left w:val="nil"/>
          <w:bottom w:val="nil"/>
          <w:right w:val="nil"/>
          <w:between w:val="nil"/>
        </w:pBdr>
        <w:spacing w:line="480" w:lineRule="auto"/>
        <w:ind w:firstLine="36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(d)</w:t>
      </w:r>
      <w:sdt>
        <w:sdtPr>
          <w:tag w:val="goog_rdk_5"/>
          <w:id w:val="2004308144"/>
        </w:sdtPr>
        <w:sdtEndPr/>
        <w:sdtContent/>
      </w:sdt>
      <w:r w:rsidRPr="00080454">
        <w:rPr>
          <w:rFonts w:ascii="Book Antiqua" w:eastAsia="Book Antiqua" w:hAnsi="Book Antiqua" w:cs="Book Antiqua"/>
          <w:i/>
          <w:iCs/>
          <w:color w:val="000000"/>
        </w:rPr>
        <w:t xml:space="preserve"> En las </w:t>
      </w:r>
      <w:r w:rsidR="000B709C">
        <w:rPr>
          <w:rFonts w:ascii="Book Antiqua" w:eastAsia="Book Antiqua" w:hAnsi="Book Antiqua" w:cs="Book Antiqua"/>
          <w:i/>
          <w:iCs/>
          <w:color w:val="000000"/>
        </w:rPr>
        <w:t>Zonas</w:t>
      </w:r>
      <w:r w:rsidRPr="00080454">
        <w:rPr>
          <w:rFonts w:ascii="Book Antiqua" w:eastAsia="Book Antiqua" w:hAnsi="Book Antiqua" w:cs="Book Antiqua"/>
          <w:i/>
          <w:iCs/>
          <w:color w:val="000000"/>
        </w:rPr>
        <w:t xml:space="preserve"> Críticas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de Tortugas Marinas será obligatorio:</w:t>
      </w:r>
    </w:p>
    <w:p w14:paraId="00000072" w14:textId="77777777" w:rsidR="004A407C" w:rsidRPr="00080454" w:rsidRDefault="00FA57FC">
      <w:pPr>
        <w:pBdr>
          <w:top w:val="nil"/>
          <w:left w:val="nil"/>
          <w:bottom w:val="nil"/>
          <w:right w:val="nil"/>
          <w:between w:val="nil"/>
        </w:pBdr>
        <w:spacing w:line="480" w:lineRule="auto"/>
        <w:ind w:firstLine="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(1)  El uso de luminarias amigables con tortugas marinas;</w:t>
      </w:r>
    </w:p>
    <w:p w14:paraId="00000073" w14:textId="77777777" w:rsidR="004A407C" w:rsidRPr="00080454" w:rsidRDefault="00FA57FC">
      <w:pPr>
        <w:pBdr>
          <w:top w:val="nil"/>
          <w:left w:val="nil"/>
          <w:bottom w:val="nil"/>
          <w:right w:val="nil"/>
          <w:between w:val="nil"/>
        </w:pBdr>
        <w:spacing w:line="480" w:lineRule="auto"/>
        <w:ind w:left="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(2) La orientación de las luminarias de forma que la fuente de luz no sea visible desde la playa;</w:t>
      </w:r>
    </w:p>
    <w:p w14:paraId="00000074" w14:textId="77777777" w:rsidR="004A407C" w:rsidRPr="00080454" w:rsidRDefault="00FA57FC">
      <w:pPr>
        <w:pBdr>
          <w:top w:val="nil"/>
          <w:left w:val="nil"/>
          <w:bottom w:val="nil"/>
          <w:right w:val="nil"/>
          <w:between w:val="nil"/>
        </w:pBdr>
        <w:spacing w:line="480" w:lineRule="auto"/>
        <w:ind w:left="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(3) La limitación de intensidad lumínica y el uso de longitudes de onda que no desorienten a los neonatos;</w:t>
      </w:r>
    </w:p>
    <w:p w14:paraId="00000075" w14:textId="77777777" w:rsidR="004A407C" w:rsidRPr="00080454" w:rsidRDefault="00FA57FC">
      <w:pPr>
        <w:pBdr>
          <w:top w:val="nil"/>
          <w:left w:val="nil"/>
          <w:bottom w:val="nil"/>
          <w:right w:val="nil"/>
          <w:between w:val="nil"/>
        </w:pBdr>
        <w:spacing w:line="480" w:lineRule="auto"/>
        <w:ind w:left="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lastRenderedPageBreak/>
        <w:t>(4) La reducción o apagado de iluminación no esencial durante la temporada de</w:t>
      </w:r>
      <w:sdt>
        <w:sdtPr>
          <w:tag w:val="goog_rdk_6"/>
          <w:id w:val="1485821311"/>
        </w:sdtPr>
        <w:sdtEndPr/>
        <w:sdtContent/>
      </w:sdt>
      <w:r w:rsidRPr="00080454">
        <w:rPr>
          <w:rFonts w:ascii="Book Antiqua" w:eastAsia="Book Antiqua" w:hAnsi="Book Antiqua" w:cs="Book Antiqua"/>
          <w:i/>
          <w:iCs/>
          <w:color w:val="000000"/>
        </w:rPr>
        <w:t xml:space="preserv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según disponga el reglamento aplicable.</w:t>
      </w:r>
    </w:p>
    <w:p w14:paraId="00000076" w14:textId="77777777" w:rsidR="004A407C" w:rsidRDefault="00FA57FC">
      <w:p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Sección 5.- Para enmendar el Artículo 10, de la Ley Núm. 218 de 2008, según enmendada para que lea como sigue:</w:t>
      </w:r>
    </w:p>
    <w:p w14:paraId="00000077"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 xml:space="preserve">Artículo 10. — Disposiciones Administrativas. (12 L.P.R.A. § 8037) </w:t>
      </w:r>
    </w:p>
    <w:p w14:paraId="00000078" w14:textId="30B94FDD" w:rsidR="004A407C" w:rsidRDefault="00FA57FC">
      <w:pPr>
        <w:pBdr>
          <w:top w:val="nil"/>
          <w:left w:val="nil"/>
          <w:bottom w:val="nil"/>
          <w:right w:val="nil"/>
          <w:between w:val="nil"/>
        </w:pBdr>
        <w:spacing w:line="480" w:lineRule="auto"/>
        <w:ind w:left="720" w:firstLine="720"/>
        <w:jc w:val="both"/>
        <w:rPr>
          <w:rFonts w:ascii="Book Antiqua" w:eastAsia="Book Antiqua" w:hAnsi="Book Antiqua" w:cs="Book Antiqua"/>
          <w:color w:val="000000"/>
        </w:rPr>
      </w:pPr>
      <w:r>
        <w:rPr>
          <w:rFonts w:ascii="Book Antiqua" w:eastAsia="Book Antiqua" w:hAnsi="Book Antiqua" w:cs="Book Antiqua"/>
          <w:color w:val="000000"/>
        </w:rPr>
        <w:t xml:space="preserve">La </w:t>
      </w:r>
      <w:proofErr w:type="spellStart"/>
      <w:r>
        <w:rPr>
          <w:rFonts w:ascii="Book Antiqua" w:eastAsia="Book Antiqua" w:hAnsi="Book Antiqua" w:cs="Book Antiqua"/>
          <w:color w:val="000000"/>
        </w:rPr>
        <w:t>OGPe</w:t>
      </w:r>
      <w:proofErr w:type="spellEnd"/>
      <w:r>
        <w:rPr>
          <w:rFonts w:ascii="Book Antiqua" w:eastAsia="Book Antiqua" w:hAnsi="Book Antiqua" w:cs="Book Antiqua"/>
          <w:color w:val="000000"/>
        </w:rPr>
        <w:t xml:space="preserve">, con el asesoramiento técnico de la Junta adoptará la reglamentación necesaria a tenor con la Ley Núm. 170 de 12 de agosto de 1988, según enmendada [Nota: Derogada y sustituida por la Ley 38-2017, “Ley de Procedimiento Administrativo Uniforme del Gobierno de Puerto Rico”], para implementar las disposiciones de esta Ley, la cual se incorporará al Código de </w:t>
      </w:r>
      <w:r w:rsidR="000B709C">
        <w:rPr>
          <w:rFonts w:ascii="Book Antiqua" w:eastAsia="Book Antiqua" w:hAnsi="Book Antiqua" w:cs="Book Antiqua"/>
          <w:color w:val="000000"/>
        </w:rPr>
        <w:t>Construcción adoptado</w:t>
      </w:r>
      <w:r>
        <w:rPr>
          <w:rFonts w:ascii="Book Antiqua" w:eastAsia="Book Antiqua" w:hAnsi="Book Antiqua" w:cs="Book Antiqua"/>
          <w:color w:val="000000"/>
        </w:rPr>
        <w:t xml:space="preserve"> por la </w:t>
      </w:r>
      <w:proofErr w:type="spellStart"/>
      <w:r>
        <w:rPr>
          <w:rFonts w:ascii="Book Antiqua" w:eastAsia="Book Antiqua" w:hAnsi="Book Antiqua" w:cs="Book Antiqua"/>
          <w:color w:val="000000"/>
        </w:rPr>
        <w:t>OGPe</w:t>
      </w:r>
      <w:proofErr w:type="spellEnd"/>
      <w:r>
        <w:rPr>
          <w:rFonts w:ascii="Book Antiqua" w:eastAsia="Book Antiqua" w:hAnsi="Book Antiqua" w:cs="Book Antiqua"/>
          <w:color w:val="000000"/>
        </w:rPr>
        <w:t>.  La reglamentación adoptada deberá incluir los criterios generales mínimos de iluminación exterior de edificios contenidos en el Nuevo Código de Conservación de Energía…</w:t>
      </w:r>
    </w:p>
    <w:p w14:paraId="00000079" w14:textId="77777777" w:rsidR="004A407C" w:rsidRDefault="00FA57FC">
      <w:pPr>
        <w:pBdr>
          <w:top w:val="nil"/>
          <w:left w:val="nil"/>
          <w:bottom w:val="nil"/>
          <w:right w:val="nil"/>
          <w:between w:val="nil"/>
        </w:pBdr>
        <w:spacing w:line="480" w:lineRule="auto"/>
        <w:ind w:left="720" w:firstLine="720"/>
        <w:jc w:val="both"/>
        <w:rPr>
          <w:rFonts w:ascii="Book Antiqua" w:eastAsia="Book Antiqua" w:hAnsi="Book Antiqua" w:cs="Book Antiqua"/>
          <w:color w:val="000000"/>
        </w:rPr>
      </w:pPr>
      <w:r>
        <w:rPr>
          <w:rFonts w:ascii="Book Antiqua" w:eastAsia="Book Antiqua" w:hAnsi="Book Antiqua" w:cs="Book Antiqua"/>
          <w:color w:val="000000"/>
        </w:rPr>
        <w:t>…</w:t>
      </w:r>
    </w:p>
    <w:p w14:paraId="0000007A" w14:textId="15079DB4" w:rsidR="004A407C" w:rsidRPr="00080454" w:rsidRDefault="00FA57FC">
      <w:pPr>
        <w:pBdr>
          <w:top w:val="nil"/>
          <w:left w:val="nil"/>
          <w:bottom w:val="nil"/>
          <w:right w:val="nil"/>
          <w:between w:val="nil"/>
        </w:pBdr>
        <w:spacing w:line="480" w:lineRule="auto"/>
        <w:ind w:left="720" w:firstLine="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 xml:space="preserve">El Departamento de Recursos Naturales y Ambientales, en coordinación con la Junta de Planificación y los municipios, tendrá el deber ministerial de fiscalizar el cumplimiento de esta Ley en las </w:t>
      </w:r>
      <w:r w:rsidR="000B709C">
        <w:rPr>
          <w:rFonts w:ascii="Book Antiqua" w:eastAsia="Book Antiqua" w:hAnsi="Book Antiqua" w:cs="Book Antiqua"/>
          <w:i/>
          <w:iCs/>
          <w:color w:val="000000"/>
        </w:rPr>
        <w:t>Zona</w:t>
      </w:r>
      <w:r w:rsidRPr="00080454">
        <w:rPr>
          <w:rFonts w:ascii="Book Antiqua" w:eastAsia="Book Antiqua" w:hAnsi="Book Antiqua" w:cs="Book Antiqua"/>
          <w:i/>
          <w:iCs/>
          <w:color w:val="000000"/>
        </w:rPr>
        <w:t xml:space="preserve">s Críticas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utilizando recursos humanos y administrativos existentes. La </w:t>
      </w:r>
      <w:proofErr w:type="spellStart"/>
      <w:r w:rsidRPr="00080454">
        <w:rPr>
          <w:rFonts w:ascii="Book Antiqua" w:eastAsia="Book Antiqua" w:hAnsi="Book Antiqua" w:cs="Book Antiqua"/>
          <w:i/>
          <w:iCs/>
          <w:color w:val="000000"/>
        </w:rPr>
        <w:t>OGP</w:t>
      </w:r>
      <w:r w:rsidR="004D1A36">
        <w:rPr>
          <w:rFonts w:ascii="Book Antiqua" w:eastAsia="Book Antiqua" w:hAnsi="Book Antiqua" w:cs="Book Antiqua"/>
          <w:i/>
          <w:iCs/>
          <w:color w:val="000000"/>
        </w:rPr>
        <w:t>e</w:t>
      </w:r>
      <w:proofErr w:type="spellEnd"/>
      <w:r w:rsidRPr="00080454">
        <w:rPr>
          <w:rFonts w:ascii="Book Antiqua" w:eastAsia="Book Antiqua" w:hAnsi="Book Antiqua" w:cs="Book Antiqua"/>
          <w:i/>
          <w:iCs/>
          <w:color w:val="000000"/>
        </w:rPr>
        <w:t xml:space="preserve">, con el asesoramiento técnico de la Junta y del Departamento de Recursos Naturales y Ambientales, deberá verificar que los proyectos de iluminación pública o privada cerca de </w:t>
      </w:r>
      <w:r w:rsidR="004D1A36">
        <w:rPr>
          <w:rFonts w:ascii="Book Antiqua" w:eastAsia="Book Antiqua" w:hAnsi="Book Antiqua" w:cs="Book Antiqua"/>
          <w:i/>
          <w:iCs/>
          <w:color w:val="000000"/>
        </w:rPr>
        <w:t>zonas</w:t>
      </w:r>
      <w:r w:rsidRPr="00080454">
        <w:rPr>
          <w:rFonts w:ascii="Book Antiqua" w:eastAsia="Book Antiqua" w:hAnsi="Book Antiqua" w:cs="Book Antiqua"/>
          <w:i/>
          <w:iCs/>
          <w:color w:val="000000"/>
        </w:rPr>
        <w:t xml:space="preserve">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cumplan con los criterios de protección de tortugas marinas, integrando dicha evaluación al proceso de permisos sin generar costo adicional al Gobierno.</w:t>
      </w:r>
    </w:p>
    <w:p w14:paraId="0000007B" w14:textId="77777777" w:rsidR="004A407C" w:rsidRDefault="00FA57FC">
      <w:p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lastRenderedPageBreak/>
        <w:t>Sección 6.- Para enmendar Artículo 11, de la Ley Núm. 218 de 2008, según enmendada para que lea como sigue:</w:t>
      </w:r>
    </w:p>
    <w:p w14:paraId="0000007C" w14:textId="77777777" w:rsidR="004A407C" w:rsidRDefault="00FA57FC">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Artículo 11. — Periodo Transitorio. (12 L.P.R.A. § 8038)</w:t>
      </w:r>
    </w:p>
    <w:p w14:paraId="0000007D" w14:textId="77777777" w:rsidR="004A407C" w:rsidRDefault="00FA57FC">
      <w:pPr>
        <w:pBdr>
          <w:top w:val="nil"/>
          <w:left w:val="nil"/>
          <w:bottom w:val="nil"/>
          <w:right w:val="nil"/>
          <w:between w:val="nil"/>
        </w:pBdr>
        <w:spacing w:line="480" w:lineRule="auto"/>
        <w:jc w:val="both"/>
        <w:rPr>
          <w:rFonts w:ascii="Book Antiqua" w:eastAsia="Book Antiqua" w:hAnsi="Book Antiqua" w:cs="Book Antiqua"/>
          <w:color w:val="000000"/>
        </w:rPr>
      </w:pPr>
      <w:r>
        <w:rPr>
          <w:rFonts w:ascii="Book Antiqua" w:eastAsia="Book Antiqua" w:hAnsi="Book Antiqua" w:cs="Book Antiqua"/>
          <w:color w:val="000000"/>
        </w:rPr>
        <w:tab/>
        <w:t>….</w:t>
      </w:r>
    </w:p>
    <w:p w14:paraId="0000007E" w14:textId="77777777" w:rsidR="004A407C" w:rsidRDefault="00FA57FC">
      <w:pPr>
        <w:pBdr>
          <w:top w:val="nil"/>
          <w:left w:val="nil"/>
          <w:bottom w:val="nil"/>
          <w:right w:val="nil"/>
          <w:between w:val="nil"/>
        </w:pBdr>
        <w:spacing w:line="480" w:lineRule="auto"/>
        <w:ind w:left="360" w:firstLine="360"/>
        <w:jc w:val="both"/>
        <w:rPr>
          <w:rFonts w:ascii="Book Antiqua" w:eastAsia="Book Antiqua" w:hAnsi="Book Antiqua" w:cs="Book Antiqua"/>
          <w:color w:val="000000"/>
        </w:rPr>
      </w:pPr>
      <w:r>
        <w:rPr>
          <w:rFonts w:ascii="Book Antiqua" w:eastAsia="Book Antiqua" w:hAnsi="Book Antiqua" w:cs="Book Antiqua"/>
          <w:color w:val="000000"/>
        </w:rPr>
        <w:t xml:space="preserve">Dentro de los ciento ochenta (180) días de aprobada esta Ley, la </w:t>
      </w:r>
      <w:proofErr w:type="spellStart"/>
      <w:r>
        <w:rPr>
          <w:rFonts w:ascii="Book Antiqua" w:eastAsia="Book Antiqua" w:hAnsi="Book Antiqua" w:cs="Book Antiqua"/>
          <w:color w:val="000000"/>
        </w:rPr>
        <w:t>OGPe</w:t>
      </w:r>
      <w:proofErr w:type="spellEnd"/>
      <w:r>
        <w:rPr>
          <w:rFonts w:ascii="Book Antiqua" w:eastAsia="Book Antiqua" w:hAnsi="Book Antiqua" w:cs="Book Antiqua"/>
          <w:color w:val="000000"/>
        </w:rPr>
        <w:t xml:space="preserve"> deberá incorporar la reglamentación aprobada a su amparo al Código de Construcción.</w:t>
      </w:r>
    </w:p>
    <w:p w14:paraId="0000007F" w14:textId="1002625B" w:rsidR="004A407C" w:rsidRPr="00080454" w:rsidRDefault="00FA57FC">
      <w:pPr>
        <w:pBdr>
          <w:top w:val="nil"/>
          <w:left w:val="nil"/>
          <w:bottom w:val="nil"/>
          <w:right w:val="nil"/>
          <w:between w:val="nil"/>
        </w:pBdr>
        <w:spacing w:line="480" w:lineRule="auto"/>
        <w:ind w:left="360" w:firstLine="36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 xml:space="preserve">Para luminarias existentes en </w:t>
      </w:r>
      <w:r w:rsidR="000B709C">
        <w:rPr>
          <w:rFonts w:ascii="Book Antiqua" w:eastAsia="Book Antiqua" w:hAnsi="Book Antiqua" w:cs="Book Antiqua"/>
          <w:i/>
          <w:iCs/>
          <w:color w:val="000000"/>
        </w:rPr>
        <w:t>Zonas</w:t>
      </w:r>
      <w:r w:rsidRPr="00080454">
        <w:rPr>
          <w:rFonts w:ascii="Book Antiqua" w:eastAsia="Book Antiqua" w:hAnsi="Book Antiqua" w:cs="Book Antiqua"/>
          <w:i/>
          <w:iCs/>
          <w:color w:val="000000"/>
        </w:rPr>
        <w:t xml:space="preserve"> Críticas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de Tortugas Marinas, el periodo transitorio será de tres (3) años, durante los cuales deberán adoptarse medidas correctivas para cumplir con los estándares de iluminación amigable con tortugas, utilizando los recursos técnicos y humanos existentes.</w:t>
      </w:r>
    </w:p>
    <w:p w14:paraId="00000081" w14:textId="53526383" w:rsidR="004A407C" w:rsidRDefault="00FA57FC" w:rsidP="00DF37EA">
      <w:pPr>
        <w:pBdr>
          <w:top w:val="nil"/>
          <w:left w:val="nil"/>
          <w:bottom w:val="nil"/>
          <w:right w:val="nil"/>
          <w:between w:val="nil"/>
        </w:pBdr>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Sección 7. Para añadir un nuevo Artículo 12, a la Ley Núm. 218 de 2008, según enmendada para que lea como sigue:</w:t>
      </w:r>
    </w:p>
    <w:p w14:paraId="00000082" w14:textId="77777777" w:rsidR="004A407C" w:rsidRPr="00080454" w:rsidRDefault="00FA57FC">
      <w:pPr>
        <w:pBdr>
          <w:top w:val="nil"/>
          <w:left w:val="nil"/>
          <w:bottom w:val="nil"/>
          <w:right w:val="nil"/>
          <w:between w:val="nil"/>
        </w:pBdr>
        <w:spacing w:line="480" w:lineRule="auto"/>
        <w:ind w:firstLine="36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Artículo 12. – Penalidades Administrativas.</w:t>
      </w:r>
    </w:p>
    <w:p w14:paraId="00000083" w14:textId="56BA6C43" w:rsidR="004A407C" w:rsidRPr="00080454" w:rsidRDefault="00FA57FC">
      <w:pPr>
        <w:pBdr>
          <w:top w:val="nil"/>
          <w:left w:val="nil"/>
          <w:bottom w:val="nil"/>
          <w:right w:val="nil"/>
          <w:between w:val="nil"/>
        </w:pBdr>
        <w:spacing w:line="480" w:lineRule="auto"/>
        <w:ind w:left="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1.</w:t>
      </w:r>
      <w:r w:rsidRPr="00080454">
        <w:rPr>
          <w:rFonts w:ascii="Book Antiqua" w:eastAsia="Book Antiqua" w:hAnsi="Book Antiqua" w:cs="Book Antiqua"/>
          <w:i/>
          <w:iCs/>
          <w:color w:val="000000"/>
        </w:rPr>
        <w:tab/>
        <w:t xml:space="preserve">Toda persona natural o jurídica que incumpla con los requisitos de iluminación en </w:t>
      </w:r>
      <w:r w:rsidR="000B709C">
        <w:rPr>
          <w:rFonts w:ascii="Book Antiqua" w:eastAsia="Book Antiqua" w:hAnsi="Book Antiqua" w:cs="Book Antiqua"/>
          <w:i/>
          <w:iCs/>
          <w:color w:val="000000"/>
        </w:rPr>
        <w:t>Zona</w:t>
      </w:r>
      <w:r w:rsidRPr="00080454">
        <w:rPr>
          <w:rFonts w:ascii="Book Antiqua" w:eastAsia="Book Antiqua" w:hAnsi="Book Antiqua" w:cs="Book Antiqua"/>
          <w:i/>
          <w:iCs/>
          <w:color w:val="000000"/>
        </w:rPr>
        <w:t xml:space="preserve">s Críticas de </w:t>
      </w:r>
      <w:proofErr w:type="spellStart"/>
      <w:r w:rsidRPr="00080454">
        <w:rPr>
          <w:rFonts w:ascii="Book Antiqua" w:eastAsia="Book Antiqua" w:hAnsi="Book Antiqua" w:cs="Book Antiqua"/>
          <w:i/>
          <w:iCs/>
          <w:color w:val="000000"/>
        </w:rPr>
        <w:t>Anidaje</w:t>
      </w:r>
      <w:proofErr w:type="spellEnd"/>
      <w:r w:rsidRPr="00080454">
        <w:rPr>
          <w:rFonts w:ascii="Book Antiqua" w:eastAsia="Book Antiqua" w:hAnsi="Book Antiqua" w:cs="Book Antiqua"/>
          <w:i/>
          <w:iCs/>
          <w:color w:val="000000"/>
        </w:rPr>
        <w:t xml:space="preserve"> incurrirá en:</w:t>
      </w:r>
    </w:p>
    <w:p w14:paraId="00000084" w14:textId="77777777" w:rsidR="004A407C" w:rsidRPr="00080454" w:rsidRDefault="00FA57FC">
      <w:pPr>
        <w:pBdr>
          <w:top w:val="nil"/>
          <w:left w:val="nil"/>
          <w:bottom w:val="nil"/>
          <w:right w:val="nil"/>
          <w:between w:val="nil"/>
        </w:pBdr>
        <w:spacing w:line="480" w:lineRule="auto"/>
        <w:ind w:left="720" w:firstLine="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a.</w:t>
      </w:r>
      <w:r w:rsidRPr="00080454">
        <w:rPr>
          <w:rFonts w:ascii="Book Antiqua" w:eastAsia="Book Antiqua" w:hAnsi="Book Antiqua" w:cs="Book Antiqua"/>
          <w:i/>
          <w:iCs/>
          <w:color w:val="000000"/>
        </w:rPr>
        <w:tab/>
        <w:t>Multas administrativas escalonadas;</w:t>
      </w:r>
    </w:p>
    <w:p w14:paraId="00000085" w14:textId="77777777" w:rsidR="004A407C" w:rsidRPr="00080454" w:rsidRDefault="00FA57FC">
      <w:pPr>
        <w:pBdr>
          <w:top w:val="nil"/>
          <w:left w:val="nil"/>
          <w:bottom w:val="nil"/>
          <w:right w:val="nil"/>
          <w:between w:val="nil"/>
        </w:pBdr>
        <w:spacing w:line="480" w:lineRule="auto"/>
        <w:ind w:left="720" w:firstLine="72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b.</w:t>
      </w:r>
      <w:r w:rsidRPr="00080454">
        <w:rPr>
          <w:rFonts w:ascii="Book Antiqua" w:eastAsia="Book Antiqua" w:hAnsi="Book Antiqua" w:cs="Book Antiqua"/>
          <w:i/>
          <w:iCs/>
          <w:color w:val="000000"/>
        </w:rPr>
        <w:tab/>
        <w:t>Órdenes de corrección inmediata;</w:t>
      </w:r>
    </w:p>
    <w:p w14:paraId="00000086" w14:textId="7D185405" w:rsidR="004A407C" w:rsidRPr="00080454" w:rsidRDefault="00FA57FC" w:rsidP="00DF37EA">
      <w:pPr>
        <w:pBdr>
          <w:top w:val="nil"/>
          <w:left w:val="nil"/>
          <w:bottom w:val="nil"/>
          <w:right w:val="nil"/>
          <w:between w:val="nil"/>
        </w:pBdr>
        <w:spacing w:line="480" w:lineRule="auto"/>
        <w:ind w:left="1440"/>
        <w:jc w:val="both"/>
        <w:rPr>
          <w:rFonts w:ascii="Book Antiqua" w:eastAsia="Book Antiqua" w:hAnsi="Book Antiqua" w:cs="Book Antiqua"/>
          <w:i/>
          <w:iCs/>
          <w:color w:val="000000"/>
        </w:rPr>
      </w:pPr>
      <w:r w:rsidRPr="00080454">
        <w:rPr>
          <w:rFonts w:ascii="Book Antiqua" w:eastAsia="Book Antiqua" w:hAnsi="Book Antiqua" w:cs="Book Antiqua"/>
          <w:i/>
          <w:iCs/>
          <w:color w:val="000000"/>
        </w:rPr>
        <w:t>c.</w:t>
      </w:r>
      <w:r w:rsidRPr="00080454">
        <w:rPr>
          <w:rFonts w:ascii="Book Antiqua" w:eastAsia="Book Antiqua" w:hAnsi="Book Antiqua" w:cs="Book Antiqua"/>
          <w:i/>
          <w:iCs/>
          <w:color w:val="000000"/>
        </w:rPr>
        <w:tab/>
      </w:r>
      <w:r w:rsidR="00DF37EA" w:rsidRPr="00DF37EA">
        <w:rPr>
          <w:rFonts w:ascii="Book Antiqua" w:eastAsia="Book Antiqua" w:hAnsi="Book Antiqua" w:cs="Book Antiqua"/>
          <w:i/>
          <w:iCs/>
          <w:color w:val="000000"/>
        </w:rPr>
        <w:t>Suspensión de</w:t>
      </w:r>
      <w:r w:rsidR="00DF37EA">
        <w:rPr>
          <w:rFonts w:ascii="Book Antiqua" w:eastAsia="Book Antiqua" w:hAnsi="Book Antiqua" w:cs="Book Antiqua"/>
          <w:i/>
          <w:iCs/>
          <w:color w:val="000000"/>
        </w:rPr>
        <w:t xml:space="preserve"> </w:t>
      </w:r>
      <w:r w:rsidR="00DF37EA" w:rsidRPr="00DF37EA">
        <w:rPr>
          <w:rFonts w:ascii="Book Antiqua" w:eastAsia="Book Antiqua" w:hAnsi="Book Antiqua" w:cs="Book Antiqua"/>
          <w:i/>
          <w:iCs/>
          <w:color w:val="000000"/>
        </w:rPr>
        <w:t>permiso</w:t>
      </w:r>
      <w:r w:rsidR="00DF37EA">
        <w:rPr>
          <w:rFonts w:ascii="Book Antiqua" w:eastAsia="Book Antiqua" w:hAnsi="Book Antiqua" w:cs="Book Antiqua"/>
          <w:i/>
          <w:iCs/>
          <w:color w:val="000000"/>
        </w:rPr>
        <w:t>s</w:t>
      </w:r>
      <w:r w:rsidR="00DF37EA" w:rsidRPr="00DF37EA">
        <w:rPr>
          <w:rFonts w:ascii="Book Antiqua" w:eastAsia="Book Antiqua" w:hAnsi="Book Antiqua" w:cs="Book Antiqua"/>
          <w:i/>
          <w:iCs/>
          <w:color w:val="000000"/>
        </w:rPr>
        <w:t xml:space="preserve"> de uso o de la autorización de iluminación exterior, según aplique, cuando el propietario, operador o responsable incumpla con las disposiciones de esta Ley o su reglamentación y, habiéndose emitido previamente órdenes de corrección, avisos de incumplimiento o multas administrativas, no haya subsanado la deficiencia dentro del término concedido por la autoridad competente</w:t>
      </w:r>
      <w:r w:rsidRPr="00080454">
        <w:rPr>
          <w:rFonts w:ascii="Book Antiqua" w:eastAsia="Book Antiqua" w:hAnsi="Book Antiqua" w:cs="Book Antiqua"/>
          <w:i/>
          <w:iCs/>
          <w:color w:val="000000"/>
        </w:rPr>
        <w:t>.</w:t>
      </w:r>
    </w:p>
    <w:p w14:paraId="00000087" w14:textId="77777777" w:rsidR="004A407C" w:rsidRDefault="00FA57FC">
      <w:pPr>
        <w:pBdr>
          <w:top w:val="nil"/>
          <w:left w:val="nil"/>
          <w:bottom w:val="nil"/>
          <w:right w:val="nil"/>
          <w:between w:val="nil"/>
        </w:pBdr>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lastRenderedPageBreak/>
        <w:t>Sección 8.- Vigencia</w:t>
      </w:r>
    </w:p>
    <w:p w14:paraId="00000088" w14:textId="77777777" w:rsidR="004A407C" w:rsidRDefault="00FA57FC">
      <w:pPr>
        <w:pBdr>
          <w:top w:val="nil"/>
          <w:left w:val="nil"/>
          <w:bottom w:val="nil"/>
          <w:right w:val="nil"/>
          <w:between w:val="nil"/>
        </w:pBdr>
        <w:spacing w:line="480" w:lineRule="auto"/>
        <w:jc w:val="both"/>
        <w:rPr>
          <w:rFonts w:ascii="Book Antiqua" w:eastAsia="Book Antiqua" w:hAnsi="Book Antiqua" w:cs="Book Antiqua"/>
          <w:i/>
          <w:iCs/>
          <w:color w:val="000000"/>
          <w:u w:val="single"/>
        </w:rPr>
      </w:pPr>
      <w:r>
        <w:rPr>
          <w:rFonts w:ascii="Book Antiqua" w:eastAsia="Book Antiqua" w:hAnsi="Book Antiqua" w:cs="Book Antiqua"/>
          <w:color w:val="000000"/>
        </w:rPr>
        <w:t>Esta ley comenzará a regir inmediatamente después de su aprobación.</w:t>
      </w:r>
      <w:r>
        <w:rPr>
          <w:rFonts w:ascii="Book Antiqua" w:eastAsia="Book Antiqua" w:hAnsi="Book Antiqua" w:cs="Book Antiqua"/>
          <w:color w:val="000000"/>
        </w:rPr>
        <w:tab/>
      </w:r>
    </w:p>
    <w:sectPr w:rsidR="004A407C">
      <w:headerReference w:type="default" r:id="rId9"/>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1140A" w14:textId="77777777" w:rsidR="00B75E85" w:rsidRDefault="00B75E85">
      <w:r>
        <w:separator/>
      </w:r>
    </w:p>
  </w:endnote>
  <w:endnote w:type="continuationSeparator" w:id="0">
    <w:p w14:paraId="510821FD" w14:textId="77777777" w:rsidR="00B75E85" w:rsidRDefault="00B75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charset w:val="00"/>
    <w:family w:val="auto"/>
    <w:pitch w:val="default"/>
    <w:embedRegular r:id="rId1" w:fontKey="{DED22E74-9709-40DA-A18D-647211300723}"/>
    <w:embedBold r:id="rId2" w:fontKey="{C62B23AE-CEF7-4A93-B315-13A692E92CF3}"/>
  </w:font>
  <w:font w:name="CG Times(w1)">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3" w:fontKey="{49FDF3C5-92E9-4B50-8490-5994230CFB93}"/>
  </w:font>
  <w:font w:name="Georgia">
    <w:panose1 w:val="02040502050405020303"/>
    <w:charset w:val="00"/>
    <w:family w:val="roman"/>
    <w:pitch w:val="variable"/>
    <w:sig w:usb0="00000287" w:usb1="00000000" w:usb2="00000000" w:usb3="00000000" w:csb0="0000009F" w:csb1="00000000"/>
    <w:embedItalic r:id="rId4" w:fontKey="{94AD52FE-D01D-445F-9F06-4E402EB2EB02}"/>
  </w:font>
  <w:font w:name="Book Antiqua">
    <w:panose1 w:val="02040602050305030304"/>
    <w:charset w:val="00"/>
    <w:family w:val="roman"/>
    <w:pitch w:val="variable"/>
    <w:sig w:usb0="00000287" w:usb1="00000000" w:usb2="00000000" w:usb3="00000000" w:csb0="0000009F" w:csb1="00000000"/>
    <w:embedRegular r:id="rId5" w:fontKey="{8B65F7E5-A033-4BB9-A5B9-E1C9657FEF11}"/>
    <w:embedBold r:id="rId6" w:fontKey="{02C99D6E-40DE-40A0-AB7C-7AA7561DA51B}"/>
    <w:embedItalic r:id="rId7" w:fontKey="{8048311B-9339-4530-AAB4-D34E5D320DD7}"/>
    <w:embedBoldItalic r:id="rId8" w:fontKey="{F1A8FE33-7F72-4796-882E-07198154EDDB}"/>
  </w:font>
  <w:font w:name="Cambria">
    <w:panose1 w:val="02040503050406030204"/>
    <w:charset w:val="00"/>
    <w:family w:val="roman"/>
    <w:pitch w:val="variable"/>
    <w:sig w:usb0="E00006FF" w:usb1="420024FF" w:usb2="02000000" w:usb3="00000000" w:csb0="0000019F" w:csb1="00000000"/>
    <w:embedRegular r:id="rId9" w:fontKey="{848E3277-9EDF-4A58-9F75-7F047253792F}"/>
  </w:font>
  <w:font w:name="Calibri">
    <w:panose1 w:val="020F0502020204030204"/>
    <w:charset w:val="00"/>
    <w:family w:val="swiss"/>
    <w:pitch w:val="variable"/>
    <w:sig w:usb0="E4002EFF" w:usb1="C200247B" w:usb2="00000009" w:usb3="00000000" w:csb0="000001FF" w:csb1="00000000"/>
    <w:embedRegular r:id="rId10" w:fontKey="{107D3D39-9A90-450B-9B08-D0F4711F244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E28F" w14:textId="77777777" w:rsidR="00B75E85" w:rsidRDefault="00B75E85">
      <w:r>
        <w:separator/>
      </w:r>
    </w:p>
  </w:footnote>
  <w:footnote w:type="continuationSeparator" w:id="0">
    <w:p w14:paraId="4879891F" w14:textId="77777777" w:rsidR="00B75E85" w:rsidRDefault="00B75E85">
      <w:r>
        <w:continuationSeparator/>
      </w:r>
    </w:p>
  </w:footnote>
  <w:footnote w:id="1">
    <w:p w14:paraId="00000089" w14:textId="77777777" w:rsidR="004A407C" w:rsidRDefault="00FA57FC">
      <w:pPr>
        <w:pBdr>
          <w:top w:val="nil"/>
          <w:left w:val="nil"/>
          <w:bottom w:val="nil"/>
          <w:right w:val="nil"/>
          <w:between w:val="nil"/>
        </w:pBdr>
        <w:rPr>
          <w:color w:val="000000"/>
          <w:sz w:val="20"/>
          <w:szCs w:val="20"/>
        </w:rPr>
      </w:pPr>
      <w:r>
        <w:rPr>
          <w:rStyle w:val="Refdenotaalpie"/>
        </w:rPr>
        <w:footnoteRef/>
      </w:r>
      <w:r w:rsidRPr="00A73EB1">
        <w:rPr>
          <w:color w:val="000000"/>
          <w:sz w:val="20"/>
          <w:szCs w:val="20"/>
          <w:lang w:val="en-US"/>
        </w:rPr>
        <w:t xml:space="preserve"> Environmental pollution and biodiversity: Light pollution and sea turtles in the Caribbean. </w:t>
      </w:r>
      <w:hyperlink r:id="rId1">
        <w:r w:rsidR="004A407C">
          <w:rPr>
            <w:color w:val="0000FF"/>
            <w:sz w:val="20"/>
            <w:szCs w:val="20"/>
            <w:u w:val="single"/>
          </w:rPr>
          <w:t>https://www.sciencedirect.com/science/article/abs/pii/S0095069616000097?utm_source=chatgpt.com</w:t>
        </w:r>
      </w:hyperlink>
      <w:r>
        <w:rPr>
          <w:color w:val="000000"/>
          <w:sz w:val="20"/>
          <w:szCs w:val="20"/>
        </w:rPr>
        <w:t xml:space="preserve"> </w:t>
      </w:r>
    </w:p>
  </w:footnote>
  <w:footnote w:id="2">
    <w:p w14:paraId="0000008A" w14:textId="77777777" w:rsidR="004A407C" w:rsidRPr="00A73EB1" w:rsidRDefault="00FA57FC">
      <w:pPr>
        <w:pBdr>
          <w:top w:val="nil"/>
          <w:left w:val="nil"/>
          <w:bottom w:val="nil"/>
          <w:right w:val="nil"/>
          <w:between w:val="nil"/>
        </w:pBdr>
        <w:rPr>
          <w:color w:val="000000"/>
          <w:sz w:val="20"/>
          <w:szCs w:val="20"/>
          <w:lang w:val="en-US"/>
        </w:rPr>
      </w:pPr>
      <w:r>
        <w:rPr>
          <w:rStyle w:val="Refdenotaalpie"/>
        </w:rPr>
        <w:footnoteRef/>
      </w:r>
      <w:r w:rsidRPr="00A73EB1">
        <w:rPr>
          <w:color w:val="000000"/>
          <w:sz w:val="20"/>
          <w:szCs w:val="20"/>
          <w:lang w:val="en-US"/>
        </w:rPr>
        <w:t xml:space="preserve"> The Assessment and Educational Outreach of Lighting Practices for Coastal Light Pollution Impacting Sea Turtle Ecosystems. </w:t>
      </w:r>
      <w:r w:rsidR="004A407C">
        <w:fldChar w:fldCharType="begin"/>
      </w:r>
      <w:r w:rsidR="004A407C" w:rsidRPr="00A25C24">
        <w:rPr>
          <w:lang w:val="en-US"/>
        </w:rPr>
        <w:instrText>HYPERLINK "https://wp.wpi.edu/puertorico/projects/2016-2/the-assessment-and-educational-outreach-of-lighting-practices-for-coastal-light-pollution-impacting-sea-turtle-ecosystems/?utm_source=chatgpt.com" \h</w:instrText>
      </w:r>
      <w:r w:rsidR="004A407C">
        <w:fldChar w:fldCharType="separate"/>
      </w:r>
      <w:r w:rsidR="004A407C" w:rsidRPr="00A73EB1">
        <w:rPr>
          <w:color w:val="0000FF"/>
          <w:sz w:val="20"/>
          <w:szCs w:val="20"/>
          <w:u w:val="single"/>
          <w:lang w:val="en-US"/>
        </w:rPr>
        <w:t>The Assessment and Educational Outreach of Lighting Practices for Coastal Light Pollution Impacting Sea Turtle Ecosystems</w:t>
      </w:r>
      <w:r w:rsidR="004A407C">
        <w:fldChar w:fldCharType="end"/>
      </w:r>
    </w:p>
    <w:p w14:paraId="0000008B" w14:textId="77777777" w:rsidR="004A407C" w:rsidRPr="00A73EB1" w:rsidRDefault="004A407C">
      <w:pPr>
        <w:pBdr>
          <w:top w:val="nil"/>
          <w:left w:val="nil"/>
          <w:bottom w:val="nil"/>
          <w:right w:val="nil"/>
          <w:between w:val="nil"/>
        </w:pBdr>
        <w:rPr>
          <w:color w:val="000000"/>
          <w:sz w:val="20"/>
          <w:szCs w:val="20"/>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C" w14:textId="535F396D" w:rsidR="004A407C" w:rsidRDefault="00FA57FC">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A73EB1">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D" w14:textId="072ADC0C" w:rsidR="004A407C" w:rsidRDefault="00FA57FC">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A73EB1">
      <w:rPr>
        <w:noProof/>
        <w:color w:val="000000"/>
      </w:rPr>
      <w:t>4</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E208E2"/>
    <w:multiLevelType w:val="multilevel"/>
    <w:tmpl w:val="D3F6249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48B0145"/>
    <w:multiLevelType w:val="multilevel"/>
    <w:tmpl w:val="C054E45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7BE379E8"/>
    <w:multiLevelType w:val="multilevel"/>
    <w:tmpl w:val="3224FB9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480927412">
    <w:abstractNumId w:val="1"/>
  </w:num>
  <w:num w:numId="2" w16cid:durableId="519389796">
    <w:abstractNumId w:val="0"/>
  </w:num>
  <w:num w:numId="3" w16cid:durableId="1966155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07C"/>
    <w:rsid w:val="00080454"/>
    <w:rsid w:val="000B709C"/>
    <w:rsid w:val="003372D7"/>
    <w:rsid w:val="003C6BE8"/>
    <w:rsid w:val="004A407C"/>
    <w:rsid w:val="004D1A36"/>
    <w:rsid w:val="00633E53"/>
    <w:rsid w:val="00801B9C"/>
    <w:rsid w:val="00831874"/>
    <w:rsid w:val="00897D7B"/>
    <w:rsid w:val="008B6226"/>
    <w:rsid w:val="009B48F8"/>
    <w:rsid w:val="00A25C24"/>
    <w:rsid w:val="00A4515D"/>
    <w:rsid w:val="00A5757D"/>
    <w:rsid w:val="00A73EB1"/>
    <w:rsid w:val="00AB2226"/>
    <w:rsid w:val="00B37A3A"/>
    <w:rsid w:val="00B75E85"/>
    <w:rsid w:val="00B85B93"/>
    <w:rsid w:val="00C32AC6"/>
    <w:rsid w:val="00DF37EA"/>
    <w:rsid w:val="00DF6A46"/>
    <w:rsid w:val="00F21245"/>
    <w:rsid w:val="00FA5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F6C6F"/>
  <w15:docId w15:val="{BEF46990-5814-4665-B086-06FCBE7DF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ind w:left="360" w:hanging="360"/>
      <w:jc w:val="center"/>
      <w:outlineLvl w:val="0"/>
    </w:pPr>
    <w:rPr>
      <w:rFonts w:ascii="CG Times" w:eastAsia="CG Times" w:hAnsi="CG Times" w:cs="CG Times"/>
      <w:sz w:val="28"/>
      <w:szCs w:val="28"/>
    </w:rPr>
  </w:style>
  <w:style w:type="paragraph" w:styleId="Ttulo2">
    <w:name w:val="heading 2"/>
    <w:basedOn w:val="Normal"/>
    <w:next w:val="Normal"/>
    <w:uiPriority w:val="9"/>
    <w:unhideWhenUsed/>
    <w:qFormat/>
    <w:pPr>
      <w:keepNext/>
      <w:jc w:val="center"/>
      <w:outlineLvl w:val="1"/>
    </w:pPr>
    <w:rPr>
      <w:rFonts w:ascii="CG Times" w:eastAsia="CG Times" w:hAnsi="CG Times" w:cs="CG Times"/>
      <w:b/>
      <w:bCs/>
      <w:sz w:val="36"/>
      <w:szCs w:val="36"/>
    </w:rPr>
  </w:style>
  <w:style w:type="paragraph" w:styleId="Ttulo3">
    <w:name w:val="heading 3"/>
    <w:basedOn w:val="Normal"/>
    <w:next w:val="Normal"/>
    <w:uiPriority w:val="9"/>
    <w:unhideWhenUsed/>
    <w:qFormat/>
    <w:pPr>
      <w:keepNext/>
      <w:jc w:val="center"/>
      <w:outlineLvl w:val="2"/>
    </w:pPr>
    <w:rPr>
      <w:rFonts w:ascii="CG Times" w:eastAsia="CG Times" w:hAnsi="CG Times" w:cs="CG Times"/>
      <w:b/>
      <w:bCs/>
      <w:sz w:val="48"/>
      <w:szCs w:val="4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customStyle="1" w:styleId="Title2">
    <w:name w:val="Title2"/>
    <w:basedOn w:val="Normal"/>
    <w:next w:val="Normal"/>
    <w:rsid w:val="00A548A5"/>
    <w:pPr>
      <w:tabs>
        <w:tab w:val="left" w:pos="648"/>
        <w:tab w:val="right" w:pos="7776"/>
        <w:tab w:val="left" w:pos="7848"/>
      </w:tabs>
    </w:pPr>
  </w:style>
  <w:style w:type="paragraph" w:styleId="Encabezado">
    <w:name w:val="header"/>
    <w:basedOn w:val="Normal"/>
    <w:rsid w:val="00A548A5"/>
    <w:pPr>
      <w:tabs>
        <w:tab w:val="center" w:pos="4320"/>
        <w:tab w:val="right" w:pos="8640"/>
      </w:tabs>
    </w:pPr>
  </w:style>
  <w:style w:type="character" w:styleId="Nmerodepgina">
    <w:name w:val="page number"/>
    <w:basedOn w:val="Fuentedeprrafopredeter"/>
    <w:rsid w:val="00A548A5"/>
  </w:style>
  <w:style w:type="paragraph" w:styleId="Textoindependiente">
    <w:name w:val="Body Text"/>
    <w:basedOn w:val="Normal"/>
    <w:rsid w:val="00A548A5"/>
    <w:pPr>
      <w:jc w:val="both"/>
    </w:pPr>
  </w:style>
  <w:style w:type="paragraph" w:styleId="Sangradetextonormal">
    <w:name w:val="Body Text Indent"/>
    <w:basedOn w:val="Normal"/>
    <w:link w:val="SangradetextonormalCar"/>
    <w:rsid w:val="00A548A5"/>
    <w:pPr>
      <w:ind w:firstLine="360"/>
      <w:jc w:val="both"/>
    </w:pPr>
  </w:style>
  <w:style w:type="paragraph" w:styleId="Sangra2detindependiente">
    <w:name w:val="Body Text Indent 2"/>
    <w:basedOn w:val="Normal"/>
    <w:rsid w:val="00A548A5"/>
    <w:pPr>
      <w:tabs>
        <w:tab w:val="left" w:pos="3690"/>
      </w:tabs>
      <w:ind w:left="360" w:hanging="360"/>
      <w:jc w:val="both"/>
    </w:pPr>
    <w:rPr>
      <w:rFonts w:ascii="CG Times(w1)" w:hAnsi="CG Times(w1)"/>
    </w:rPr>
  </w:style>
  <w:style w:type="character" w:styleId="Nmerodelnea">
    <w:name w:val="line number"/>
    <w:basedOn w:val="Fuentedeprrafopredeter"/>
    <w:rsid w:val="00A548A5"/>
  </w:style>
  <w:style w:type="paragraph" w:styleId="Textodeglobo">
    <w:name w:val="Balloon Text"/>
    <w:basedOn w:val="Normal"/>
    <w:link w:val="TextodegloboCar"/>
    <w:rsid w:val="00A15156"/>
    <w:rPr>
      <w:rFonts w:ascii="Tahoma" w:hAnsi="Tahoma"/>
      <w:sz w:val="16"/>
      <w:szCs w:val="16"/>
    </w:rPr>
  </w:style>
  <w:style w:type="character" w:customStyle="1" w:styleId="TextodegloboCar">
    <w:name w:val="Texto de globo Car"/>
    <w:link w:val="Textodeglobo"/>
    <w:rsid w:val="00A15156"/>
    <w:rPr>
      <w:rFonts w:ascii="Tahoma" w:hAnsi="Tahoma" w:cs="Tahoma"/>
      <w:sz w:val="16"/>
      <w:szCs w:val="16"/>
      <w:lang w:val="es-PR"/>
    </w:rPr>
  </w:style>
  <w:style w:type="paragraph" w:styleId="Piedepgina">
    <w:name w:val="footer"/>
    <w:basedOn w:val="Normal"/>
    <w:link w:val="PiedepginaCar"/>
    <w:rsid w:val="009C55B5"/>
    <w:pPr>
      <w:tabs>
        <w:tab w:val="center" w:pos="4680"/>
        <w:tab w:val="right" w:pos="9360"/>
      </w:tabs>
    </w:pPr>
  </w:style>
  <w:style w:type="character" w:customStyle="1" w:styleId="PiedepginaCar">
    <w:name w:val="Pie de página Car"/>
    <w:link w:val="Piedepgina"/>
    <w:rsid w:val="009C55B5"/>
    <w:rPr>
      <w:sz w:val="24"/>
      <w:lang w:val="es-PR"/>
    </w:rPr>
  </w:style>
  <w:style w:type="character" w:customStyle="1" w:styleId="SangradetextonormalCar">
    <w:name w:val="Sangría de texto normal Car"/>
    <w:basedOn w:val="Fuentedeprrafopredeter"/>
    <w:link w:val="Sangradetextonormal"/>
    <w:rsid w:val="0085162F"/>
    <w:rPr>
      <w:sz w:val="24"/>
      <w:lang w:eastAsia="en-US"/>
    </w:rPr>
  </w:style>
  <w:style w:type="paragraph" w:styleId="Textonotapie">
    <w:name w:val="footnote text"/>
    <w:basedOn w:val="Normal"/>
    <w:link w:val="TextonotapieCar"/>
    <w:semiHidden/>
    <w:unhideWhenUsed/>
    <w:rsid w:val="00754B8D"/>
    <w:rPr>
      <w:sz w:val="20"/>
    </w:rPr>
  </w:style>
  <w:style w:type="character" w:customStyle="1" w:styleId="TextonotapieCar">
    <w:name w:val="Texto nota pie Car"/>
    <w:basedOn w:val="Fuentedeprrafopredeter"/>
    <w:link w:val="Textonotapie"/>
    <w:semiHidden/>
    <w:rsid w:val="00754B8D"/>
    <w:rPr>
      <w:lang w:eastAsia="en-US"/>
    </w:rPr>
  </w:style>
  <w:style w:type="character" w:styleId="Refdenotaalpie">
    <w:name w:val="footnote reference"/>
    <w:basedOn w:val="Fuentedeprrafopredeter"/>
    <w:semiHidden/>
    <w:unhideWhenUsed/>
    <w:rsid w:val="00754B8D"/>
    <w:rPr>
      <w:vertAlign w:val="superscript"/>
    </w:rPr>
  </w:style>
  <w:style w:type="character" w:styleId="Hipervnculo">
    <w:name w:val="Hyperlink"/>
    <w:basedOn w:val="Fuentedeprrafopredeter"/>
    <w:unhideWhenUsed/>
    <w:rsid w:val="00754B8D"/>
    <w:rPr>
      <w:color w:val="0000FF" w:themeColor="hyperlink"/>
      <w:u w:val="single"/>
    </w:rPr>
  </w:style>
  <w:style w:type="character" w:styleId="Mencinsinresolver">
    <w:name w:val="Unresolved Mention"/>
    <w:basedOn w:val="Fuentedeprrafopredeter"/>
    <w:uiPriority w:val="99"/>
    <w:semiHidden/>
    <w:unhideWhenUsed/>
    <w:rsid w:val="00754B8D"/>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3EB1"/>
    <w:rPr>
      <w:b/>
      <w:bCs/>
    </w:rPr>
  </w:style>
  <w:style w:type="character" w:customStyle="1" w:styleId="AsuntodelcomentarioCar">
    <w:name w:val="Asunto del comentario Car"/>
    <w:basedOn w:val="TextocomentarioCar"/>
    <w:link w:val="Asuntodelcomentario"/>
    <w:uiPriority w:val="99"/>
    <w:semiHidden/>
    <w:rsid w:val="00A73EB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https://www.sciencedirect.com/science/article/abs/pii/S009506961600009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a9A2Y/KHB2XTaikx3RdcHakqYQ==">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1961</Words>
  <Characters>10966</Characters>
  <Application>Microsoft Office Word</Application>
  <DocSecurity>0</DocSecurity>
  <Lines>228</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L. Soriano Miranda</dc:creator>
  <cp:lastModifiedBy>Rocío Alayón Morell</cp:lastModifiedBy>
  <cp:revision>3</cp:revision>
  <dcterms:created xsi:type="dcterms:W3CDTF">2026-03-13T15:05:00Z</dcterms:created>
  <dcterms:modified xsi:type="dcterms:W3CDTF">2026-03-16T14:51:00Z</dcterms:modified>
</cp:coreProperties>
</file>