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7CD3" w14:textId="03450246" w:rsidR="00F2719B" w:rsidRPr="001C66C0" w:rsidRDefault="00014FEB" w:rsidP="0035645A">
      <w:pPr>
        <w:suppressLineNumbers/>
        <w:jc w:val="center"/>
        <w:rPr>
          <w:rFonts w:ascii="Book Antiqua" w:hAnsi="Book Antiqua" w:cs="Book Antiqua"/>
          <w:sz w:val="28"/>
          <w:szCs w:val="28"/>
          <w:lang w:val="es-ES_tradnl"/>
        </w:rPr>
      </w:pPr>
      <w:r>
        <w:rPr>
          <w:rFonts w:ascii="Book Antiqua" w:hAnsi="Book Antiqua" w:cs="Book Antiqua"/>
          <w:sz w:val="28"/>
          <w:szCs w:val="28"/>
          <w:lang w:val="es-ES_tradnl"/>
        </w:rPr>
        <w:t>GOBIERNO</w:t>
      </w:r>
      <w:r w:rsidR="00F2719B" w:rsidRPr="001C66C0">
        <w:rPr>
          <w:rFonts w:ascii="Book Antiqua" w:hAnsi="Book Antiqua" w:cs="Book Antiqua"/>
          <w:sz w:val="28"/>
          <w:szCs w:val="28"/>
          <w:lang w:val="es-ES_tradnl"/>
        </w:rPr>
        <w:t xml:space="preserve"> DE PUERTO RICO</w:t>
      </w:r>
    </w:p>
    <w:p w14:paraId="7B826A0A" w14:textId="77777777" w:rsidR="00F2719B" w:rsidRPr="001C66C0" w:rsidRDefault="00F2719B" w:rsidP="0035645A">
      <w:pPr>
        <w:suppressLineNumbers/>
        <w:jc w:val="center"/>
        <w:rPr>
          <w:rFonts w:ascii="Book Antiqua" w:hAnsi="Book Antiqua" w:cs="Book Antiqua"/>
          <w:lang w:val="es-ES_tradnl"/>
        </w:rPr>
      </w:pPr>
    </w:p>
    <w:p w14:paraId="552AF519" w14:textId="24335D18" w:rsidR="00F2719B" w:rsidRPr="00B61272" w:rsidRDefault="00B61272" w:rsidP="00B61272">
      <w:pPr>
        <w:pStyle w:val="Title2"/>
        <w:suppressLineNumbers/>
        <w:tabs>
          <w:tab w:val="clear" w:pos="648"/>
          <w:tab w:val="clear" w:pos="7776"/>
          <w:tab w:val="clear" w:pos="7848"/>
        </w:tabs>
        <w:jc w:val="both"/>
        <w:rPr>
          <w:rFonts w:ascii="Book Antiqua" w:hAnsi="Book Antiqua" w:cs="Book Antiqua"/>
          <w:lang w:val="it-IT"/>
        </w:rPr>
      </w:pPr>
      <w:r w:rsidRPr="00B61272">
        <w:rPr>
          <w:rFonts w:ascii="Book Antiqua" w:hAnsi="Book Antiqua" w:cs="Book Antiqua"/>
          <w:lang w:val="es-PR"/>
        </w:rPr>
        <w:t>20ma.</w:t>
      </w:r>
      <w:r w:rsidR="00F2719B" w:rsidRPr="00B61272">
        <w:rPr>
          <w:rFonts w:ascii="Book Antiqua" w:hAnsi="Book Antiqua" w:cs="Book Antiqua"/>
          <w:vertAlign w:val="superscript"/>
          <w:lang w:val="es-PR"/>
        </w:rPr>
        <w:t xml:space="preserve"> </w:t>
      </w:r>
      <w:proofErr w:type="gramStart"/>
      <w:r w:rsidR="00F2719B" w:rsidRPr="00B61272">
        <w:rPr>
          <w:rFonts w:ascii="Book Antiqua" w:hAnsi="Book Antiqua" w:cs="Book Antiqua"/>
          <w:lang w:val="it-IT"/>
        </w:rPr>
        <w:t>Asamblea</w:t>
      </w:r>
      <w:r w:rsidR="00752604" w:rsidRPr="00B61272">
        <w:rPr>
          <w:rFonts w:ascii="Book Antiqua" w:hAnsi="Book Antiqua" w:cs="Book Antiqua"/>
          <w:lang w:val="it-IT"/>
        </w:rPr>
        <w:t xml:space="preserve">  </w:t>
      </w:r>
      <w:r w:rsidR="006D7419" w:rsidRPr="00B61272">
        <w:rPr>
          <w:lang w:val="it-IT"/>
        </w:rPr>
        <w:tab/>
      </w:r>
      <w:proofErr w:type="gramEnd"/>
      <w:r w:rsidR="00F2719B" w:rsidRPr="00B61272">
        <w:rPr>
          <w:rFonts w:ascii="Book Antiqua" w:hAnsi="Book Antiqua" w:cs="Book Antiqua"/>
          <w:lang w:val="it-IT"/>
        </w:rPr>
        <w:t xml:space="preserve"> </w:t>
      </w:r>
      <w:r w:rsidR="4E3E79F9" w:rsidRPr="00B61272">
        <w:rPr>
          <w:rFonts w:ascii="Book Antiqua" w:hAnsi="Book Antiqua" w:cs="Book Antiqua"/>
          <w:lang w:val="it-IT"/>
        </w:rPr>
        <w:t xml:space="preserve">                                                         </w:t>
      </w:r>
      <w:r w:rsidR="00752604" w:rsidRPr="00B61272">
        <w:rPr>
          <w:rFonts w:ascii="Book Antiqua" w:hAnsi="Book Antiqua" w:cs="Book Antiqua"/>
          <w:lang w:val="it-IT"/>
        </w:rPr>
        <w:t xml:space="preserve">                             </w:t>
      </w:r>
      <w:r>
        <w:rPr>
          <w:rFonts w:ascii="Book Antiqua" w:hAnsi="Book Antiqua" w:cs="Book Antiqua"/>
          <w:lang w:val="it-IT"/>
        </w:rPr>
        <w:t xml:space="preserve">        3ra.</w:t>
      </w:r>
      <w:r w:rsidR="001B02FC" w:rsidRPr="00B61272">
        <w:rPr>
          <w:rFonts w:ascii="Book Antiqua" w:hAnsi="Book Antiqua" w:cs="Book Antiqua"/>
          <w:lang w:val="it-IT"/>
        </w:rPr>
        <w:t xml:space="preserve"> </w:t>
      </w:r>
      <w:r w:rsidR="00F2719B" w:rsidRPr="00B61272">
        <w:rPr>
          <w:rFonts w:ascii="Book Antiqua" w:hAnsi="Book Antiqua" w:cs="Book Antiqua"/>
          <w:lang w:val="it-IT"/>
        </w:rPr>
        <w:t>Sesión</w:t>
      </w:r>
    </w:p>
    <w:p w14:paraId="6C099679" w14:textId="5122528C" w:rsidR="00F2719B" w:rsidRPr="00B61272" w:rsidRDefault="00F2719B" w:rsidP="00B61272">
      <w:pPr>
        <w:pStyle w:val="Title2"/>
        <w:suppressLineNumbers/>
        <w:tabs>
          <w:tab w:val="clear" w:pos="648"/>
          <w:tab w:val="clear" w:pos="7776"/>
          <w:tab w:val="clear" w:pos="7848"/>
        </w:tabs>
        <w:jc w:val="both"/>
        <w:rPr>
          <w:rFonts w:ascii="Book Antiqua" w:hAnsi="Book Antiqua" w:cs="Book Antiqua"/>
          <w:lang w:val="it-IT"/>
        </w:rPr>
      </w:pPr>
      <w:r w:rsidRPr="00B61272">
        <w:rPr>
          <w:rFonts w:ascii="Book Antiqua" w:hAnsi="Book Antiqua" w:cs="Book Antiqua"/>
          <w:lang w:val="it-IT"/>
        </w:rPr>
        <w:t xml:space="preserve">          </w:t>
      </w:r>
      <w:r w:rsidR="00B61272">
        <w:rPr>
          <w:rFonts w:ascii="Book Antiqua" w:hAnsi="Book Antiqua" w:cs="Book Antiqua"/>
          <w:lang w:val="it-IT"/>
        </w:rPr>
        <w:t xml:space="preserve"> </w:t>
      </w:r>
      <w:r w:rsidRPr="00B61272">
        <w:rPr>
          <w:rFonts w:ascii="Book Antiqua" w:hAnsi="Book Antiqua" w:cs="Book Antiqua"/>
          <w:lang w:val="it-IT"/>
        </w:rPr>
        <w:t>Legislativa</w:t>
      </w:r>
      <w:r w:rsidRPr="00B61272">
        <w:rPr>
          <w:lang w:val="it-IT"/>
        </w:rPr>
        <w:tab/>
      </w:r>
      <w:r w:rsidRPr="00B61272">
        <w:rPr>
          <w:lang w:val="it-IT"/>
        </w:rPr>
        <w:tab/>
      </w:r>
      <w:r w:rsidRPr="00B61272">
        <w:rPr>
          <w:lang w:val="it-IT"/>
        </w:rPr>
        <w:tab/>
      </w:r>
      <w:r w:rsidRPr="00B61272">
        <w:rPr>
          <w:lang w:val="it-IT"/>
        </w:rPr>
        <w:tab/>
      </w:r>
      <w:r w:rsidR="68690008" w:rsidRPr="00B61272">
        <w:rPr>
          <w:rFonts w:ascii="Book Antiqua" w:hAnsi="Book Antiqua" w:cs="Book Antiqua"/>
          <w:lang w:val="it-IT"/>
        </w:rPr>
        <w:t xml:space="preserve">                                        </w:t>
      </w:r>
      <w:r w:rsidR="00752604" w:rsidRPr="00B61272">
        <w:rPr>
          <w:rFonts w:ascii="Book Antiqua" w:hAnsi="Book Antiqua" w:cs="Book Antiqua"/>
          <w:lang w:val="it-IT"/>
        </w:rPr>
        <w:t xml:space="preserve">     </w:t>
      </w:r>
      <w:r w:rsidR="68690008" w:rsidRPr="00B61272">
        <w:rPr>
          <w:rFonts w:ascii="Book Antiqua" w:hAnsi="Book Antiqua" w:cs="Book Antiqua"/>
          <w:lang w:val="it-IT"/>
        </w:rPr>
        <w:t xml:space="preserve">     </w:t>
      </w:r>
      <w:r w:rsidR="001B02FC" w:rsidRPr="00B61272">
        <w:rPr>
          <w:rFonts w:ascii="Book Antiqua" w:hAnsi="Book Antiqua" w:cs="Book Antiqua"/>
          <w:lang w:val="it-IT"/>
        </w:rPr>
        <w:t xml:space="preserve"> </w:t>
      </w:r>
      <w:r w:rsidR="00B61272">
        <w:rPr>
          <w:rFonts w:ascii="Book Antiqua" w:hAnsi="Book Antiqua" w:cs="Book Antiqua"/>
          <w:lang w:val="it-IT"/>
        </w:rPr>
        <w:t xml:space="preserve">               </w:t>
      </w:r>
      <w:r w:rsidRPr="00B61272">
        <w:rPr>
          <w:rFonts w:ascii="Book Antiqua" w:hAnsi="Book Antiqua" w:cs="Book Antiqua"/>
          <w:lang w:val="it-IT"/>
        </w:rPr>
        <w:t>Ordinaria</w:t>
      </w:r>
    </w:p>
    <w:p w14:paraId="46DE8A5B" w14:textId="77777777" w:rsidR="00F2719B" w:rsidRPr="00B61272" w:rsidRDefault="00F2719B" w:rsidP="0035645A">
      <w:pPr>
        <w:suppressLineNumbers/>
        <w:jc w:val="both"/>
        <w:rPr>
          <w:rFonts w:ascii="Book Antiqua" w:hAnsi="Book Antiqua" w:cs="Book Antiqua"/>
          <w:lang w:val="it-IT"/>
        </w:rPr>
      </w:pPr>
    </w:p>
    <w:p w14:paraId="626E9C33" w14:textId="77777777" w:rsidR="00F2719B" w:rsidRPr="001C66C0" w:rsidRDefault="00F2719B" w:rsidP="0035645A">
      <w:pPr>
        <w:suppressLineNumbers/>
        <w:jc w:val="center"/>
        <w:rPr>
          <w:rFonts w:ascii="Book Antiqua" w:hAnsi="Book Antiqua" w:cs="Book Antiqua"/>
          <w:b/>
          <w:bCs/>
          <w:sz w:val="36"/>
          <w:szCs w:val="36"/>
          <w:lang w:val="es-ES_tradnl"/>
        </w:rPr>
      </w:pPr>
      <w:r w:rsidRPr="001C66C0">
        <w:rPr>
          <w:rFonts w:ascii="Book Antiqua" w:hAnsi="Book Antiqua" w:cs="Book Antiqua"/>
          <w:b/>
          <w:bCs/>
          <w:sz w:val="36"/>
          <w:szCs w:val="36"/>
          <w:lang w:val="es-ES_tradnl"/>
        </w:rPr>
        <w:t>CÁMARA DE REPRESENTANTES</w:t>
      </w:r>
    </w:p>
    <w:p w14:paraId="486B33E2" w14:textId="77777777" w:rsidR="00F2719B" w:rsidRPr="001C66C0" w:rsidRDefault="00F2719B" w:rsidP="0035645A">
      <w:pPr>
        <w:suppressLineNumbers/>
        <w:jc w:val="center"/>
        <w:rPr>
          <w:rFonts w:ascii="Book Antiqua" w:hAnsi="Book Antiqua" w:cs="Book Antiqua"/>
          <w:b/>
          <w:bCs/>
          <w:lang w:val="es-ES_tradnl"/>
        </w:rPr>
      </w:pPr>
    </w:p>
    <w:p w14:paraId="53B23965" w14:textId="15EE64F4" w:rsidR="00F2719B" w:rsidRPr="001C66C0" w:rsidRDefault="00160CBF" w:rsidP="0035645A">
      <w:pPr>
        <w:suppressLineNumbers/>
        <w:jc w:val="center"/>
        <w:rPr>
          <w:rFonts w:ascii="Book Antiqua" w:hAnsi="Book Antiqua" w:cs="Book Antiqua"/>
          <w:b/>
          <w:bCs/>
          <w:sz w:val="52"/>
          <w:szCs w:val="52"/>
          <w:lang w:val="es-ES_tradnl"/>
        </w:rPr>
      </w:pPr>
      <w:r w:rsidRPr="001C66C0">
        <w:rPr>
          <w:rFonts w:ascii="Book Antiqua" w:hAnsi="Book Antiqua" w:cs="Book Antiqua"/>
          <w:b/>
          <w:bCs/>
          <w:sz w:val="52"/>
          <w:szCs w:val="52"/>
          <w:lang w:val="es-ES_tradnl"/>
        </w:rPr>
        <w:t>R</w:t>
      </w:r>
      <w:r w:rsidR="00F2719B" w:rsidRPr="001C66C0">
        <w:rPr>
          <w:rFonts w:ascii="Book Antiqua" w:hAnsi="Book Antiqua" w:cs="Book Antiqua"/>
          <w:b/>
          <w:bCs/>
          <w:sz w:val="52"/>
          <w:szCs w:val="52"/>
          <w:lang w:val="es-ES_tradnl"/>
        </w:rPr>
        <w:t>.</w:t>
      </w:r>
      <w:r w:rsidR="000D3E6D" w:rsidRPr="001C66C0">
        <w:rPr>
          <w:rFonts w:ascii="Book Antiqua" w:hAnsi="Book Antiqua" w:cs="Book Antiqua"/>
          <w:b/>
          <w:bCs/>
          <w:sz w:val="52"/>
          <w:szCs w:val="52"/>
          <w:lang w:val="es-ES_tradnl"/>
        </w:rPr>
        <w:t xml:space="preserve"> C.</w:t>
      </w:r>
      <w:r w:rsidR="00F2719B" w:rsidRPr="001C66C0">
        <w:rPr>
          <w:rFonts w:ascii="Book Antiqua" w:hAnsi="Book Antiqua" w:cs="Book Antiqua"/>
          <w:b/>
          <w:bCs/>
          <w:sz w:val="52"/>
          <w:szCs w:val="52"/>
          <w:lang w:val="es-ES_tradnl"/>
        </w:rPr>
        <w:t xml:space="preserve"> de la C.</w:t>
      </w:r>
      <w:r w:rsidR="00461150" w:rsidRPr="001C66C0">
        <w:rPr>
          <w:rFonts w:ascii="Book Antiqua" w:hAnsi="Book Antiqua" w:cs="Book Antiqua"/>
          <w:b/>
          <w:bCs/>
          <w:sz w:val="52"/>
          <w:szCs w:val="52"/>
          <w:lang w:val="es-ES_tradnl"/>
        </w:rPr>
        <w:t xml:space="preserve"> </w:t>
      </w:r>
      <w:r w:rsidR="00AD0291">
        <w:rPr>
          <w:rFonts w:ascii="Book Antiqua" w:hAnsi="Book Antiqua" w:cs="Book Antiqua"/>
          <w:b/>
          <w:bCs/>
          <w:sz w:val="52"/>
          <w:szCs w:val="52"/>
          <w:lang w:val="es-ES_tradnl"/>
        </w:rPr>
        <w:t>315</w:t>
      </w:r>
    </w:p>
    <w:p w14:paraId="7750BECA" w14:textId="77777777" w:rsidR="00F2719B" w:rsidRPr="001C66C0" w:rsidRDefault="00F2719B" w:rsidP="0035645A">
      <w:pPr>
        <w:suppressLineNumbers/>
        <w:jc w:val="center"/>
        <w:rPr>
          <w:rFonts w:ascii="Book Antiqua" w:hAnsi="Book Antiqua" w:cs="Book Antiqua"/>
          <w:b/>
          <w:bCs/>
          <w:lang w:val="es-ES_tradnl"/>
        </w:rPr>
      </w:pPr>
    </w:p>
    <w:p w14:paraId="6FB4492F" w14:textId="4FFC0686" w:rsidR="00F2719B" w:rsidRPr="001C66C0" w:rsidRDefault="00CE674B" w:rsidP="0035645A">
      <w:pPr>
        <w:suppressLineNumbers/>
        <w:jc w:val="center"/>
        <w:rPr>
          <w:rFonts w:ascii="Book Antiqua" w:hAnsi="Book Antiqua" w:cs="Book Antiqua"/>
          <w:lang w:val="es-ES_tradnl"/>
        </w:rPr>
      </w:pPr>
      <w:r>
        <w:rPr>
          <w:rFonts w:ascii="Book Antiqua" w:hAnsi="Book Antiqua" w:cs="Book Antiqua"/>
          <w:lang w:val="es-ES_tradnl"/>
        </w:rPr>
        <w:t xml:space="preserve">17 </w:t>
      </w:r>
      <w:r w:rsidR="00FA7D14">
        <w:rPr>
          <w:rFonts w:ascii="Book Antiqua" w:hAnsi="Book Antiqua" w:cs="Book Antiqua"/>
          <w:lang w:val="es-ES_tradnl"/>
        </w:rPr>
        <w:t>DE MARZO DE 2026</w:t>
      </w:r>
    </w:p>
    <w:p w14:paraId="72688F60" w14:textId="77777777" w:rsidR="00F2719B" w:rsidRPr="001C66C0" w:rsidRDefault="00F2719B" w:rsidP="0035645A">
      <w:pPr>
        <w:suppressLineNumbers/>
        <w:jc w:val="center"/>
        <w:rPr>
          <w:rFonts w:ascii="Book Antiqua" w:hAnsi="Book Antiqua" w:cs="Book Antiqua"/>
          <w:lang w:val="es-ES_tradnl"/>
        </w:rPr>
      </w:pPr>
    </w:p>
    <w:p w14:paraId="392128E1" w14:textId="519AF25F" w:rsidR="00F2719B" w:rsidRPr="001C66C0" w:rsidRDefault="006D7419" w:rsidP="0A08CAE9">
      <w:pPr>
        <w:suppressLineNumbers/>
        <w:ind w:left="709" w:hanging="709"/>
        <w:jc w:val="both"/>
        <w:rPr>
          <w:rFonts w:ascii="Book Antiqua" w:hAnsi="Book Antiqua" w:cs="Book Antiqua"/>
          <w:lang w:val="es-ES"/>
        </w:rPr>
      </w:pPr>
      <w:r w:rsidRPr="0A08CAE9">
        <w:rPr>
          <w:rFonts w:ascii="Book Antiqua" w:hAnsi="Book Antiqua" w:cs="Book Antiqua"/>
          <w:lang w:val="es-ES"/>
        </w:rPr>
        <w:t>Presentad</w:t>
      </w:r>
      <w:r w:rsidR="003B248B" w:rsidRPr="0A08CAE9">
        <w:rPr>
          <w:rFonts w:ascii="Book Antiqua" w:hAnsi="Book Antiqua" w:cs="Book Antiqua"/>
          <w:lang w:val="es-ES"/>
        </w:rPr>
        <w:t>a</w:t>
      </w:r>
      <w:r w:rsidRPr="0A08CAE9">
        <w:rPr>
          <w:rFonts w:ascii="Book Antiqua" w:hAnsi="Book Antiqua" w:cs="Book Antiqua"/>
          <w:lang w:val="es-ES"/>
        </w:rPr>
        <w:t xml:space="preserve"> por los representantes </w:t>
      </w:r>
      <w:r w:rsidRPr="0A08CAE9">
        <w:rPr>
          <w:rFonts w:ascii="Book Antiqua" w:hAnsi="Book Antiqua" w:cs="Book Antiqua"/>
          <w:i/>
          <w:iCs/>
          <w:lang w:val="es-ES"/>
        </w:rPr>
        <w:t>Ferrer Santiago, Torres García, Feliciano Sánchez, Figueroa</w:t>
      </w:r>
      <w:r w:rsidR="00A05267" w:rsidRPr="0A08CAE9">
        <w:rPr>
          <w:rFonts w:ascii="Book Antiqua" w:hAnsi="Book Antiqua" w:cs="Book Antiqua"/>
          <w:i/>
          <w:iCs/>
          <w:lang w:val="es-ES"/>
        </w:rPr>
        <w:t xml:space="preserve"> Acevedo</w:t>
      </w:r>
      <w:r w:rsidRPr="0A08CAE9">
        <w:rPr>
          <w:rFonts w:ascii="Book Antiqua" w:hAnsi="Book Antiqua" w:cs="Book Antiqua"/>
          <w:i/>
          <w:iCs/>
          <w:lang w:val="es-ES"/>
        </w:rPr>
        <w:t xml:space="preserve">, </w:t>
      </w:r>
      <w:proofErr w:type="spellStart"/>
      <w:r w:rsidRPr="0A08CAE9">
        <w:rPr>
          <w:rFonts w:ascii="Book Antiqua" w:hAnsi="Book Antiqua" w:cs="Book Antiqua"/>
          <w:i/>
          <w:iCs/>
          <w:lang w:val="es-ES"/>
        </w:rPr>
        <w:t>Fourquet</w:t>
      </w:r>
      <w:proofErr w:type="spellEnd"/>
      <w:r w:rsidRPr="0A08CAE9">
        <w:rPr>
          <w:rFonts w:ascii="Book Antiqua" w:hAnsi="Book Antiqua" w:cs="Book Antiqua"/>
          <w:i/>
          <w:iCs/>
          <w:lang w:val="es-ES"/>
        </w:rPr>
        <w:t xml:space="preserve"> Cordero</w:t>
      </w:r>
      <w:r w:rsidR="00B61272">
        <w:rPr>
          <w:rFonts w:ascii="Book Antiqua" w:hAnsi="Book Antiqua" w:cs="Book Antiqua"/>
          <w:i/>
          <w:iCs/>
          <w:lang w:val="es-ES"/>
        </w:rPr>
        <w:t>;</w:t>
      </w:r>
      <w:r w:rsidRPr="0A08CAE9">
        <w:rPr>
          <w:rFonts w:ascii="Book Antiqua" w:hAnsi="Book Antiqua" w:cs="Book Antiqua"/>
          <w:i/>
          <w:iCs/>
          <w:lang w:val="es-ES"/>
        </w:rPr>
        <w:t xml:space="preserve"> </w:t>
      </w:r>
      <w:r w:rsidR="00B61272" w:rsidRPr="00B61272">
        <w:rPr>
          <w:rFonts w:ascii="Book Antiqua" w:hAnsi="Book Antiqua" w:cs="Book Antiqua"/>
          <w:lang w:val="es-ES"/>
        </w:rPr>
        <w:t xml:space="preserve">las </w:t>
      </w:r>
      <w:r w:rsidR="00B61272">
        <w:rPr>
          <w:rFonts w:ascii="Book Antiqua" w:hAnsi="Book Antiqua" w:cs="Book Antiqua"/>
          <w:lang w:val="es-ES"/>
        </w:rPr>
        <w:t xml:space="preserve">representantes </w:t>
      </w:r>
      <w:r w:rsidRPr="0A08CAE9">
        <w:rPr>
          <w:rFonts w:ascii="Book Antiqua" w:hAnsi="Book Antiqua" w:cs="Book Antiqua"/>
          <w:i/>
          <w:iCs/>
          <w:lang w:val="es-ES"/>
        </w:rPr>
        <w:t>Hau, Higgins Cuadrado, Martínez Soto</w:t>
      </w:r>
      <w:r w:rsidR="00B61272">
        <w:rPr>
          <w:rFonts w:ascii="Book Antiqua" w:hAnsi="Book Antiqua" w:cs="Book Antiqua"/>
          <w:i/>
          <w:iCs/>
          <w:lang w:val="es-ES"/>
        </w:rPr>
        <w:t xml:space="preserve">; </w:t>
      </w:r>
      <w:r w:rsidR="00B61272" w:rsidRPr="00B61272">
        <w:rPr>
          <w:rFonts w:ascii="Book Antiqua" w:hAnsi="Book Antiqua" w:cs="Book Antiqua"/>
          <w:lang w:val="es-ES"/>
        </w:rPr>
        <w:t>el representante</w:t>
      </w:r>
      <w:r w:rsidR="00B61272">
        <w:rPr>
          <w:rFonts w:ascii="Book Antiqua" w:hAnsi="Book Antiqua" w:cs="Book Antiqua"/>
          <w:i/>
          <w:iCs/>
          <w:lang w:val="es-ES"/>
        </w:rPr>
        <w:t xml:space="preserve"> </w:t>
      </w:r>
      <w:r w:rsidRPr="0A08CAE9">
        <w:rPr>
          <w:rFonts w:ascii="Book Antiqua" w:hAnsi="Book Antiqua" w:cs="Book Antiqua"/>
          <w:i/>
          <w:iCs/>
          <w:lang w:val="es-ES"/>
        </w:rPr>
        <w:t>Rivera Ruiz de Porras</w:t>
      </w:r>
      <w:r w:rsidR="00B61272">
        <w:rPr>
          <w:rFonts w:ascii="Book Antiqua" w:hAnsi="Book Antiqua" w:cs="Book Antiqua"/>
          <w:i/>
          <w:iCs/>
          <w:lang w:val="es-ES"/>
        </w:rPr>
        <w:t>; la representante</w:t>
      </w:r>
      <w:r w:rsidRPr="0A08CAE9">
        <w:rPr>
          <w:rFonts w:ascii="Book Antiqua" w:hAnsi="Book Antiqua" w:cs="Book Antiqua"/>
          <w:i/>
          <w:iCs/>
          <w:lang w:val="es-ES"/>
        </w:rPr>
        <w:t xml:space="preserve"> Rosas</w:t>
      </w:r>
      <w:r w:rsidR="00A05267" w:rsidRPr="0A08CAE9">
        <w:rPr>
          <w:rFonts w:ascii="Book Antiqua" w:hAnsi="Book Antiqua" w:cs="Book Antiqua"/>
          <w:i/>
          <w:iCs/>
          <w:lang w:val="es-ES"/>
        </w:rPr>
        <w:t xml:space="preserve"> Vargas</w:t>
      </w:r>
      <w:r w:rsidR="00B61272">
        <w:rPr>
          <w:rFonts w:ascii="Book Antiqua" w:hAnsi="Book Antiqua" w:cs="Book Antiqua"/>
          <w:i/>
          <w:iCs/>
          <w:lang w:val="es-ES"/>
        </w:rPr>
        <w:t xml:space="preserve">; </w:t>
      </w:r>
      <w:r w:rsidR="00B61272" w:rsidRPr="00B61272">
        <w:rPr>
          <w:rFonts w:ascii="Book Antiqua" w:hAnsi="Book Antiqua" w:cs="Book Antiqua"/>
          <w:lang w:val="es-ES"/>
        </w:rPr>
        <w:t>los representantes</w:t>
      </w:r>
      <w:r w:rsidRPr="0A08CAE9">
        <w:rPr>
          <w:rFonts w:ascii="Book Antiqua" w:hAnsi="Book Antiqua" w:cs="Book Antiqua"/>
          <w:i/>
          <w:iCs/>
          <w:lang w:val="es-ES"/>
        </w:rPr>
        <w:t xml:space="preserve"> </w:t>
      </w:r>
      <w:r w:rsidR="00916F0D" w:rsidRPr="0A08CAE9">
        <w:rPr>
          <w:rFonts w:ascii="Book Antiqua" w:hAnsi="Book Antiqua" w:cs="Book Antiqua"/>
          <w:i/>
          <w:iCs/>
          <w:lang w:val="es-ES"/>
        </w:rPr>
        <w:t xml:space="preserve">Torres Cruz, </w:t>
      </w:r>
      <w:r w:rsidRPr="0A08CAE9">
        <w:rPr>
          <w:rFonts w:ascii="Book Antiqua" w:hAnsi="Book Antiqua" w:cs="Book Antiqua"/>
          <w:i/>
          <w:iCs/>
          <w:lang w:val="es-ES"/>
        </w:rPr>
        <w:t>Varela Fernández</w:t>
      </w:r>
      <w:r w:rsidR="00B61272">
        <w:rPr>
          <w:rFonts w:ascii="Book Antiqua" w:hAnsi="Book Antiqua" w:cs="Book Antiqua"/>
          <w:i/>
          <w:iCs/>
          <w:lang w:val="es-ES"/>
        </w:rPr>
        <w:t xml:space="preserve">; </w:t>
      </w:r>
      <w:r w:rsidR="00A05267" w:rsidRPr="00B61272">
        <w:rPr>
          <w:rFonts w:ascii="Book Antiqua" w:hAnsi="Book Antiqua" w:cs="Book Antiqua"/>
          <w:lang w:val="es-ES"/>
        </w:rPr>
        <w:t>y</w:t>
      </w:r>
      <w:r w:rsidRPr="00B61272">
        <w:rPr>
          <w:rFonts w:ascii="Book Antiqua" w:hAnsi="Book Antiqua" w:cs="Book Antiqua"/>
          <w:lang w:val="es-ES"/>
        </w:rPr>
        <w:t xml:space="preserve"> </w:t>
      </w:r>
      <w:r w:rsidR="00B61272" w:rsidRPr="00B61272">
        <w:rPr>
          <w:rFonts w:ascii="Book Antiqua" w:hAnsi="Book Antiqua" w:cs="Book Antiqua"/>
          <w:lang w:val="es-ES"/>
        </w:rPr>
        <w:t>la representante</w:t>
      </w:r>
      <w:r w:rsidR="00B61272">
        <w:rPr>
          <w:rFonts w:ascii="Book Antiqua" w:hAnsi="Book Antiqua" w:cs="Book Antiqua"/>
          <w:i/>
          <w:iCs/>
          <w:lang w:val="es-ES"/>
        </w:rPr>
        <w:t xml:space="preserve"> </w:t>
      </w:r>
      <w:r w:rsidRPr="0A08CAE9">
        <w:rPr>
          <w:rFonts w:ascii="Book Antiqua" w:hAnsi="Book Antiqua" w:cs="Book Antiqua"/>
          <w:i/>
          <w:iCs/>
          <w:lang w:val="es-ES"/>
        </w:rPr>
        <w:t>Vargas Laureano</w:t>
      </w:r>
    </w:p>
    <w:p w14:paraId="5D6B26EB" w14:textId="77777777" w:rsidR="006D7419" w:rsidRPr="006E52A3" w:rsidRDefault="006D7419" w:rsidP="0035645A">
      <w:pPr>
        <w:suppressLineNumbers/>
        <w:jc w:val="center"/>
        <w:rPr>
          <w:rFonts w:ascii="Book Antiqua" w:hAnsi="Book Antiqua" w:cs="Book Antiqua"/>
          <w:i/>
          <w:iCs/>
          <w:sz w:val="20"/>
          <w:szCs w:val="20"/>
          <w:lang w:val="es-ES_tradnl"/>
        </w:rPr>
      </w:pPr>
    </w:p>
    <w:p w14:paraId="482A0C51" w14:textId="73A7CA46" w:rsidR="00F2719B" w:rsidRPr="001C66C0" w:rsidRDefault="00F2719B" w:rsidP="0035645A">
      <w:pPr>
        <w:suppressLineNumbers/>
        <w:jc w:val="center"/>
        <w:rPr>
          <w:rFonts w:ascii="Book Antiqua" w:hAnsi="Book Antiqua" w:cs="Book Antiqua"/>
          <w:lang w:val="es-ES_tradnl"/>
        </w:rPr>
      </w:pPr>
      <w:r w:rsidRPr="001C66C0">
        <w:rPr>
          <w:rFonts w:ascii="Book Antiqua" w:hAnsi="Book Antiqua" w:cs="Book Antiqua"/>
          <w:lang w:val="es-ES_tradnl"/>
        </w:rPr>
        <w:t>Referid</w:t>
      </w:r>
      <w:r w:rsidR="003B248B">
        <w:rPr>
          <w:rFonts w:ascii="Book Antiqua" w:hAnsi="Book Antiqua" w:cs="Book Antiqua"/>
          <w:lang w:val="es-ES_tradnl"/>
        </w:rPr>
        <w:t>a</w:t>
      </w:r>
      <w:r w:rsidRPr="001C66C0">
        <w:rPr>
          <w:rFonts w:ascii="Book Antiqua" w:hAnsi="Book Antiqua" w:cs="Book Antiqua"/>
          <w:lang w:val="es-ES_tradnl"/>
        </w:rPr>
        <w:t xml:space="preserve"> a </w:t>
      </w:r>
      <w:r w:rsidR="00B61272">
        <w:rPr>
          <w:rFonts w:ascii="Book Antiqua" w:hAnsi="Book Antiqua" w:cs="Book Antiqua"/>
          <w:lang w:val="es-ES_tradnl"/>
        </w:rPr>
        <w:t>la Hacienda</w:t>
      </w:r>
    </w:p>
    <w:p w14:paraId="10274B55" w14:textId="77777777" w:rsidR="00F2719B" w:rsidRPr="001C66C0" w:rsidRDefault="00F2719B" w:rsidP="0035645A">
      <w:pPr>
        <w:pStyle w:val="Ttulo4"/>
        <w:suppressLineNumbers/>
        <w:rPr>
          <w:rFonts w:ascii="Book Antiqua" w:hAnsi="Book Antiqua" w:cs="Book Antiqua"/>
          <w:sz w:val="24"/>
          <w:szCs w:val="24"/>
        </w:rPr>
      </w:pPr>
    </w:p>
    <w:p w14:paraId="4E81AF6E" w14:textId="3876C325" w:rsidR="00F2719B" w:rsidRPr="001C66C0" w:rsidRDefault="001B107F" w:rsidP="0035645A">
      <w:pPr>
        <w:pStyle w:val="Ttulo4"/>
        <w:suppressLineNumbers/>
        <w:rPr>
          <w:rFonts w:ascii="Book Antiqua" w:hAnsi="Book Antiqua" w:cs="Book Antiqua"/>
          <w:sz w:val="28"/>
          <w:szCs w:val="28"/>
        </w:rPr>
      </w:pPr>
      <w:r>
        <w:rPr>
          <w:rFonts w:ascii="Book Antiqua" w:hAnsi="Book Antiqua" w:cs="Book Antiqua"/>
          <w:sz w:val="28"/>
          <w:szCs w:val="28"/>
        </w:rPr>
        <w:t>RESOLUCIÓN CONJUNTA</w:t>
      </w:r>
    </w:p>
    <w:p w14:paraId="6033E799" w14:textId="77777777" w:rsidR="00F2719B" w:rsidRPr="001C66C0" w:rsidRDefault="00F2719B" w:rsidP="0035645A">
      <w:pPr>
        <w:suppressLineNumbers/>
        <w:jc w:val="both"/>
        <w:rPr>
          <w:rFonts w:ascii="Book Antiqua" w:hAnsi="Book Antiqua" w:cs="Book Antiqua"/>
          <w:lang w:val="es-ES_tradnl"/>
        </w:rPr>
      </w:pPr>
    </w:p>
    <w:p w14:paraId="1E37B120" w14:textId="2079448E" w:rsidR="00FC035C" w:rsidRPr="00262A4B" w:rsidRDefault="00FC035C" w:rsidP="0A08CAE9">
      <w:pPr>
        <w:suppressLineNumbers/>
        <w:ind w:left="720" w:hanging="720"/>
        <w:jc w:val="both"/>
        <w:rPr>
          <w:rFonts w:ascii="Book Antiqua" w:hAnsi="Book Antiqua" w:cs="Book Antiqua"/>
          <w:lang w:val="es-ES"/>
        </w:rPr>
      </w:pPr>
      <w:r w:rsidRPr="0A08CAE9">
        <w:rPr>
          <w:rFonts w:ascii="Book Antiqua" w:hAnsi="Book Antiqua" w:cs="Book Antiqua"/>
          <w:lang w:val="es-ES"/>
        </w:rPr>
        <w:t>Para ordenar al Departamento de Hacienda suspender temporalmente el arbitrio a la gasolina y al “</w:t>
      </w:r>
      <w:proofErr w:type="spellStart"/>
      <w:r w:rsidRPr="0A08CAE9">
        <w:rPr>
          <w:rFonts w:ascii="Book Antiqua" w:hAnsi="Book Antiqua" w:cs="Book Antiqua"/>
          <w:lang w:val="es-ES"/>
        </w:rPr>
        <w:t>diesel</w:t>
      </w:r>
      <w:proofErr w:type="spellEnd"/>
      <w:r w:rsidRPr="0A08CAE9">
        <w:rPr>
          <w:rFonts w:ascii="Book Antiqua" w:hAnsi="Book Antiqua" w:cs="Book Antiqua"/>
          <w:lang w:val="es-ES"/>
        </w:rPr>
        <w:t xml:space="preserve"> </w:t>
      </w:r>
      <w:proofErr w:type="spellStart"/>
      <w:r w:rsidRPr="0A08CAE9">
        <w:rPr>
          <w:rFonts w:ascii="Book Antiqua" w:hAnsi="Book Antiqua" w:cs="Book Antiqua"/>
          <w:lang w:val="es-ES"/>
        </w:rPr>
        <w:t>oil</w:t>
      </w:r>
      <w:proofErr w:type="spellEnd"/>
      <w:r w:rsidRPr="0A08CAE9">
        <w:rPr>
          <w:rFonts w:ascii="Book Antiqua" w:hAnsi="Book Antiqua" w:cs="Book Antiqua"/>
          <w:lang w:val="es-ES"/>
        </w:rPr>
        <w:t xml:space="preserve">” establecido en los incisos (1) y (3) del apartado (a) de la Sección 3020.06 de la Ley 1-2011, según enmendada, conocida como “Código de Rentas Internas para un Nuevo Puerto Rico”, durante el periodo de cuarenta y cinco (45) días a partir de la aprobación de esta Resolución Conjunta; </w:t>
      </w:r>
      <w:r w:rsidR="008E33AA" w:rsidRPr="008E33AA">
        <w:rPr>
          <w:rFonts w:ascii="Book Antiqua" w:hAnsi="Book Antiqua" w:cs="Book Antiqua"/>
          <w:color w:val="000000" w:themeColor="text1"/>
          <w:lang w:val="es-ES"/>
        </w:rPr>
        <w:t>ordena</w:t>
      </w:r>
      <w:r w:rsidR="008E33AA">
        <w:rPr>
          <w:rFonts w:ascii="Book Antiqua" w:hAnsi="Book Antiqua" w:cs="Book Antiqua"/>
          <w:color w:val="000000" w:themeColor="text1"/>
          <w:lang w:val="es-ES"/>
        </w:rPr>
        <w:t>r</w:t>
      </w:r>
      <w:r w:rsidR="008E33AA" w:rsidRPr="008E33AA">
        <w:rPr>
          <w:rFonts w:ascii="Book Antiqua" w:hAnsi="Book Antiqua" w:cs="Book Antiqua"/>
          <w:color w:val="000000" w:themeColor="text1"/>
          <w:lang w:val="es-ES"/>
        </w:rPr>
        <w:t xml:space="preserve"> a la Oficina de Gerencia y Presupuesto a implementar, en coordinación con la Autoridad de Asesoría Financiera y Agencia Fiscal, las medidas de reducción de gastos necesarias para garantizar la neutralidad fiscal de esta Resolución Conjunta, incluyendo ajustes en nómina de empleados de confianza, gastos publicitarios y servicios profesionales, </w:t>
      </w:r>
      <w:r w:rsidR="2CC44EC1" w:rsidRPr="008E33AA">
        <w:rPr>
          <w:rFonts w:ascii="Book Antiqua" w:hAnsi="Book Antiqua" w:cs="Book Antiqua"/>
          <w:color w:val="000000" w:themeColor="text1"/>
          <w:lang w:val="es-ES"/>
        </w:rPr>
        <w:t xml:space="preserve">y </w:t>
      </w:r>
      <w:r w:rsidR="2CC44EC1" w:rsidRPr="008E33AA">
        <w:rPr>
          <w:rFonts w:ascii="Book Antiqua" w:hAnsi="Book Antiqua" w:cs="Book Antiqua"/>
          <w:lang w:val="es-ES"/>
        </w:rPr>
        <w:t xml:space="preserve">reasignar los fondos necesarios </w:t>
      </w:r>
      <w:r w:rsidR="7FC50E1F" w:rsidRPr="008E33AA">
        <w:rPr>
          <w:rFonts w:ascii="Book Antiqua" w:hAnsi="Book Antiqua" w:cs="Book Antiqua"/>
          <w:lang w:val="es-ES"/>
        </w:rPr>
        <w:t xml:space="preserve">provenientes de sobrantes de nómina, </w:t>
      </w:r>
      <w:r w:rsidR="27EAF755" w:rsidRPr="008E33AA">
        <w:rPr>
          <w:rFonts w:ascii="Book Antiqua" w:hAnsi="Book Antiqua" w:cs="Book Antiqua"/>
          <w:lang w:val="es-ES"/>
        </w:rPr>
        <w:t>a</w:t>
      </w:r>
      <w:r w:rsidR="008E33AA">
        <w:rPr>
          <w:rFonts w:ascii="Book Antiqua" w:hAnsi="Book Antiqua" w:cs="Book Antiqua"/>
          <w:color w:val="000000" w:themeColor="text1"/>
          <w:lang w:val="es-ES"/>
        </w:rPr>
        <w:t xml:space="preserve"> los fines de alcanzar</w:t>
      </w:r>
      <w:r w:rsidR="0F560C10" w:rsidRPr="008E33AA">
        <w:rPr>
          <w:rFonts w:ascii="Book Antiqua" w:hAnsi="Book Antiqua" w:cs="Book Antiqua"/>
          <w:color w:val="000000" w:themeColor="text1"/>
          <w:lang w:val="es-ES"/>
        </w:rPr>
        <w:t xml:space="preserve"> veinticinco (25) millones de dólares para sufragar l</w:t>
      </w:r>
      <w:r w:rsidR="27D2D9C7" w:rsidRPr="008E33AA">
        <w:rPr>
          <w:rFonts w:ascii="Book Antiqua" w:hAnsi="Book Antiqua" w:cs="Book Antiqua"/>
          <w:lang w:val="es-ES"/>
        </w:rPr>
        <w:t>a suspensión del arbitrio</w:t>
      </w:r>
      <w:r w:rsidR="0F560C10" w:rsidRPr="0A08CAE9">
        <w:rPr>
          <w:rFonts w:ascii="Book Antiqua" w:hAnsi="Book Antiqua" w:cs="Book Antiqua"/>
          <w:color w:val="000000" w:themeColor="text1"/>
          <w:lang w:val="es-ES"/>
        </w:rPr>
        <w:t>;</w:t>
      </w:r>
      <w:r w:rsidR="143AF485" w:rsidRPr="0A08CAE9">
        <w:rPr>
          <w:rFonts w:ascii="Book Antiqua" w:hAnsi="Book Antiqua" w:cs="Book Antiqua"/>
          <w:color w:val="000000" w:themeColor="text1"/>
          <w:lang w:val="es-ES"/>
        </w:rPr>
        <w:t xml:space="preserve"> </w:t>
      </w:r>
      <w:r w:rsidR="00262A4B" w:rsidRPr="0A08CAE9">
        <w:rPr>
          <w:rFonts w:ascii="Book Antiqua" w:hAnsi="Book Antiqua" w:cs="Book Antiqua"/>
          <w:lang w:val="es-ES"/>
        </w:rPr>
        <w:t>disponer sobre los márgenes de ganancia bruta en todos los niveles de distribución y mercadeo en la venta de gasolina, gas licuado de petróleo y diésel mientras dure la suspensión del arbitrio, y para otros fines relacionados.</w:t>
      </w:r>
    </w:p>
    <w:p w14:paraId="1ECFE2B0" w14:textId="77777777" w:rsidR="00B61272" w:rsidRDefault="00B61272" w:rsidP="00591067">
      <w:pPr>
        <w:pStyle w:val="Ttulo5"/>
        <w:suppressLineNumbers/>
        <w:spacing w:before="0" w:after="0"/>
        <w:ind w:firstLine="0"/>
        <w:rPr>
          <w:rFonts w:ascii="Book Antiqua" w:hAnsi="Book Antiqua" w:cs="Book Antiqua"/>
          <w:sz w:val="24"/>
          <w:szCs w:val="24"/>
        </w:rPr>
      </w:pPr>
    </w:p>
    <w:p w14:paraId="0D42EC5D" w14:textId="7185385B" w:rsidR="00F2719B" w:rsidRPr="001C66C0" w:rsidRDefault="00F2719B" w:rsidP="00591067">
      <w:pPr>
        <w:pStyle w:val="Ttulo5"/>
        <w:suppressLineNumbers/>
        <w:spacing w:before="0" w:after="0"/>
        <w:ind w:firstLine="0"/>
        <w:rPr>
          <w:rFonts w:ascii="Book Antiqua" w:hAnsi="Book Antiqua" w:cs="Book Antiqua"/>
          <w:sz w:val="24"/>
          <w:szCs w:val="24"/>
        </w:rPr>
      </w:pPr>
      <w:r w:rsidRPr="001C66C0">
        <w:rPr>
          <w:rFonts w:ascii="Book Antiqua" w:hAnsi="Book Antiqua" w:cs="Book Antiqua"/>
          <w:sz w:val="24"/>
          <w:szCs w:val="24"/>
        </w:rPr>
        <w:t>EXPOSICIÓN DE MOTIVOS</w:t>
      </w:r>
    </w:p>
    <w:p w14:paraId="5B726328" w14:textId="77777777" w:rsidR="00F2719B" w:rsidRPr="001C66C0" w:rsidRDefault="00F2719B" w:rsidP="00591067">
      <w:pPr>
        <w:suppressLineNumbers/>
        <w:rPr>
          <w:lang w:val="es-ES_tradnl"/>
        </w:rPr>
      </w:pPr>
    </w:p>
    <w:p w14:paraId="02CF47D6" w14:textId="24972C62" w:rsidR="00FC035C" w:rsidRPr="00B149C4" w:rsidRDefault="003225B9" w:rsidP="003225B9">
      <w:pPr>
        <w:suppressLineNumbers/>
        <w:ind w:firstLine="720"/>
        <w:jc w:val="both"/>
        <w:rPr>
          <w:rFonts w:ascii="Book Antiqua" w:hAnsi="Book Antiqua"/>
          <w:strike/>
          <w:lang w:val="es-PR"/>
        </w:rPr>
      </w:pPr>
      <w:r w:rsidRPr="0A08CAE9">
        <w:rPr>
          <w:rFonts w:ascii="Book Antiqua" w:hAnsi="Book Antiqua"/>
          <w:lang w:val="es-PR"/>
        </w:rPr>
        <w:t>La situación</w:t>
      </w:r>
      <w:r w:rsidR="00A64BC3" w:rsidRPr="0A08CAE9">
        <w:rPr>
          <w:rFonts w:ascii="Book Antiqua" w:hAnsi="Book Antiqua"/>
          <w:lang w:val="es-PR"/>
        </w:rPr>
        <w:t xml:space="preserve"> de inestabilidad geopolítica entre Estados Unidos e Irán y sus efectos en los mercados energéticos</w:t>
      </w:r>
      <w:r w:rsidRPr="0A08CAE9">
        <w:rPr>
          <w:rFonts w:ascii="Book Antiqua" w:hAnsi="Book Antiqua"/>
          <w:lang w:val="es-PR"/>
        </w:rPr>
        <w:t xml:space="preserve"> ha provocado una marcada volatilidad en los mercados y un aumento sostenido en el precio del petróleo y sus derivados. Como consecuencia, los </w:t>
      </w:r>
      <w:r w:rsidRPr="0A08CAE9">
        <w:rPr>
          <w:rFonts w:ascii="Book Antiqua" w:hAnsi="Book Antiqua"/>
          <w:lang w:val="es-PR"/>
        </w:rPr>
        <w:lastRenderedPageBreak/>
        <w:t xml:space="preserve">puertorriqueños enfrentan un incremento significativo en el costo de la gasolina y otros combustibles, que agrava aún más el ya elevado costo de vida que experimentan las familias puertorriqueñas. </w:t>
      </w:r>
      <w:r w:rsidR="00FC035C" w:rsidRPr="0A08CAE9">
        <w:rPr>
          <w:rFonts w:ascii="Book Antiqua" w:hAnsi="Book Antiqua"/>
          <w:lang w:val="es-PR"/>
        </w:rPr>
        <w:t>Otro factor que agrava esta situación es la carga que representa el arbitrio sobre el petróleo crudo y sus derivados (gasolina y diésel)</w:t>
      </w:r>
      <w:r w:rsidR="00262A4B" w:rsidRPr="0A08CAE9">
        <w:rPr>
          <w:rFonts w:ascii="Book Antiqua" w:hAnsi="Book Antiqua"/>
          <w:lang w:val="es-PR"/>
        </w:rPr>
        <w:t xml:space="preserve">. </w:t>
      </w:r>
    </w:p>
    <w:p w14:paraId="56027788" w14:textId="77777777" w:rsidR="00FC035C" w:rsidRDefault="00FC035C" w:rsidP="003225B9">
      <w:pPr>
        <w:suppressLineNumbers/>
        <w:ind w:firstLine="720"/>
        <w:jc w:val="both"/>
        <w:rPr>
          <w:rFonts w:ascii="Book Antiqua" w:hAnsi="Book Antiqua"/>
          <w:lang w:val="es-PR"/>
        </w:rPr>
      </w:pPr>
    </w:p>
    <w:p w14:paraId="7A7B8A9E" w14:textId="2C20FF4D" w:rsidR="003225B9" w:rsidRDefault="003225B9" w:rsidP="003225B9">
      <w:pPr>
        <w:suppressLineNumbers/>
        <w:ind w:firstLine="720"/>
        <w:jc w:val="both"/>
        <w:rPr>
          <w:rFonts w:ascii="Book Antiqua" w:hAnsi="Book Antiqua"/>
          <w:lang w:val="es-PR"/>
        </w:rPr>
      </w:pPr>
      <w:r w:rsidRPr="003225B9">
        <w:rPr>
          <w:rFonts w:ascii="Book Antiqua" w:hAnsi="Book Antiqua"/>
          <w:lang w:val="es-PR"/>
        </w:rPr>
        <w:t xml:space="preserve">En una economía altamente dependiente del transporte y de los combustibles fósiles para la movilidad, la distribución de alimentos y la actividad comercial, cualquier aumento en el precio del combustible tiene un efecto directo e inmediato sobre el bolsillo de los consumidores. </w:t>
      </w:r>
      <w:r>
        <w:rPr>
          <w:rFonts w:ascii="Book Antiqua" w:hAnsi="Book Antiqua"/>
          <w:lang w:val="es-PR"/>
        </w:rPr>
        <w:t xml:space="preserve">Ante este panorama, </w:t>
      </w:r>
      <w:r w:rsidR="00FC035C">
        <w:rPr>
          <w:rFonts w:ascii="Book Antiqua" w:hAnsi="Book Antiqua"/>
          <w:lang w:val="es-PR"/>
        </w:rPr>
        <w:t>reconocemos</w:t>
      </w:r>
      <w:r w:rsidRPr="003225B9">
        <w:rPr>
          <w:rFonts w:ascii="Book Antiqua" w:hAnsi="Book Antiqua"/>
          <w:lang w:val="es-PR"/>
        </w:rPr>
        <w:t xml:space="preserve"> los esfuerzos que actualmente realiza el Comisionado Residente de Puerto Rico en el Congreso de los Estados Unidos, encaminados a promover iniciativas dirigidas a atender el alto costo de vida que afecta a los residentes de la Isla. Entre dichas gestiones se incluyen propuestas y medidas legislativas orientadas a lograr mayor equidad en programas federales, fortalecer la economía local y aliviar las presiones inflacionarias que impactan de manera desproporcionada a Puerto Rico. En ese contexto, resulta consistente que el Gobierno de Puerto Rico adopte también medidas inmediatas y temporeras que contribuyan a aliviar la carga económica que enfrentan las familias puertorriqueñas, particularmente ante el aumento sostenido en el costo de los combustibles.</w:t>
      </w:r>
    </w:p>
    <w:p w14:paraId="7E2DAB3F" w14:textId="77777777" w:rsidR="00296925" w:rsidRDefault="00296925" w:rsidP="009B1E9F">
      <w:pPr>
        <w:suppressLineNumbers/>
        <w:ind w:firstLine="720"/>
        <w:jc w:val="both"/>
        <w:rPr>
          <w:rFonts w:ascii="Book Antiqua" w:hAnsi="Book Antiqua"/>
          <w:lang w:val="es-PR"/>
        </w:rPr>
      </w:pPr>
    </w:p>
    <w:p w14:paraId="5D7171F3" w14:textId="2B25937A" w:rsidR="00195A3D" w:rsidRDefault="00FC035C" w:rsidP="00195A3D">
      <w:pPr>
        <w:suppressLineNumbers/>
        <w:ind w:firstLine="720"/>
        <w:jc w:val="both"/>
        <w:rPr>
          <w:rFonts w:ascii="Book Antiqua" w:hAnsi="Book Antiqua"/>
          <w:lang w:val="es-PR"/>
        </w:rPr>
      </w:pPr>
      <w:r>
        <w:rPr>
          <w:rFonts w:ascii="Book Antiqua" w:hAnsi="Book Antiqua"/>
          <w:lang w:val="es-PR"/>
        </w:rPr>
        <w:t xml:space="preserve">A esos fines, mediante esta </w:t>
      </w:r>
      <w:r w:rsidR="00296925">
        <w:rPr>
          <w:rFonts w:ascii="Book Antiqua" w:hAnsi="Book Antiqua"/>
          <w:lang w:val="es-PR"/>
        </w:rPr>
        <w:t xml:space="preserve">Resolución Conjunta </w:t>
      </w:r>
      <w:r>
        <w:rPr>
          <w:rFonts w:ascii="Book Antiqua" w:hAnsi="Book Antiqua"/>
          <w:lang w:val="es-PR"/>
        </w:rPr>
        <w:t xml:space="preserve">se </w:t>
      </w:r>
      <w:r w:rsidRPr="00FC035C">
        <w:rPr>
          <w:rFonts w:ascii="Book Antiqua" w:hAnsi="Book Antiqua"/>
          <w:lang w:val="es-PR"/>
        </w:rPr>
        <w:t>ordena al Departamento de Hacienda suspender temporalmente a todo introductor y/o fabricante, el arbitrio a la gasolina y al “</w:t>
      </w:r>
      <w:proofErr w:type="spellStart"/>
      <w:r w:rsidRPr="00FC035C">
        <w:rPr>
          <w:rFonts w:ascii="Book Antiqua" w:hAnsi="Book Antiqua"/>
          <w:lang w:val="es-PR"/>
        </w:rPr>
        <w:t>diesel</w:t>
      </w:r>
      <w:proofErr w:type="spellEnd"/>
      <w:r w:rsidRPr="00FC035C">
        <w:rPr>
          <w:rFonts w:ascii="Book Antiqua" w:hAnsi="Book Antiqua"/>
          <w:lang w:val="es-PR"/>
        </w:rPr>
        <w:t xml:space="preserve"> </w:t>
      </w:r>
      <w:proofErr w:type="spellStart"/>
      <w:r w:rsidRPr="00FC035C">
        <w:rPr>
          <w:rFonts w:ascii="Book Antiqua" w:hAnsi="Book Antiqua"/>
          <w:lang w:val="es-PR"/>
        </w:rPr>
        <w:t>oil</w:t>
      </w:r>
      <w:proofErr w:type="spellEnd"/>
      <w:r w:rsidRPr="00FC035C">
        <w:rPr>
          <w:rFonts w:ascii="Book Antiqua" w:hAnsi="Book Antiqua"/>
          <w:lang w:val="es-PR"/>
        </w:rPr>
        <w:t xml:space="preserve">” establecido en los incisos (1) y (3) del apartado (a) de la Sección 3020.06 de la Ley 1-2011, según enmendada, conocida como “Código de Rentas Internas para un Nuevo Puerto Rico”, durante el periodo de cuarenta y cinco (45) días hasta un tope de veinticinco </w:t>
      </w:r>
      <w:r w:rsidR="00296925">
        <w:rPr>
          <w:rFonts w:ascii="Book Antiqua" w:hAnsi="Book Antiqua"/>
          <w:lang w:val="es-PR"/>
        </w:rPr>
        <w:t xml:space="preserve">(25) </w:t>
      </w:r>
      <w:r w:rsidRPr="00FC035C">
        <w:rPr>
          <w:rFonts w:ascii="Book Antiqua" w:hAnsi="Book Antiqua"/>
          <w:lang w:val="es-PR"/>
        </w:rPr>
        <w:t>millones de dólares del arbitrio a la gasolina y al "</w:t>
      </w:r>
      <w:proofErr w:type="spellStart"/>
      <w:r w:rsidRPr="00FC035C">
        <w:rPr>
          <w:rFonts w:ascii="Book Antiqua" w:hAnsi="Book Antiqua"/>
          <w:lang w:val="es-PR"/>
        </w:rPr>
        <w:t>diesel</w:t>
      </w:r>
      <w:proofErr w:type="spellEnd"/>
      <w:r w:rsidRPr="00FC035C">
        <w:rPr>
          <w:rFonts w:ascii="Book Antiqua" w:hAnsi="Book Antiqua"/>
          <w:lang w:val="es-PR"/>
        </w:rPr>
        <w:t xml:space="preserve"> </w:t>
      </w:r>
      <w:proofErr w:type="spellStart"/>
      <w:r w:rsidRPr="00FC035C">
        <w:rPr>
          <w:rFonts w:ascii="Book Antiqua" w:hAnsi="Book Antiqua"/>
          <w:lang w:val="es-PR"/>
        </w:rPr>
        <w:t>oil</w:t>
      </w:r>
      <w:proofErr w:type="spellEnd"/>
      <w:r w:rsidRPr="00FC035C">
        <w:rPr>
          <w:rFonts w:ascii="Book Antiqua" w:hAnsi="Book Antiqua"/>
          <w:lang w:val="es-PR"/>
        </w:rPr>
        <w:t>".</w:t>
      </w:r>
      <w:r w:rsidR="00296925">
        <w:rPr>
          <w:rFonts w:ascii="Book Antiqua" w:hAnsi="Book Antiqua"/>
          <w:lang w:val="es-PR"/>
        </w:rPr>
        <w:t xml:space="preserve"> Con </w:t>
      </w:r>
      <w:r w:rsidR="00296925" w:rsidRPr="003225B9">
        <w:rPr>
          <w:rFonts w:ascii="Book Antiqua" w:hAnsi="Book Antiqua"/>
          <w:lang w:val="es-PR"/>
        </w:rPr>
        <w:t xml:space="preserve">la suspensión provisional del cobro del impuesto </w:t>
      </w:r>
      <w:r w:rsidR="00296925">
        <w:rPr>
          <w:rFonts w:ascii="Book Antiqua" w:hAnsi="Book Antiqua"/>
          <w:lang w:val="es-PR"/>
        </w:rPr>
        <w:t>se busca</w:t>
      </w:r>
      <w:r w:rsidR="00296925" w:rsidRPr="003225B9">
        <w:rPr>
          <w:rFonts w:ascii="Book Antiqua" w:hAnsi="Book Antiqua"/>
          <w:lang w:val="es-PR"/>
        </w:rPr>
        <w:t xml:space="preserve"> mitigar el impacto económico que enfrentan los ciudadanos.</w:t>
      </w:r>
      <w:r w:rsidR="00296925">
        <w:rPr>
          <w:rFonts w:ascii="Book Antiqua" w:hAnsi="Book Antiqua"/>
          <w:lang w:val="es-PR"/>
        </w:rPr>
        <w:t xml:space="preserve"> </w:t>
      </w:r>
      <w:r w:rsidR="00A64BC3">
        <w:rPr>
          <w:rFonts w:ascii="Book Antiqua" w:hAnsi="Book Antiqua"/>
          <w:lang w:val="es-PR"/>
        </w:rPr>
        <w:t>La cifra de 25 millones como cantidad estimada de</w:t>
      </w:r>
      <w:r w:rsidR="002E24AD">
        <w:rPr>
          <w:rFonts w:ascii="Book Antiqua" w:hAnsi="Book Antiqua"/>
          <w:lang w:val="es-PR"/>
        </w:rPr>
        <w:t xml:space="preserve"> </w:t>
      </w:r>
      <w:r w:rsidR="00A64BC3">
        <w:rPr>
          <w:rFonts w:ascii="Book Antiqua" w:hAnsi="Book Antiqua"/>
          <w:lang w:val="es-PR"/>
        </w:rPr>
        <w:t xml:space="preserve">impacto a los ingresos del estado por </w:t>
      </w:r>
      <w:r w:rsidR="00296925">
        <w:rPr>
          <w:rFonts w:ascii="Book Antiqua" w:hAnsi="Book Antiqua"/>
          <w:lang w:val="es-PR"/>
        </w:rPr>
        <w:t>un</w:t>
      </w:r>
      <w:r w:rsidR="00A64BC3">
        <w:rPr>
          <w:rFonts w:ascii="Book Antiqua" w:hAnsi="Book Antiqua"/>
          <w:lang w:val="es-PR"/>
        </w:rPr>
        <w:t xml:space="preserve">a moratoria de 45 </w:t>
      </w:r>
      <w:r w:rsidR="00296925">
        <w:rPr>
          <w:rFonts w:ascii="Book Antiqua" w:hAnsi="Book Antiqua"/>
          <w:lang w:val="es-PR"/>
        </w:rPr>
        <w:t>días,</w:t>
      </w:r>
      <w:r w:rsidR="00A64BC3">
        <w:rPr>
          <w:rFonts w:ascii="Book Antiqua" w:hAnsi="Book Antiqua"/>
          <w:lang w:val="es-PR"/>
        </w:rPr>
        <w:t xml:space="preserve"> surge de los análisis </w:t>
      </w:r>
      <w:r w:rsidR="00296925">
        <w:rPr>
          <w:rFonts w:ascii="Book Antiqua" w:hAnsi="Book Antiqua"/>
          <w:lang w:val="es-PR"/>
        </w:rPr>
        <w:t>ante</w:t>
      </w:r>
      <w:r w:rsidR="00A64BC3">
        <w:rPr>
          <w:rFonts w:ascii="Book Antiqua" w:hAnsi="Book Antiqua"/>
          <w:lang w:val="es-PR"/>
        </w:rPr>
        <w:t xml:space="preserve">riores de impacto fiscal </w:t>
      </w:r>
      <w:r w:rsidR="00296925">
        <w:rPr>
          <w:rFonts w:ascii="Book Antiqua" w:hAnsi="Book Antiqua"/>
          <w:lang w:val="es-PR"/>
        </w:rPr>
        <w:t>realizados</w:t>
      </w:r>
      <w:r w:rsidR="00A64BC3">
        <w:rPr>
          <w:rFonts w:ascii="Book Antiqua" w:hAnsi="Book Antiqua"/>
          <w:lang w:val="es-PR"/>
        </w:rPr>
        <w:t xml:space="preserve"> por la </w:t>
      </w:r>
      <w:r w:rsidR="00296925">
        <w:rPr>
          <w:rFonts w:ascii="Book Antiqua" w:hAnsi="Book Antiqua"/>
          <w:lang w:val="es-PR"/>
        </w:rPr>
        <w:t>Junta</w:t>
      </w:r>
      <w:r w:rsidR="00A64BC3">
        <w:rPr>
          <w:rFonts w:ascii="Book Antiqua" w:hAnsi="Book Antiqua"/>
          <w:lang w:val="es-PR"/>
        </w:rPr>
        <w:t xml:space="preserve"> de </w:t>
      </w:r>
      <w:r w:rsidR="00296925">
        <w:rPr>
          <w:rFonts w:ascii="Book Antiqua" w:hAnsi="Book Antiqua"/>
          <w:lang w:val="es-PR"/>
        </w:rPr>
        <w:t>Supervisión</w:t>
      </w:r>
      <w:r w:rsidR="00A64BC3">
        <w:rPr>
          <w:rFonts w:ascii="Book Antiqua" w:hAnsi="Book Antiqua"/>
          <w:lang w:val="es-PR"/>
        </w:rPr>
        <w:t xml:space="preserve"> Fiscal</w:t>
      </w:r>
      <w:r w:rsidR="00A64BC3">
        <w:rPr>
          <w:rStyle w:val="Refdenotaalpie"/>
          <w:rFonts w:ascii="Book Antiqua" w:hAnsi="Book Antiqua"/>
          <w:lang w:val="es-PR"/>
        </w:rPr>
        <w:footnoteReference w:id="1"/>
      </w:r>
      <w:r w:rsidR="00296925">
        <w:rPr>
          <w:rFonts w:ascii="Book Antiqua" w:hAnsi="Book Antiqua"/>
          <w:lang w:val="es-PR"/>
        </w:rPr>
        <w:t xml:space="preserve">. </w:t>
      </w:r>
    </w:p>
    <w:p w14:paraId="3A6B139D" w14:textId="77777777" w:rsidR="00195A3D" w:rsidRDefault="00195A3D" w:rsidP="00195A3D">
      <w:pPr>
        <w:suppressLineNumbers/>
        <w:ind w:firstLine="720"/>
        <w:jc w:val="both"/>
        <w:rPr>
          <w:rFonts w:ascii="Book Antiqua" w:hAnsi="Book Antiqua"/>
          <w:lang w:val="es-PR"/>
        </w:rPr>
      </w:pPr>
    </w:p>
    <w:p w14:paraId="6931BFB8" w14:textId="231A30E2" w:rsidR="00195A3D" w:rsidRPr="00195A3D" w:rsidRDefault="00195A3D" w:rsidP="0A08CAE9">
      <w:pPr>
        <w:suppressLineNumbers/>
        <w:ind w:firstLine="720"/>
        <w:jc w:val="both"/>
        <w:rPr>
          <w:rFonts w:ascii="Book Antiqua" w:hAnsi="Book Antiqua"/>
          <w:lang w:val="es-PR"/>
        </w:rPr>
      </w:pPr>
      <w:r>
        <w:rPr>
          <w:rFonts w:ascii="Book Antiqua" w:hAnsi="Book Antiqua"/>
          <w:lang w:val="es-PR"/>
        </w:rPr>
        <w:t>Por otro lado, c</w:t>
      </w:r>
      <w:proofErr w:type="spellStart"/>
      <w:r w:rsidRPr="00195A3D">
        <w:rPr>
          <w:rFonts w:ascii="Book Antiqua" w:hAnsi="Book Antiqua" w:cs="Book Antiqua"/>
          <w:lang w:val="es-ES"/>
        </w:rPr>
        <w:t>onforme</w:t>
      </w:r>
      <w:proofErr w:type="spellEnd"/>
      <w:r w:rsidRPr="00195A3D">
        <w:rPr>
          <w:rFonts w:ascii="Book Antiqua" w:hAnsi="Book Antiqua" w:cs="Book Antiqua"/>
          <w:lang w:val="es-ES"/>
        </w:rPr>
        <w:t xml:space="preserve"> informó la Oficina de Gerencia y Presupuesto el 13 de enero de 2026</w:t>
      </w:r>
      <w:r>
        <w:rPr>
          <w:rFonts w:ascii="Book Antiqua" w:hAnsi="Book Antiqua" w:cs="Book Antiqua"/>
          <w:lang w:val="es-ES"/>
        </w:rPr>
        <w:t xml:space="preserve"> ante la Comisión de Hacienda de la Cámara de Representantes,</w:t>
      </w:r>
      <w:r w:rsidRPr="00195A3D">
        <w:rPr>
          <w:rFonts w:ascii="Book Antiqua" w:hAnsi="Book Antiqua" w:cs="Book Antiqua"/>
          <w:lang w:val="es-ES"/>
        </w:rPr>
        <w:t xml:space="preserve"> de un análisis realizado se identificó que, durante varios años</w:t>
      </w:r>
      <w:r w:rsidR="00D815C4">
        <w:rPr>
          <w:rFonts w:ascii="Book Antiqua" w:hAnsi="Book Antiqua" w:cs="Book Antiqua"/>
          <w:lang w:val="es-ES"/>
        </w:rPr>
        <w:t>,</w:t>
      </w:r>
      <w:r w:rsidRPr="00195A3D">
        <w:rPr>
          <w:rFonts w:ascii="Book Antiqua" w:hAnsi="Book Antiqua" w:cs="Book Antiqua"/>
          <w:lang w:val="es-ES"/>
        </w:rPr>
        <w:t xml:space="preserve"> la partida de nómina ha tenido sobrantes de manera consistente. Según explicó, en aproximadamente 66 agencias adscritas al sistema centralizado de nómina se observa una discrepancia significativa entre la cantidad de empleados y el gasto de nómina. El análisis realizado reflejó que el presupuesto de nómina excede el personal actualmente activo en aproximadamente $257.9 millones</w:t>
      </w:r>
      <w:r>
        <w:rPr>
          <w:rStyle w:val="Refdenotaalpie"/>
          <w:rFonts w:ascii="Book Antiqua" w:hAnsi="Book Antiqua" w:cs="Book Antiqua"/>
          <w:lang w:val="es-ES"/>
        </w:rPr>
        <w:footnoteReference w:id="2"/>
      </w:r>
      <w:r w:rsidRPr="00195A3D">
        <w:rPr>
          <w:rFonts w:ascii="Book Antiqua" w:hAnsi="Book Antiqua" w:cs="Book Antiqua"/>
          <w:lang w:val="es-ES"/>
        </w:rPr>
        <w:t>.</w:t>
      </w:r>
      <w:r w:rsidRPr="00195A3D">
        <w:rPr>
          <w:rFonts w:ascii="Book Antiqua" w:hAnsi="Book Antiqua"/>
          <w:lang w:val="es-PR"/>
        </w:rPr>
        <w:t xml:space="preserve"> </w:t>
      </w:r>
      <w:r w:rsidRPr="008E33AA">
        <w:rPr>
          <w:rFonts w:ascii="Book Antiqua" w:hAnsi="Book Antiqua"/>
          <w:lang w:val="es-PR"/>
        </w:rPr>
        <w:t xml:space="preserve">Para sufragar la </w:t>
      </w:r>
      <w:r w:rsidR="00E3478C" w:rsidRPr="008E33AA">
        <w:rPr>
          <w:rFonts w:ascii="Book Antiqua" w:hAnsi="Book Antiqua"/>
          <w:lang w:val="es-PR"/>
        </w:rPr>
        <w:t>suspensión temporera</w:t>
      </w:r>
      <w:r w:rsidRPr="008E33AA">
        <w:rPr>
          <w:rFonts w:ascii="Book Antiqua" w:hAnsi="Book Antiqua"/>
          <w:lang w:val="es-PR"/>
        </w:rPr>
        <w:t xml:space="preserve"> de forma neutral en el presupuesto y cumplir con las disposiciones de la Ley PROMESA y el Plan Fiscal de </w:t>
      </w:r>
      <w:r w:rsidRPr="008E33AA">
        <w:rPr>
          <w:rFonts w:ascii="Book Antiqua" w:hAnsi="Book Antiqua"/>
          <w:lang w:val="es-PR"/>
        </w:rPr>
        <w:lastRenderedPageBreak/>
        <w:t xml:space="preserve">Puerto Rico, se ordena a la Oficina de Gerencia y Presupuesto </w:t>
      </w:r>
      <w:r w:rsidR="008E33AA" w:rsidRPr="008E33AA">
        <w:rPr>
          <w:rFonts w:ascii="Book Antiqua" w:hAnsi="Book Antiqua" w:cs="Book Antiqua"/>
          <w:lang w:val="es-ES"/>
        </w:rPr>
        <w:t>reasignar los fondos necesarios provenientes de sobrantes de nómina</w:t>
      </w:r>
      <w:r w:rsidRPr="008E33AA">
        <w:rPr>
          <w:rFonts w:ascii="Book Antiqua" w:hAnsi="Book Antiqua"/>
          <w:lang w:val="es-PR"/>
        </w:rPr>
        <w:t xml:space="preserve"> para que estén disponibles para los propósitos de esta resolución conjunta.</w:t>
      </w:r>
      <w:r w:rsidR="37F05CD2" w:rsidRPr="008E33AA">
        <w:rPr>
          <w:rFonts w:ascii="Book Antiqua" w:hAnsi="Book Antiqua"/>
          <w:lang w:val="es-PR"/>
        </w:rPr>
        <w:t xml:space="preserve"> Adem</w:t>
      </w:r>
      <w:r w:rsidR="3D33DA74" w:rsidRPr="008E33AA">
        <w:rPr>
          <w:rFonts w:ascii="Book Antiqua" w:hAnsi="Book Antiqua"/>
          <w:lang w:val="es-PR"/>
        </w:rPr>
        <w:t>á</w:t>
      </w:r>
      <w:r w:rsidR="37F05CD2" w:rsidRPr="008E33AA">
        <w:rPr>
          <w:rFonts w:ascii="Book Antiqua" w:hAnsi="Book Antiqua"/>
          <w:lang w:val="es-PR"/>
        </w:rPr>
        <w:t>s, se ordena</w:t>
      </w:r>
      <w:r w:rsidR="008E33AA" w:rsidRPr="008E33AA">
        <w:rPr>
          <w:rFonts w:ascii="Book Antiqua" w:hAnsi="Book Antiqua"/>
          <w:lang w:val="es-PR"/>
        </w:rPr>
        <w:t xml:space="preserve"> a la Oficina de Gerencia y Presupuesto a implementar, en coordinación con la Autoridad de Asesoría Financiera y Agencia Fiscal, las medidas de reducción de gastos necesarias para garantizar la neutralidad fiscal de esta Resolución Conjunta, incluyendo ajustes en nómina de empleados de confianza, gastos publicitarios y servicios profesionales, </w:t>
      </w:r>
      <w:r w:rsidR="3A27F3EE" w:rsidRPr="008E33AA">
        <w:rPr>
          <w:rFonts w:ascii="Book Antiqua" w:hAnsi="Book Antiqua"/>
          <w:color w:val="000000" w:themeColor="text1"/>
          <w:lang w:val="es-PR"/>
        </w:rPr>
        <w:t>por un periodo de 45 días</w:t>
      </w:r>
      <w:r w:rsidR="459F463B" w:rsidRPr="008E33AA">
        <w:rPr>
          <w:rFonts w:ascii="Book Antiqua" w:hAnsi="Book Antiqua"/>
          <w:color w:val="000000" w:themeColor="text1"/>
          <w:lang w:val="es-PR"/>
        </w:rPr>
        <w:t xml:space="preserve"> como medidas de ahorro adicionales para cumplir con los fondos necesarios para </w:t>
      </w:r>
      <w:r w:rsidR="009B1E9F" w:rsidRPr="008E33AA">
        <w:rPr>
          <w:rFonts w:ascii="Book Antiqua" w:hAnsi="Book Antiqua" w:cs="Book Antiqua"/>
          <w:lang w:val="es-ES"/>
        </w:rPr>
        <w:t>sufragar la suspensión del arbitrio</w:t>
      </w:r>
      <w:r w:rsidR="00C1772F" w:rsidRPr="008E33AA">
        <w:rPr>
          <w:rFonts w:ascii="Book Antiqua" w:hAnsi="Book Antiqua" w:cs="Book Antiqua"/>
          <w:lang w:val="es-ES"/>
        </w:rPr>
        <w:t>.</w:t>
      </w:r>
      <w:r w:rsidR="009660D3" w:rsidRPr="0A08CAE9">
        <w:rPr>
          <w:rFonts w:ascii="Book Antiqua" w:hAnsi="Book Antiqua" w:cs="Book Antiqua"/>
          <w:lang w:val="es-ES"/>
        </w:rPr>
        <w:t xml:space="preserve"> </w:t>
      </w:r>
    </w:p>
    <w:p w14:paraId="49AA1CCE" w14:textId="5C031581" w:rsidR="00195A3D" w:rsidRPr="00195A3D" w:rsidRDefault="00195A3D" w:rsidP="0A08CAE9">
      <w:pPr>
        <w:suppressLineNumbers/>
        <w:ind w:firstLine="720"/>
        <w:jc w:val="both"/>
        <w:rPr>
          <w:rFonts w:ascii="Book Antiqua" w:hAnsi="Book Antiqua" w:cs="Book Antiqua"/>
          <w:lang w:val="es-ES"/>
        </w:rPr>
      </w:pPr>
    </w:p>
    <w:p w14:paraId="712822A8" w14:textId="0BDBBC79" w:rsidR="00195A3D" w:rsidRPr="00195A3D" w:rsidRDefault="009660D3" w:rsidP="0A08CAE9">
      <w:pPr>
        <w:suppressLineNumbers/>
        <w:ind w:firstLine="720"/>
        <w:jc w:val="both"/>
        <w:rPr>
          <w:rFonts w:ascii="Book Antiqua" w:hAnsi="Book Antiqua"/>
          <w:lang w:val="es-PR"/>
        </w:rPr>
      </w:pPr>
      <w:r w:rsidRPr="0A08CAE9">
        <w:rPr>
          <w:rFonts w:ascii="Book Antiqua" w:hAnsi="Book Antiqua" w:cs="Book Antiqua"/>
          <w:lang w:val="es-ES"/>
        </w:rPr>
        <w:t>Para proteger los beneficios a</w:t>
      </w:r>
      <w:r w:rsidR="4A08B361" w:rsidRPr="0A08CAE9">
        <w:rPr>
          <w:rFonts w:ascii="Book Antiqua" w:hAnsi="Book Antiqua" w:cs="Book Antiqua"/>
          <w:lang w:val="es-ES"/>
        </w:rPr>
        <w:t xml:space="preserve"> la ciudadanía </w:t>
      </w:r>
      <w:r w:rsidRPr="0A08CAE9">
        <w:rPr>
          <w:rFonts w:ascii="Book Antiqua" w:hAnsi="Book Antiqua" w:cs="Book Antiqua"/>
          <w:lang w:val="es-ES"/>
        </w:rPr>
        <w:t>se dispone que el Departamento de Asuntos del Consumi</w:t>
      </w:r>
      <w:r w:rsidR="1D2E9848" w:rsidRPr="0A08CAE9">
        <w:rPr>
          <w:rFonts w:ascii="Book Antiqua" w:hAnsi="Book Antiqua" w:cs="Book Antiqua"/>
          <w:lang w:val="es-ES"/>
        </w:rPr>
        <w:t>do</w:t>
      </w:r>
      <w:r w:rsidRPr="0A08CAE9">
        <w:rPr>
          <w:rFonts w:ascii="Book Antiqua" w:hAnsi="Book Antiqua" w:cs="Book Antiqua"/>
          <w:lang w:val="es-ES"/>
        </w:rPr>
        <w:t>r mantendrá vigente una orden de prohibición de aumentos de los márgenes de ganancia bruta en todos los niveles de distribución y mercadeo en la venta de gasolina, gas licuado de petróleo y diésel mientras dure la suspensión del arbitrio aquí legislado.</w:t>
      </w:r>
    </w:p>
    <w:p w14:paraId="79954219" w14:textId="77777777" w:rsidR="005B312C" w:rsidRPr="001C66C0" w:rsidRDefault="005B312C" w:rsidP="00591067">
      <w:pPr>
        <w:suppressLineNumbers/>
        <w:ind w:firstLine="720"/>
        <w:jc w:val="both"/>
        <w:rPr>
          <w:rFonts w:ascii="Book Antiqua" w:hAnsi="Book Antiqua" w:cs="Book Antiqua"/>
          <w:lang w:val="es-ES_tradnl"/>
        </w:rPr>
      </w:pPr>
    </w:p>
    <w:p w14:paraId="4E9243F5" w14:textId="7CFFCEDD" w:rsidR="00F2719B" w:rsidRPr="001C66C0" w:rsidRDefault="00160CBF" w:rsidP="00591067">
      <w:pPr>
        <w:suppressLineNumbers/>
        <w:spacing w:line="480" w:lineRule="auto"/>
        <w:rPr>
          <w:rFonts w:ascii="Book Antiqua" w:hAnsi="Book Antiqua" w:cs="Book Antiqua"/>
          <w:i/>
          <w:iCs/>
          <w:lang w:val="es-ES_tradnl"/>
        </w:rPr>
      </w:pPr>
      <w:r w:rsidRPr="001C66C0">
        <w:rPr>
          <w:rFonts w:ascii="Book Antiqua" w:hAnsi="Book Antiqua" w:cs="Book Antiqua"/>
          <w:i/>
          <w:iCs/>
          <w:lang w:val="es-ES_tradnl"/>
        </w:rPr>
        <w:t>RESUÉLVESE</w:t>
      </w:r>
      <w:r w:rsidR="00F2719B" w:rsidRPr="001C66C0">
        <w:rPr>
          <w:rFonts w:ascii="Book Antiqua" w:hAnsi="Book Antiqua" w:cs="Book Antiqua"/>
          <w:i/>
          <w:iCs/>
          <w:lang w:val="es-ES_tradnl"/>
        </w:rPr>
        <w:t xml:space="preserve"> POR LA ASAMBLEA LEGISLATIVA DE PUERTO RICO:</w:t>
      </w:r>
    </w:p>
    <w:p w14:paraId="52073F37" w14:textId="035B0816" w:rsidR="00FA7D14" w:rsidRPr="00FA7D14" w:rsidRDefault="00160CBF" w:rsidP="0A08CAE9">
      <w:pPr>
        <w:pStyle w:val="Default"/>
        <w:spacing w:line="480" w:lineRule="auto"/>
        <w:ind w:firstLine="720"/>
        <w:jc w:val="both"/>
        <w:rPr>
          <w:rFonts w:ascii="Book Antiqua" w:hAnsi="Book Antiqua" w:cs="Book Antiqua"/>
          <w:color w:val="auto"/>
          <w:lang w:val="es-ES"/>
        </w:rPr>
      </w:pPr>
      <w:r w:rsidRPr="0A08CAE9">
        <w:rPr>
          <w:rFonts w:ascii="Book Antiqua" w:hAnsi="Book Antiqua" w:cs="Book Antiqua"/>
          <w:color w:val="auto"/>
          <w:lang w:val="es-ES"/>
        </w:rPr>
        <w:t xml:space="preserve">Sección 1.- </w:t>
      </w:r>
      <w:r w:rsidR="00FA7D14" w:rsidRPr="0A08CAE9">
        <w:rPr>
          <w:rFonts w:ascii="Book Antiqua" w:hAnsi="Book Antiqua" w:cs="Book Antiqua"/>
          <w:color w:val="auto"/>
          <w:lang w:val="es-ES"/>
        </w:rPr>
        <w:t>Se ordena al Departamento de Hacienda a suspender temporalmente a todo introductor y/o fabricante, según dichos términos se definen en la Sección 3010.01 de la Ley 1-2011, según enmendada, conocida como “Código de Rentas Internas para un Nuevo Puerto Rico”, el arbitrio a la gasolina y al “</w:t>
      </w:r>
      <w:proofErr w:type="spellStart"/>
      <w:r w:rsidR="00FA7D14" w:rsidRPr="0A08CAE9">
        <w:rPr>
          <w:rFonts w:ascii="Book Antiqua" w:hAnsi="Book Antiqua" w:cs="Book Antiqua"/>
          <w:color w:val="auto"/>
          <w:lang w:val="es-ES"/>
        </w:rPr>
        <w:t>diesel</w:t>
      </w:r>
      <w:proofErr w:type="spellEnd"/>
      <w:r w:rsidR="00FA7D14" w:rsidRPr="0A08CAE9">
        <w:rPr>
          <w:rFonts w:ascii="Book Antiqua" w:hAnsi="Book Antiqua" w:cs="Book Antiqua"/>
          <w:color w:val="auto"/>
          <w:lang w:val="es-ES"/>
        </w:rPr>
        <w:t xml:space="preserve"> </w:t>
      </w:r>
      <w:proofErr w:type="spellStart"/>
      <w:r w:rsidR="00FA7D14" w:rsidRPr="0A08CAE9">
        <w:rPr>
          <w:rFonts w:ascii="Book Antiqua" w:hAnsi="Book Antiqua" w:cs="Book Antiqua"/>
          <w:color w:val="auto"/>
          <w:lang w:val="es-ES"/>
        </w:rPr>
        <w:t>oil</w:t>
      </w:r>
      <w:proofErr w:type="spellEnd"/>
      <w:r w:rsidR="00FA7D14" w:rsidRPr="0A08CAE9">
        <w:rPr>
          <w:rFonts w:ascii="Book Antiqua" w:hAnsi="Book Antiqua" w:cs="Book Antiqua"/>
          <w:color w:val="auto"/>
          <w:lang w:val="es-ES"/>
        </w:rPr>
        <w:t>” establecido en los incisos (1) y (3) del apartado (a) de la Sección 3020.06 de la Ley 1-2011, según enmendada, conocida como “Código de Rentas Internas para un Nuevo Puerto Rico”, durante el periodo de cuarenta y cinco (45) días a partir de la aprobación de esta Resolución Conjunta hasta un tope de veinticinco millones</w:t>
      </w:r>
      <w:r w:rsidR="00DB3075">
        <w:rPr>
          <w:rFonts w:ascii="Book Antiqua" w:hAnsi="Book Antiqua" w:cs="Book Antiqua"/>
          <w:color w:val="auto"/>
          <w:lang w:val="es-ES"/>
        </w:rPr>
        <w:t xml:space="preserve"> (25,000,000)</w:t>
      </w:r>
      <w:r w:rsidR="00FA7D14" w:rsidRPr="0A08CAE9">
        <w:rPr>
          <w:rFonts w:ascii="Book Antiqua" w:hAnsi="Book Antiqua" w:cs="Book Antiqua"/>
          <w:color w:val="auto"/>
          <w:lang w:val="es-ES"/>
        </w:rPr>
        <w:t xml:space="preserve"> de dólares en el agregado del arbitrio a la gasolina y al "</w:t>
      </w:r>
      <w:proofErr w:type="spellStart"/>
      <w:r w:rsidR="00FA7D14" w:rsidRPr="0A08CAE9">
        <w:rPr>
          <w:rFonts w:ascii="Book Antiqua" w:hAnsi="Book Antiqua" w:cs="Book Antiqua"/>
          <w:color w:val="auto"/>
          <w:lang w:val="es-ES"/>
        </w:rPr>
        <w:t>diesel</w:t>
      </w:r>
      <w:proofErr w:type="spellEnd"/>
      <w:r w:rsidR="00FA7D14" w:rsidRPr="0A08CAE9">
        <w:rPr>
          <w:rFonts w:ascii="Book Antiqua" w:hAnsi="Book Antiqua" w:cs="Book Antiqua"/>
          <w:color w:val="auto"/>
          <w:lang w:val="es-ES"/>
        </w:rPr>
        <w:t xml:space="preserve"> </w:t>
      </w:r>
      <w:proofErr w:type="spellStart"/>
      <w:r w:rsidR="00FA7D14" w:rsidRPr="0A08CAE9">
        <w:rPr>
          <w:rFonts w:ascii="Book Antiqua" w:hAnsi="Book Antiqua" w:cs="Book Antiqua"/>
          <w:color w:val="auto"/>
          <w:lang w:val="es-ES"/>
        </w:rPr>
        <w:t>oil</w:t>
      </w:r>
      <w:proofErr w:type="spellEnd"/>
      <w:r w:rsidR="00FA7D14" w:rsidRPr="0A08CAE9">
        <w:rPr>
          <w:rFonts w:ascii="Book Antiqua" w:hAnsi="Book Antiqua" w:cs="Book Antiqua"/>
          <w:color w:val="auto"/>
          <w:lang w:val="es-ES"/>
        </w:rPr>
        <w:t xml:space="preserve">" </w:t>
      </w:r>
      <w:r w:rsidR="00FC035C" w:rsidRPr="0A08CAE9">
        <w:rPr>
          <w:rFonts w:ascii="Book Antiqua" w:hAnsi="Book Antiqua" w:cs="Book Antiqua"/>
          <w:color w:val="auto"/>
          <w:lang w:val="es-ES"/>
        </w:rPr>
        <w:t xml:space="preserve">aquí </w:t>
      </w:r>
      <w:r w:rsidR="00FA7D14" w:rsidRPr="0A08CAE9">
        <w:rPr>
          <w:rFonts w:ascii="Book Antiqua" w:hAnsi="Book Antiqua" w:cs="Book Antiqua"/>
          <w:color w:val="auto"/>
          <w:lang w:val="es-ES"/>
        </w:rPr>
        <w:t>eximido. Disponiéndose, que la exención aquí dispuesta será aplicable a inventario existente y disponible a la vigencia de la exención dispuesta en esta sección. Disponiéndose, además, que ningún introductor y/o fabricante podrá posteriormente cobrar el arbitrio sobre la gasolina y al "</w:t>
      </w:r>
      <w:proofErr w:type="spellStart"/>
      <w:r w:rsidR="00FA7D14" w:rsidRPr="0A08CAE9">
        <w:rPr>
          <w:rFonts w:ascii="Book Antiqua" w:hAnsi="Book Antiqua" w:cs="Book Antiqua"/>
          <w:color w:val="auto"/>
          <w:lang w:val="es-ES"/>
        </w:rPr>
        <w:t>diesel</w:t>
      </w:r>
      <w:proofErr w:type="spellEnd"/>
      <w:r w:rsidR="00FA7D14" w:rsidRPr="0A08CAE9">
        <w:rPr>
          <w:rFonts w:ascii="Book Antiqua" w:hAnsi="Book Antiqua" w:cs="Book Antiqua"/>
          <w:color w:val="auto"/>
          <w:lang w:val="es-ES"/>
        </w:rPr>
        <w:t xml:space="preserve"> </w:t>
      </w:r>
      <w:proofErr w:type="spellStart"/>
      <w:r w:rsidR="00FA7D14" w:rsidRPr="0A08CAE9">
        <w:rPr>
          <w:rFonts w:ascii="Book Antiqua" w:hAnsi="Book Antiqua" w:cs="Book Antiqua"/>
          <w:color w:val="auto"/>
          <w:lang w:val="es-ES"/>
        </w:rPr>
        <w:t>oil</w:t>
      </w:r>
      <w:proofErr w:type="spellEnd"/>
      <w:r w:rsidR="00FA7D14" w:rsidRPr="0A08CAE9">
        <w:rPr>
          <w:rFonts w:ascii="Book Antiqua" w:hAnsi="Book Antiqua" w:cs="Book Antiqua"/>
          <w:color w:val="auto"/>
          <w:lang w:val="es-ES"/>
        </w:rPr>
        <w:t>" eximido por esta Resolución Conjunta.</w:t>
      </w:r>
    </w:p>
    <w:p w14:paraId="7B10EF34" w14:textId="76AB4A52" w:rsidR="00FA7D14" w:rsidRPr="00FA7D14" w:rsidRDefault="00FA7D14" w:rsidP="00FA7D14">
      <w:pPr>
        <w:pStyle w:val="Default"/>
        <w:spacing w:line="480" w:lineRule="auto"/>
        <w:ind w:firstLine="720"/>
        <w:jc w:val="both"/>
        <w:rPr>
          <w:rFonts w:ascii="Book Antiqua" w:hAnsi="Book Antiqua" w:cs="Book Antiqua"/>
          <w:color w:val="auto"/>
          <w:lang w:val="es-ES_tradnl"/>
        </w:rPr>
      </w:pPr>
      <w:r w:rsidRPr="00FA7D14">
        <w:rPr>
          <w:rFonts w:ascii="Book Antiqua" w:hAnsi="Book Antiqua" w:cs="Book Antiqua"/>
          <w:color w:val="auto"/>
          <w:lang w:val="es-ES_tradnl"/>
        </w:rPr>
        <w:lastRenderedPageBreak/>
        <w:t xml:space="preserve">Sección 2.- La </w:t>
      </w:r>
      <w:r w:rsidR="00E3478C">
        <w:rPr>
          <w:rFonts w:ascii="Book Antiqua" w:hAnsi="Book Antiqua" w:cs="Book Antiqua"/>
          <w:color w:val="auto"/>
          <w:lang w:val="es-ES_tradnl"/>
        </w:rPr>
        <w:t>suspensión temporera</w:t>
      </w:r>
      <w:r w:rsidRPr="00FA7D14">
        <w:rPr>
          <w:rFonts w:ascii="Book Antiqua" w:hAnsi="Book Antiqua" w:cs="Book Antiqua"/>
          <w:color w:val="auto"/>
          <w:lang w:val="es-ES_tradnl"/>
        </w:rPr>
        <w:t xml:space="preserve"> dispuesta en la Sección 1 de esta Resolución Conjunta, deberá ser financiada según lo autorizado por la Sección </w:t>
      </w:r>
      <w:r w:rsidR="00506BE1">
        <w:rPr>
          <w:rFonts w:ascii="Book Antiqua" w:hAnsi="Book Antiqua" w:cs="Book Antiqua"/>
          <w:color w:val="auto"/>
          <w:lang w:val="es-ES_tradnl"/>
        </w:rPr>
        <w:t>4</w:t>
      </w:r>
      <w:r w:rsidRPr="00FA7D14">
        <w:rPr>
          <w:rFonts w:ascii="Book Antiqua" w:hAnsi="Book Antiqua" w:cs="Book Antiqua"/>
          <w:color w:val="auto"/>
          <w:lang w:val="es-ES_tradnl"/>
        </w:rPr>
        <w:t xml:space="preserve"> de esta Resolución Conjunta, o con cualquier exceso de recaudos del Fondo General, o con la Reserva de Emergencias del Estado Libre Asociado de Puerto Rico, o con cualquier otra fuente de ingresos locales o federales, o combinación de estas.</w:t>
      </w:r>
    </w:p>
    <w:p w14:paraId="53B59001" w14:textId="6260ECB9" w:rsidR="00FA7D14" w:rsidRPr="00FA7D14" w:rsidRDefault="00FA7D14" w:rsidP="0A08CAE9">
      <w:pPr>
        <w:pStyle w:val="Default"/>
        <w:spacing w:line="480" w:lineRule="auto"/>
        <w:ind w:firstLine="720"/>
        <w:jc w:val="both"/>
        <w:rPr>
          <w:rFonts w:ascii="Book Antiqua" w:hAnsi="Book Antiqua" w:cs="Book Antiqua"/>
          <w:color w:val="auto"/>
          <w:lang w:val="es-ES"/>
        </w:rPr>
      </w:pPr>
      <w:r w:rsidRPr="0A08CAE9">
        <w:rPr>
          <w:rFonts w:ascii="Book Antiqua" w:hAnsi="Book Antiqua" w:cs="Book Antiqua"/>
          <w:color w:val="auto"/>
          <w:lang w:val="es-ES"/>
        </w:rPr>
        <w:t xml:space="preserve">Sección 3.- Se permite extender la </w:t>
      </w:r>
      <w:r w:rsidR="00E3478C">
        <w:rPr>
          <w:rFonts w:ascii="Book Antiqua" w:hAnsi="Book Antiqua" w:cs="Book Antiqua"/>
          <w:color w:val="auto"/>
          <w:lang w:val="es-ES"/>
        </w:rPr>
        <w:t>suspensión temporera</w:t>
      </w:r>
      <w:r w:rsidRPr="0A08CAE9">
        <w:rPr>
          <w:rFonts w:ascii="Book Antiqua" w:hAnsi="Book Antiqua" w:cs="Book Antiqua"/>
          <w:color w:val="auto"/>
          <w:lang w:val="es-ES"/>
        </w:rPr>
        <w:t xml:space="preserve"> por un periodo de cuarenta y cinco (45) días adicionales, siempre y cuando se cumpla con el debido estudio económico y la identificación de recursos para la neutralidad de ingresos y notificación a la Asamblea Legislativa.</w:t>
      </w:r>
    </w:p>
    <w:p w14:paraId="6359FD80" w14:textId="77BE2D0A" w:rsidR="00FA7D14" w:rsidRDefault="00FA7D14" w:rsidP="008E33AA">
      <w:pPr>
        <w:pStyle w:val="Default"/>
        <w:spacing w:line="480" w:lineRule="auto"/>
        <w:ind w:firstLine="720"/>
        <w:jc w:val="both"/>
        <w:rPr>
          <w:rFonts w:ascii="Book Antiqua" w:hAnsi="Book Antiqua" w:cs="Book Antiqua"/>
          <w:color w:val="auto"/>
          <w:highlight w:val="yellow"/>
          <w:lang w:val="es-ES"/>
        </w:rPr>
      </w:pPr>
      <w:r w:rsidRPr="0A08CAE9">
        <w:rPr>
          <w:rFonts w:ascii="Book Antiqua" w:hAnsi="Book Antiqua" w:cs="Book Antiqua"/>
          <w:color w:val="auto"/>
          <w:lang w:val="es-ES"/>
        </w:rPr>
        <w:t xml:space="preserve">Sección 4.- </w:t>
      </w:r>
      <w:r w:rsidR="008E33AA" w:rsidRPr="008E33AA">
        <w:rPr>
          <w:rFonts w:ascii="Book Antiqua" w:hAnsi="Book Antiqua" w:cs="Book Antiqua"/>
          <w:color w:val="auto"/>
          <w:lang w:val="es-ES"/>
        </w:rPr>
        <w:t>Se ordena a la Oficina de Gerencia y Presupuesto reasignar los fondos necesarios provenientes de sobrantes de nómina, a los fines de sufragar la suspensión del arbitrio dispuesta en esta Resolución Conjunta.</w:t>
      </w:r>
      <w:r w:rsidR="008E33AA">
        <w:rPr>
          <w:rFonts w:ascii="Book Antiqua" w:hAnsi="Book Antiqua" w:cs="Book Antiqua"/>
          <w:color w:val="auto"/>
          <w:lang w:val="es-ES"/>
        </w:rPr>
        <w:t xml:space="preserve"> </w:t>
      </w:r>
      <w:r w:rsidR="008E33AA" w:rsidRPr="008E33AA">
        <w:rPr>
          <w:rFonts w:ascii="Book Antiqua" w:hAnsi="Book Antiqua" w:cs="Book Antiqua"/>
          <w:color w:val="auto"/>
          <w:lang w:val="es-ES"/>
        </w:rPr>
        <w:t>Asimismo, se instruye a la Oficina de Gerencia y Presupuesto a implementar, en coordinación con la Autoridad de Asesoría Financiera y Agencia Fiscal de Puerto Rico, las medidas de reducción de gastos necesarias para garantizar la neutralidad fiscal de esta Resolución Conjunta, incluyendo, sin limitarse a, ajustes en los gastos de nómina de empleados de confianza, gastos publicitarios y gastos de servicios profesionales, todo ello en cumplimiento con las leyes aplicables y el Plan Fiscal vigente.</w:t>
      </w:r>
    </w:p>
    <w:p w14:paraId="27168DD9" w14:textId="50FD1F66" w:rsidR="00856478" w:rsidRPr="00856478" w:rsidRDefault="00856478" w:rsidP="00856478">
      <w:pPr>
        <w:pStyle w:val="Default"/>
        <w:spacing w:line="480" w:lineRule="auto"/>
        <w:ind w:firstLine="720"/>
        <w:jc w:val="both"/>
        <w:rPr>
          <w:rFonts w:ascii="Book Antiqua" w:hAnsi="Book Antiqua" w:cs="Book Antiqua"/>
          <w:color w:val="auto"/>
          <w:lang w:val="es-PR"/>
        </w:rPr>
      </w:pPr>
      <w:r w:rsidRPr="00856478">
        <w:rPr>
          <w:rFonts w:ascii="Book Antiqua" w:hAnsi="Book Antiqua" w:cs="Book Antiqua"/>
          <w:color w:val="auto"/>
          <w:lang w:val="es-PR"/>
        </w:rPr>
        <w:t xml:space="preserve">Sección </w:t>
      </w:r>
      <w:r w:rsidR="00506BE1">
        <w:rPr>
          <w:rFonts w:ascii="Book Antiqua" w:hAnsi="Book Antiqua" w:cs="Book Antiqua"/>
          <w:color w:val="auto"/>
          <w:lang w:val="es-PR"/>
        </w:rPr>
        <w:t>5</w:t>
      </w:r>
      <w:r w:rsidRPr="00856478">
        <w:rPr>
          <w:rFonts w:ascii="Book Antiqua" w:hAnsi="Book Antiqua" w:cs="Book Antiqua"/>
          <w:color w:val="auto"/>
          <w:lang w:val="es-PR"/>
        </w:rPr>
        <w:t>.- Se ordena al Departamento de Asuntos del Consumidor mantener vigente una orden de prohibición de aumentos de los márgenes de ganancia bruta en todos los niveles de distribución y mercadeo en la venta de gasolina, gas licuado de petróleo y diésel mientras dure la suspensión del arbitrio aquí legislado.</w:t>
      </w:r>
    </w:p>
    <w:p w14:paraId="3FC83A24" w14:textId="4E503E10" w:rsidR="00856478" w:rsidRPr="00856478" w:rsidRDefault="00856478" w:rsidP="00856478">
      <w:pPr>
        <w:pStyle w:val="Default"/>
        <w:spacing w:line="480" w:lineRule="auto"/>
        <w:ind w:firstLine="720"/>
        <w:jc w:val="both"/>
        <w:rPr>
          <w:rFonts w:ascii="Book Antiqua" w:hAnsi="Book Antiqua" w:cs="Book Antiqua"/>
          <w:color w:val="auto"/>
          <w:lang w:val="es-PR"/>
        </w:rPr>
      </w:pPr>
      <w:r w:rsidRPr="00856478">
        <w:rPr>
          <w:rFonts w:ascii="Book Antiqua" w:hAnsi="Book Antiqua" w:cs="Book Antiqua"/>
          <w:color w:val="auto"/>
          <w:lang w:val="es-PR"/>
        </w:rPr>
        <w:lastRenderedPageBreak/>
        <w:t xml:space="preserve">Sección </w:t>
      </w:r>
      <w:r w:rsidR="00506BE1">
        <w:rPr>
          <w:rFonts w:ascii="Book Antiqua" w:hAnsi="Book Antiqua" w:cs="Book Antiqua"/>
          <w:color w:val="auto"/>
          <w:lang w:val="es-PR"/>
        </w:rPr>
        <w:t>6</w:t>
      </w:r>
      <w:r w:rsidRPr="00856478">
        <w:rPr>
          <w:rFonts w:ascii="Book Antiqua" w:hAnsi="Book Antiqua" w:cs="Book Antiqua"/>
          <w:color w:val="auto"/>
          <w:lang w:val="es-PR"/>
        </w:rPr>
        <w:t xml:space="preserve">.- El Departamento de Asuntos del Consumidor y el Departamento de Hacienda deberán asegurarse </w:t>
      </w:r>
      <w:r w:rsidR="00C1772F">
        <w:rPr>
          <w:rFonts w:ascii="Book Antiqua" w:hAnsi="Book Antiqua" w:cs="Book Antiqua"/>
          <w:color w:val="auto"/>
          <w:lang w:val="es-PR"/>
        </w:rPr>
        <w:t xml:space="preserve">de </w:t>
      </w:r>
      <w:r w:rsidRPr="00856478">
        <w:rPr>
          <w:rFonts w:ascii="Book Antiqua" w:hAnsi="Book Antiqua" w:cs="Book Antiqua"/>
          <w:color w:val="auto"/>
          <w:lang w:val="es-PR"/>
        </w:rPr>
        <w:t>que la reducción en el arbitrio al crudo, que será determinado por el Departamento de Hacienda, se transfiera a través de las distintas etapas de la cadena de suplido hasta llegar al consumidor y se refleje en el precio final que paga este.</w:t>
      </w:r>
    </w:p>
    <w:p w14:paraId="7F6B48D2" w14:textId="7E2D927F" w:rsidR="00856478" w:rsidRPr="00856478" w:rsidRDefault="00856478" w:rsidP="00856478">
      <w:pPr>
        <w:pStyle w:val="Default"/>
        <w:spacing w:line="480" w:lineRule="auto"/>
        <w:ind w:firstLine="720"/>
        <w:jc w:val="both"/>
        <w:rPr>
          <w:rFonts w:ascii="Book Antiqua" w:hAnsi="Book Antiqua" w:cs="Book Antiqua"/>
          <w:color w:val="auto"/>
          <w:lang w:val="es-PR"/>
        </w:rPr>
      </w:pPr>
      <w:r w:rsidRPr="00856478">
        <w:rPr>
          <w:rFonts w:ascii="Book Antiqua" w:hAnsi="Book Antiqua" w:cs="Book Antiqua"/>
          <w:color w:val="auto"/>
          <w:lang w:val="es-PR"/>
        </w:rPr>
        <w:t xml:space="preserve">Sección </w:t>
      </w:r>
      <w:r w:rsidR="00506BE1">
        <w:rPr>
          <w:rFonts w:ascii="Book Antiqua" w:hAnsi="Book Antiqua" w:cs="Book Antiqua"/>
          <w:color w:val="auto"/>
          <w:lang w:val="es-PR"/>
        </w:rPr>
        <w:t>7</w:t>
      </w:r>
      <w:r w:rsidRPr="00856478">
        <w:rPr>
          <w:rFonts w:ascii="Book Antiqua" w:hAnsi="Book Antiqua" w:cs="Book Antiqua"/>
          <w:color w:val="auto"/>
          <w:lang w:val="es-PR"/>
        </w:rPr>
        <w:t xml:space="preserve">.- Se ordena al </w:t>
      </w:r>
      <w:proofErr w:type="gramStart"/>
      <w:r w:rsidRPr="00856478">
        <w:rPr>
          <w:rFonts w:ascii="Book Antiqua" w:hAnsi="Book Antiqua" w:cs="Book Antiqua"/>
          <w:color w:val="auto"/>
          <w:lang w:val="es-PR"/>
        </w:rPr>
        <w:t>Secretario</w:t>
      </w:r>
      <w:proofErr w:type="gramEnd"/>
      <w:r w:rsidRPr="00856478">
        <w:rPr>
          <w:rFonts w:ascii="Book Antiqua" w:hAnsi="Book Antiqua" w:cs="Book Antiqua"/>
          <w:color w:val="auto"/>
          <w:lang w:val="es-PR"/>
        </w:rPr>
        <w:t xml:space="preserve"> de Hacienda, en o antes de quince (15) días luego de su aprobación, informar a la Asamblea Legislativa, a través de la respectiva Secretaría de cada Cuerpo, las gestiones llevadas a cabo para cumplir con los propósitos de esta Resolución Conjunta.</w:t>
      </w:r>
    </w:p>
    <w:p w14:paraId="304F3620" w14:textId="23B107E3" w:rsidR="00856478" w:rsidRPr="00856478" w:rsidRDefault="00856478" w:rsidP="00856478">
      <w:pPr>
        <w:pStyle w:val="Default"/>
        <w:spacing w:line="480" w:lineRule="auto"/>
        <w:ind w:firstLine="720"/>
        <w:jc w:val="both"/>
        <w:rPr>
          <w:rFonts w:ascii="Book Antiqua" w:hAnsi="Book Antiqua" w:cs="Book Antiqua"/>
          <w:color w:val="auto"/>
          <w:lang w:val="es-PR"/>
        </w:rPr>
      </w:pPr>
      <w:r w:rsidRPr="00856478">
        <w:rPr>
          <w:rFonts w:ascii="Book Antiqua" w:hAnsi="Book Antiqua" w:cs="Book Antiqua"/>
          <w:color w:val="auto"/>
          <w:lang w:val="es-PR"/>
        </w:rPr>
        <w:t xml:space="preserve">Sección </w:t>
      </w:r>
      <w:r w:rsidR="00506BE1">
        <w:rPr>
          <w:rFonts w:ascii="Book Antiqua" w:hAnsi="Book Antiqua" w:cs="Book Antiqua"/>
          <w:color w:val="auto"/>
          <w:lang w:val="es-PR"/>
        </w:rPr>
        <w:t>8</w:t>
      </w:r>
      <w:r w:rsidRPr="00856478">
        <w:rPr>
          <w:rFonts w:ascii="Book Antiqua" w:hAnsi="Book Antiqua" w:cs="Book Antiqua"/>
          <w:color w:val="auto"/>
          <w:lang w:val="es-PR"/>
        </w:rPr>
        <w:t xml:space="preserve">.- Se autoriza al </w:t>
      </w:r>
      <w:proofErr w:type="gramStart"/>
      <w:r w:rsidRPr="00856478">
        <w:rPr>
          <w:rFonts w:ascii="Book Antiqua" w:hAnsi="Book Antiqua" w:cs="Book Antiqua"/>
          <w:color w:val="auto"/>
          <w:lang w:val="es-PR"/>
        </w:rPr>
        <w:t>Secretario</w:t>
      </w:r>
      <w:proofErr w:type="gramEnd"/>
      <w:r w:rsidRPr="00856478">
        <w:rPr>
          <w:rFonts w:ascii="Book Antiqua" w:hAnsi="Book Antiqua" w:cs="Book Antiqua"/>
          <w:color w:val="auto"/>
          <w:lang w:val="es-PR"/>
        </w:rPr>
        <w:t xml:space="preserve"> de Hacienda a establecer mediante publicación de carácter general los mecanismos necesarios para implementar las disposiciones de esta Resolución Conjunta. Esta publicación deberá incluir, más no se limitará a: el establecimiento de un método de implementación que asegure la distribución equitativa de la suspensión temporal de este arbitrio para cada introductor y/o fabricante; la regulación de la transferencia de esta moratoria a través de las distintas etapas de la cadena de suplido hasta llegar a</w:t>
      </w:r>
      <w:r w:rsidR="00CA0168">
        <w:rPr>
          <w:rFonts w:ascii="Book Antiqua" w:hAnsi="Book Antiqua" w:cs="Book Antiqua"/>
          <w:color w:val="auto"/>
          <w:lang w:val="es-PR"/>
        </w:rPr>
        <w:t>l</w:t>
      </w:r>
      <w:r w:rsidRPr="00856478">
        <w:rPr>
          <w:rFonts w:ascii="Book Antiqua" w:hAnsi="Book Antiqua" w:cs="Book Antiqua"/>
          <w:color w:val="auto"/>
          <w:lang w:val="es-PR"/>
        </w:rPr>
        <w:t xml:space="preserve"> consumidor; y el correspondiente proceso de tasación a implementarse; entre otras disposiciones, con el objetivo de evitar cualquier competencia desleal entre mayoristas y minoristas y que la reducción de este arbitrio se refleje en el precio final que paga el consumidor.</w:t>
      </w:r>
    </w:p>
    <w:p w14:paraId="45A4D5A1" w14:textId="092F86D3" w:rsidR="00D24306" w:rsidRPr="00FA7D14" w:rsidRDefault="00506BE1" w:rsidP="00FA7D14">
      <w:pPr>
        <w:pStyle w:val="Default"/>
        <w:spacing w:line="480" w:lineRule="auto"/>
        <w:ind w:firstLine="720"/>
        <w:jc w:val="both"/>
        <w:rPr>
          <w:rFonts w:ascii="Book Antiqua" w:hAnsi="Book Antiqua" w:cs="Book Antiqua"/>
          <w:color w:val="auto"/>
          <w:lang w:val="es-ES_tradnl"/>
        </w:rPr>
      </w:pPr>
      <w:r>
        <w:rPr>
          <w:rFonts w:ascii="Book Antiqua" w:hAnsi="Book Antiqua" w:cs="Book Antiqua"/>
          <w:color w:val="auto"/>
          <w:lang w:val="es-ES_tradnl"/>
        </w:rPr>
        <w:t>Sección 9</w:t>
      </w:r>
      <w:r w:rsidR="00856478">
        <w:rPr>
          <w:rFonts w:ascii="Book Antiqua" w:hAnsi="Book Antiqua" w:cs="Book Antiqua"/>
          <w:color w:val="auto"/>
          <w:lang w:val="es-ES_tradnl"/>
        </w:rPr>
        <w:t xml:space="preserve">.- </w:t>
      </w:r>
      <w:r w:rsidR="00FA7D14" w:rsidRPr="00FA7D14">
        <w:rPr>
          <w:rFonts w:ascii="Book Antiqua" w:hAnsi="Book Antiqua" w:cs="Book Antiqua"/>
          <w:color w:val="auto"/>
          <w:lang w:val="es-ES_tradnl"/>
        </w:rPr>
        <w:t>Esta Resolución Conjunta comenzará a regir inmediatamente después</w:t>
      </w:r>
      <w:r w:rsidR="00FA7D14">
        <w:rPr>
          <w:rFonts w:ascii="Book Antiqua" w:hAnsi="Book Antiqua" w:cs="Book Antiqua"/>
          <w:color w:val="auto"/>
          <w:lang w:val="es-ES_tradnl"/>
        </w:rPr>
        <w:t xml:space="preserve"> de su aprobación.</w:t>
      </w:r>
    </w:p>
    <w:sectPr w:rsidR="00D24306" w:rsidRPr="00FA7D14" w:rsidSect="001B107F">
      <w:headerReference w:type="default" r:id="rId8"/>
      <w:pgSz w:w="12240" w:h="15840" w:code="1"/>
      <w:pgMar w:top="1440" w:right="1440" w:bottom="1440" w:left="1440" w:header="720"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B2924" w14:textId="77777777" w:rsidR="00EC72BA" w:rsidRDefault="00EC72BA" w:rsidP="00B9675F">
      <w:r>
        <w:separator/>
      </w:r>
    </w:p>
  </w:endnote>
  <w:endnote w:type="continuationSeparator" w:id="0">
    <w:p w14:paraId="6B4A1C3C" w14:textId="77777777" w:rsidR="00EC72BA" w:rsidRDefault="00EC72BA" w:rsidP="00B9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FD9E6" w14:textId="77777777" w:rsidR="00EC72BA" w:rsidRDefault="00EC72BA" w:rsidP="00B9675F">
      <w:r>
        <w:separator/>
      </w:r>
    </w:p>
  </w:footnote>
  <w:footnote w:type="continuationSeparator" w:id="0">
    <w:p w14:paraId="21F6BC0B" w14:textId="77777777" w:rsidR="00EC72BA" w:rsidRDefault="00EC72BA" w:rsidP="00B9675F">
      <w:r>
        <w:continuationSeparator/>
      </w:r>
    </w:p>
  </w:footnote>
  <w:footnote w:id="1">
    <w:p w14:paraId="5FF27F5D" w14:textId="68497A7D" w:rsidR="00A64BC3" w:rsidRDefault="00A64BC3">
      <w:pPr>
        <w:pStyle w:val="Textonotapie"/>
      </w:pPr>
      <w:r>
        <w:rPr>
          <w:rStyle w:val="Refdenotaalpie"/>
        </w:rPr>
        <w:footnoteRef/>
      </w:r>
      <w:r>
        <w:t xml:space="preserve"> </w:t>
      </w:r>
      <w:proofErr w:type="spellStart"/>
      <w:r>
        <w:t>Véase</w:t>
      </w:r>
      <w:proofErr w:type="spellEnd"/>
      <w:r>
        <w:t xml:space="preserve"> Preliminary Review of proposed Legislation – Senate Joint Resolution 240, March 23</w:t>
      </w:r>
      <w:r w:rsidRPr="00A64BC3">
        <w:rPr>
          <w:vertAlign w:val="superscript"/>
        </w:rPr>
        <w:t>rd</w:t>
      </w:r>
      <w:r>
        <w:t>, 2022</w:t>
      </w:r>
    </w:p>
  </w:footnote>
  <w:footnote w:id="2">
    <w:p w14:paraId="151CD2F8" w14:textId="3FBCFCD9" w:rsidR="00195A3D" w:rsidRPr="00195A3D" w:rsidRDefault="00195A3D" w:rsidP="00195A3D">
      <w:pPr>
        <w:pStyle w:val="Textonotapie"/>
        <w:jc w:val="both"/>
        <w:rPr>
          <w:lang w:val="es-PR"/>
        </w:rPr>
      </w:pPr>
      <w:r>
        <w:rPr>
          <w:rStyle w:val="Refdenotaalpie"/>
        </w:rPr>
        <w:footnoteRef/>
      </w:r>
      <w:r w:rsidRPr="00195A3D">
        <w:rPr>
          <w:lang w:val="es-PR"/>
        </w:rPr>
        <w:t xml:space="preserve"> Véase Memorial Explicativo</w:t>
      </w:r>
      <w:r>
        <w:rPr>
          <w:lang w:val="es-PR"/>
        </w:rPr>
        <w:t xml:space="preserve"> del P. de la C. 1014, </w:t>
      </w:r>
      <w:r w:rsidRPr="00195A3D">
        <w:rPr>
          <w:lang w:val="es-PR"/>
        </w:rPr>
        <w:t>Departamento de Hacienda, la Oficina de Gerencia y Presupuesto y la Autoridad de Asesoría Financiera y Agencia Fiscal</w:t>
      </w:r>
      <w:r>
        <w:rPr>
          <w:lang w:val="es-PR"/>
        </w:rPr>
        <w:t xml:space="preserve"> ante la Comisión de Hacienda de la Cámara de Representantes, 13 de enero de 2026.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E862C" w14:textId="139F7820" w:rsidR="00F2719B" w:rsidRDefault="00D9643B">
    <w:pPr>
      <w:pStyle w:val="Encabezado"/>
      <w:jc w:val="center"/>
    </w:pPr>
    <w:r>
      <w:fldChar w:fldCharType="begin"/>
    </w:r>
    <w:r>
      <w:instrText xml:space="preserve"> PAGE   \* MERGEFORMAT </w:instrText>
    </w:r>
    <w:r>
      <w:fldChar w:fldCharType="separate"/>
    </w:r>
    <w:r w:rsidR="002E7B5C">
      <w:rPr>
        <w:noProof/>
      </w:rPr>
      <w:t>2</w:t>
    </w:r>
    <w:r>
      <w:rPr>
        <w:noProof/>
      </w:rPr>
      <w:fldChar w:fldCharType="end"/>
    </w:r>
  </w:p>
  <w:p w14:paraId="0ECE2E96" w14:textId="77777777" w:rsidR="00F2719B" w:rsidRDefault="00F2719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7406"/>
    <w:multiLevelType w:val="hybridMultilevel"/>
    <w:tmpl w:val="A7526FDE"/>
    <w:lvl w:ilvl="0" w:tplc="2E168F02">
      <w:start w:val="1"/>
      <w:numFmt w:val="decimal"/>
      <w:lvlText w:val="%1."/>
      <w:lvlJc w:val="left"/>
      <w:pPr>
        <w:ind w:left="720" w:hanging="360"/>
      </w:pPr>
    </w:lvl>
    <w:lvl w:ilvl="1" w:tplc="EB886AE4">
      <w:start w:val="1"/>
      <w:numFmt w:val="lowerLetter"/>
      <w:lvlText w:val="%2."/>
      <w:lvlJc w:val="left"/>
      <w:pPr>
        <w:ind w:left="1440" w:hanging="360"/>
      </w:pPr>
    </w:lvl>
    <w:lvl w:ilvl="2" w:tplc="3182B382">
      <w:start w:val="1"/>
      <w:numFmt w:val="lowerRoman"/>
      <w:lvlText w:val="%3."/>
      <w:lvlJc w:val="right"/>
      <w:pPr>
        <w:ind w:left="2160" w:hanging="180"/>
      </w:pPr>
    </w:lvl>
    <w:lvl w:ilvl="3" w:tplc="F9F6F4BA">
      <w:start w:val="1"/>
      <w:numFmt w:val="decimal"/>
      <w:lvlText w:val="%4."/>
      <w:lvlJc w:val="left"/>
      <w:pPr>
        <w:ind w:left="2880" w:hanging="360"/>
      </w:pPr>
    </w:lvl>
    <w:lvl w:ilvl="4" w:tplc="20888894">
      <w:start w:val="1"/>
      <w:numFmt w:val="lowerLetter"/>
      <w:lvlText w:val="%5."/>
      <w:lvlJc w:val="left"/>
      <w:pPr>
        <w:ind w:left="3600" w:hanging="360"/>
      </w:pPr>
    </w:lvl>
    <w:lvl w:ilvl="5" w:tplc="324882E8">
      <w:start w:val="1"/>
      <w:numFmt w:val="lowerRoman"/>
      <w:lvlText w:val="%6."/>
      <w:lvlJc w:val="right"/>
      <w:pPr>
        <w:ind w:left="4320" w:hanging="180"/>
      </w:pPr>
    </w:lvl>
    <w:lvl w:ilvl="6" w:tplc="67DCD926">
      <w:start w:val="1"/>
      <w:numFmt w:val="decimal"/>
      <w:lvlText w:val="%7."/>
      <w:lvlJc w:val="left"/>
      <w:pPr>
        <w:ind w:left="5040" w:hanging="360"/>
      </w:pPr>
    </w:lvl>
    <w:lvl w:ilvl="7" w:tplc="2D129790">
      <w:start w:val="1"/>
      <w:numFmt w:val="lowerLetter"/>
      <w:lvlText w:val="%8."/>
      <w:lvlJc w:val="left"/>
      <w:pPr>
        <w:ind w:left="5760" w:hanging="360"/>
      </w:pPr>
    </w:lvl>
    <w:lvl w:ilvl="8" w:tplc="00C4C05C">
      <w:start w:val="1"/>
      <w:numFmt w:val="lowerRoman"/>
      <w:lvlText w:val="%9."/>
      <w:lvlJc w:val="right"/>
      <w:pPr>
        <w:ind w:left="6480" w:hanging="180"/>
      </w:pPr>
    </w:lvl>
  </w:abstractNum>
  <w:abstractNum w:abstractNumId="1" w15:restartNumberingAfterBreak="0">
    <w:nsid w:val="08D3443B"/>
    <w:multiLevelType w:val="hybridMultilevel"/>
    <w:tmpl w:val="59D0F132"/>
    <w:lvl w:ilvl="0" w:tplc="F0B2970E">
      <w:start w:val="1"/>
      <w:numFmt w:val="lowerLetter"/>
      <w:lvlText w:val="%1-"/>
      <w:lvlJc w:val="left"/>
      <w:pPr>
        <w:tabs>
          <w:tab w:val="num" w:pos="3240"/>
        </w:tabs>
        <w:ind w:left="3240" w:hanging="360"/>
      </w:pPr>
      <w:rPr>
        <w:rFonts w:hint="default"/>
      </w:rPr>
    </w:lvl>
    <w:lvl w:ilvl="1" w:tplc="04090019">
      <w:start w:val="1"/>
      <w:numFmt w:val="lowerLetter"/>
      <w:lvlText w:val="%2."/>
      <w:lvlJc w:val="left"/>
      <w:pPr>
        <w:tabs>
          <w:tab w:val="num" w:pos="3960"/>
        </w:tabs>
        <w:ind w:left="3960" w:hanging="360"/>
      </w:pPr>
    </w:lvl>
    <w:lvl w:ilvl="2" w:tplc="0409001B">
      <w:start w:val="1"/>
      <w:numFmt w:val="lowerRoman"/>
      <w:lvlText w:val="%3."/>
      <w:lvlJc w:val="right"/>
      <w:pPr>
        <w:tabs>
          <w:tab w:val="num" w:pos="4680"/>
        </w:tabs>
        <w:ind w:left="4680" w:hanging="180"/>
      </w:pPr>
    </w:lvl>
    <w:lvl w:ilvl="3" w:tplc="0409000F">
      <w:start w:val="1"/>
      <w:numFmt w:val="decimal"/>
      <w:lvlText w:val="%4."/>
      <w:lvlJc w:val="left"/>
      <w:pPr>
        <w:tabs>
          <w:tab w:val="num" w:pos="5400"/>
        </w:tabs>
        <w:ind w:left="5400" w:hanging="360"/>
      </w:pPr>
    </w:lvl>
    <w:lvl w:ilvl="4" w:tplc="04090019">
      <w:start w:val="1"/>
      <w:numFmt w:val="lowerLetter"/>
      <w:lvlText w:val="%5."/>
      <w:lvlJc w:val="left"/>
      <w:pPr>
        <w:tabs>
          <w:tab w:val="num" w:pos="6120"/>
        </w:tabs>
        <w:ind w:left="6120" w:hanging="360"/>
      </w:pPr>
    </w:lvl>
    <w:lvl w:ilvl="5" w:tplc="0409001B">
      <w:start w:val="1"/>
      <w:numFmt w:val="lowerRoman"/>
      <w:lvlText w:val="%6."/>
      <w:lvlJc w:val="right"/>
      <w:pPr>
        <w:tabs>
          <w:tab w:val="num" w:pos="6840"/>
        </w:tabs>
        <w:ind w:left="6840" w:hanging="180"/>
      </w:pPr>
    </w:lvl>
    <w:lvl w:ilvl="6" w:tplc="0409000F">
      <w:start w:val="1"/>
      <w:numFmt w:val="decimal"/>
      <w:lvlText w:val="%7."/>
      <w:lvlJc w:val="left"/>
      <w:pPr>
        <w:tabs>
          <w:tab w:val="num" w:pos="7560"/>
        </w:tabs>
        <w:ind w:left="7560" w:hanging="360"/>
      </w:pPr>
    </w:lvl>
    <w:lvl w:ilvl="7" w:tplc="04090019">
      <w:start w:val="1"/>
      <w:numFmt w:val="lowerLetter"/>
      <w:lvlText w:val="%8."/>
      <w:lvlJc w:val="left"/>
      <w:pPr>
        <w:tabs>
          <w:tab w:val="num" w:pos="8280"/>
        </w:tabs>
        <w:ind w:left="8280" w:hanging="360"/>
      </w:pPr>
    </w:lvl>
    <w:lvl w:ilvl="8" w:tplc="0409001B">
      <w:start w:val="1"/>
      <w:numFmt w:val="lowerRoman"/>
      <w:lvlText w:val="%9."/>
      <w:lvlJc w:val="right"/>
      <w:pPr>
        <w:tabs>
          <w:tab w:val="num" w:pos="9000"/>
        </w:tabs>
        <w:ind w:left="9000" w:hanging="180"/>
      </w:pPr>
    </w:lvl>
  </w:abstractNum>
  <w:abstractNum w:abstractNumId="2" w15:restartNumberingAfterBreak="0">
    <w:nsid w:val="11220722"/>
    <w:multiLevelType w:val="hybridMultilevel"/>
    <w:tmpl w:val="AB5087B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12E7508B"/>
    <w:multiLevelType w:val="hybridMultilevel"/>
    <w:tmpl w:val="4BA8C34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60B697A"/>
    <w:multiLevelType w:val="hybridMultilevel"/>
    <w:tmpl w:val="D2C09DA6"/>
    <w:lvl w:ilvl="0" w:tplc="3C6206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81E62FF"/>
    <w:multiLevelType w:val="hybridMultilevel"/>
    <w:tmpl w:val="212E65AE"/>
    <w:lvl w:ilvl="0" w:tplc="F64C8B18">
      <w:start w:val="1"/>
      <w:numFmt w:val="decimal"/>
      <w:lvlText w:val="%1."/>
      <w:lvlJc w:val="left"/>
      <w:pPr>
        <w:tabs>
          <w:tab w:val="num" w:pos="1440"/>
        </w:tabs>
        <w:ind w:left="1440" w:hanging="720"/>
      </w:pPr>
      <w:rPr>
        <w:rFonts w:hint="default"/>
      </w:rPr>
    </w:lvl>
    <w:lvl w:ilvl="1" w:tplc="A402903C">
      <w:start w:val="2"/>
      <w:numFmt w:val="upperLetter"/>
      <w:lvlText w:val="%2."/>
      <w:lvlJc w:val="left"/>
      <w:pPr>
        <w:tabs>
          <w:tab w:val="num" w:pos="2160"/>
        </w:tabs>
        <w:ind w:left="2160" w:hanging="720"/>
      </w:pPr>
      <w:rPr>
        <w:rFonts w:hint="default"/>
      </w:rPr>
    </w:lvl>
    <w:lvl w:ilvl="2" w:tplc="A458471E">
      <w:start w:val="11"/>
      <w:numFmt w:val="decimal"/>
      <w:lvlText w:val="%3."/>
      <w:lvlJc w:val="left"/>
      <w:pPr>
        <w:tabs>
          <w:tab w:val="num" w:pos="2700"/>
        </w:tabs>
        <w:ind w:left="2700" w:hanging="360"/>
      </w:pPr>
      <w:rPr>
        <w:rFonts w:hint="default"/>
      </w:rPr>
    </w:lvl>
    <w:lvl w:ilvl="3" w:tplc="04090017">
      <w:start w:val="1"/>
      <w:numFmt w:val="lowerLetter"/>
      <w:lvlText w:val="%4)"/>
      <w:lvlJc w:val="left"/>
      <w:pPr>
        <w:tabs>
          <w:tab w:val="num" w:pos="3240"/>
        </w:tabs>
        <w:ind w:left="3240" w:hanging="360"/>
      </w:pPr>
    </w:lvl>
    <w:lvl w:ilvl="4" w:tplc="3628FA9E">
      <w:start w:val="1"/>
      <w:numFmt w:val="lowerLetter"/>
      <w:lvlText w:val="%5-"/>
      <w:lvlJc w:val="left"/>
      <w:pPr>
        <w:tabs>
          <w:tab w:val="num" w:pos="3960"/>
        </w:tabs>
        <w:ind w:left="3960" w:hanging="360"/>
      </w:pPr>
      <w:rPr>
        <w:rFonts w:hint="default"/>
      </w:r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21ED30A3"/>
    <w:multiLevelType w:val="hybridMultilevel"/>
    <w:tmpl w:val="213AFF44"/>
    <w:lvl w:ilvl="0" w:tplc="8AA41FE8">
      <w:start w:val="1"/>
      <w:numFmt w:val="decimal"/>
      <w:lvlText w:val="%1)"/>
      <w:lvlJc w:val="left"/>
      <w:pPr>
        <w:tabs>
          <w:tab w:val="num" w:pos="2520"/>
        </w:tabs>
        <w:ind w:left="2520" w:hanging="360"/>
      </w:pPr>
      <w:rPr>
        <w:rFonts w:hint="default"/>
      </w:rPr>
    </w:lvl>
    <w:lvl w:ilvl="1" w:tplc="95F2D15E">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7" w15:restartNumberingAfterBreak="0">
    <w:nsid w:val="2950254D"/>
    <w:multiLevelType w:val="hybridMultilevel"/>
    <w:tmpl w:val="5106B490"/>
    <w:lvl w:ilvl="0" w:tplc="04090011">
      <w:start w:val="1"/>
      <w:numFmt w:val="decimal"/>
      <w:lvlText w:val="%1)"/>
      <w:lvlJc w:val="left"/>
      <w:pPr>
        <w:tabs>
          <w:tab w:val="num" w:pos="2880"/>
        </w:tabs>
        <w:ind w:left="2880" w:hanging="360"/>
      </w:pPr>
    </w:lvl>
    <w:lvl w:ilvl="1" w:tplc="97E80376">
      <w:start w:val="8"/>
      <w:numFmt w:val="lowerLetter"/>
      <w:lvlText w:val="%2."/>
      <w:lvlJc w:val="left"/>
      <w:pPr>
        <w:tabs>
          <w:tab w:val="num" w:pos="3960"/>
        </w:tabs>
        <w:ind w:left="3960" w:hanging="720"/>
      </w:pPr>
      <w:rPr>
        <w:rFonts w:hint="default"/>
      </w:r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8" w15:restartNumberingAfterBreak="0">
    <w:nsid w:val="47444E2D"/>
    <w:multiLevelType w:val="hybridMultilevel"/>
    <w:tmpl w:val="6ECAABDC"/>
    <w:lvl w:ilvl="0" w:tplc="E920393E">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9" w15:restartNumberingAfterBreak="0">
    <w:nsid w:val="4B0960BB"/>
    <w:multiLevelType w:val="hybridMultilevel"/>
    <w:tmpl w:val="A8E4D234"/>
    <w:lvl w:ilvl="0" w:tplc="DA1AAC9E">
      <w:start w:val="1"/>
      <w:numFmt w:val="decimal"/>
      <w:lvlText w:val="%1)"/>
      <w:lvlJc w:val="left"/>
      <w:pPr>
        <w:tabs>
          <w:tab w:val="num" w:pos="2520"/>
        </w:tabs>
        <w:ind w:left="2520" w:hanging="360"/>
      </w:pPr>
      <w:rPr>
        <w:rFonts w:hint="default"/>
      </w:rPr>
    </w:lvl>
    <w:lvl w:ilvl="1" w:tplc="44722CC2">
      <w:start w:val="1"/>
      <w:numFmt w:val="lowerLetter"/>
      <w:lvlText w:val="%2-"/>
      <w:lvlJc w:val="left"/>
      <w:pPr>
        <w:tabs>
          <w:tab w:val="num" w:pos="3240"/>
        </w:tabs>
        <w:ind w:left="3240" w:hanging="360"/>
      </w:pPr>
      <w:rPr>
        <w:rFonts w:hint="default"/>
      </w:rPr>
    </w:lvl>
    <w:lvl w:ilvl="2" w:tplc="C388CD94">
      <w:start w:val="1"/>
      <w:numFmt w:val="lowerLetter"/>
      <w:lvlText w:val="%3)"/>
      <w:lvlJc w:val="left"/>
      <w:pPr>
        <w:tabs>
          <w:tab w:val="num" w:pos="4140"/>
        </w:tabs>
        <w:ind w:left="4140" w:hanging="360"/>
      </w:pPr>
      <w:rPr>
        <w:rFonts w:hint="default"/>
      </w:r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0" w15:restartNumberingAfterBreak="0">
    <w:nsid w:val="56D204CA"/>
    <w:multiLevelType w:val="hybridMultilevel"/>
    <w:tmpl w:val="6E424868"/>
    <w:lvl w:ilvl="0" w:tplc="29AABA94">
      <w:start w:val="1"/>
      <w:numFmt w:val="decimal"/>
      <w:lvlText w:val="%1)"/>
      <w:lvlJc w:val="left"/>
      <w:pPr>
        <w:tabs>
          <w:tab w:val="num" w:pos="2520"/>
        </w:tabs>
        <w:ind w:left="2520" w:hanging="360"/>
      </w:pPr>
      <w:rPr>
        <w:rFonts w:hint="default"/>
      </w:rPr>
    </w:lvl>
    <w:lvl w:ilvl="1" w:tplc="1DB2A4FE">
      <w:start w:val="2"/>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1" w15:restartNumberingAfterBreak="0">
    <w:nsid w:val="56FD6BC7"/>
    <w:multiLevelType w:val="hybridMultilevel"/>
    <w:tmpl w:val="8B1E6504"/>
    <w:lvl w:ilvl="0" w:tplc="D47E7178">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2" w15:restartNumberingAfterBreak="0">
    <w:nsid w:val="5DD16A3D"/>
    <w:multiLevelType w:val="hybridMultilevel"/>
    <w:tmpl w:val="016E23DC"/>
    <w:lvl w:ilvl="0" w:tplc="10B42F82">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3" w15:restartNumberingAfterBreak="0">
    <w:nsid w:val="61A25D5E"/>
    <w:multiLevelType w:val="hybridMultilevel"/>
    <w:tmpl w:val="5336D80A"/>
    <w:lvl w:ilvl="0" w:tplc="04090017">
      <w:start w:val="1"/>
      <w:numFmt w:val="lowerLetter"/>
      <w:lvlText w:val="%1)"/>
      <w:lvlJc w:val="left"/>
      <w:pPr>
        <w:tabs>
          <w:tab w:val="num" w:pos="1080"/>
        </w:tabs>
        <w:ind w:left="1080" w:hanging="360"/>
      </w:pPr>
    </w:lvl>
    <w:lvl w:ilvl="1" w:tplc="45787A4C">
      <w:start w:val="1"/>
      <w:numFmt w:val="lowerLetter"/>
      <w:lvlText w:val="%2-"/>
      <w:lvlJc w:val="left"/>
      <w:pPr>
        <w:tabs>
          <w:tab w:val="num" w:pos="1800"/>
        </w:tabs>
        <w:ind w:left="1800" w:hanging="360"/>
      </w:pPr>
      <w:rPr>
        <w:rFonts w:hint="default"/>
      </w:rPr>
    </w:lvl>
    <w:lvl w:ilvl="2" w:tplc="13D4F766">
      <w:start w:val="5"/>
      <w:numFmt w:val="decimal"/>
      <w:lvlText w:val="%3)"/>
      <w:lvlJc w:val="left"/>
      <w:pPr>
        <w:tabs>
          <w:tab w:val="num" w:pos="2700"/>
        </w:tabs>
        <w:ind w:left="2700" w:hanging="360"/>
      </w:pPr>
      <w:rPr>
        <w:rFonts w:hint="default"/>
      </w:rPr>
    </w:lvl>
    <w:lvl w:ilvl="3" w:tplc="9E10758E">
      <w:start w:val="1"/>
      <w:numFmt w:val="low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645A177E"/>
    <w:multiLevelType w:val="hybridMultilevel"/>
    <w:tmpl w:val="5A3E7334"/>
    <w:lvl w:ilvl="0" w:tplc="A984D0E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6C327944"/>
    <w:multiLevelType w:val="hybridMultilevel"/>
    <w:tmpl w:val="25185E90"/>
    <w:lvl w:ilvl="0" w:tplc="4250834A">
      <w:start w:val="1"/>
      <w:numFmt w:val="decimal"/>
      <w:lvlText w:val="(%1)"/>
      <w:lvlJc w:val="left"/>
      <w:pPr>
        <w:tabs>
          <w:tab w:val="num" w:pos="2520"/>
        </w:tabs>
        <w:ind w:left="2520" w:hanging="10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6E446DD4"/>
    <w:multiLevelType w:val="hybridMultilevel"/>
    <w:tmpl w:val="D7CADD6A"/>
    <w:lvl w:ilvl="0" w:tplc="765071EC">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7" w15:restartNumberingAfterBreak="0">
    <w:nsid w:val="6F4D294A"/>
    <w:multiLevelType w:val="hybridMultilevel"/>
    <w:tmpl w:val="D6A073E0"/>
    <w:lvl w:ilvl="0" w:tplc="E80487EC">
      <w:start w:val="9"/>
      <w:numFmt w:val="lowerLetter"/>
      <w:lvlText w:val="%1)"/>
      <w:lvlJc w:val="left"/>
      <w:pPr>
        <w:tabs>
          <w:tab w:val="num" w:pos="2430"/>
        </w:tabs>
        <w:ind w:left="2430" w:hanging="99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15:restartNumberingAfterBreak="0">
    <w:nsid w:val="7146693C"/>
    <w:multiLevelType w:val="hybridMultilevel"/>
    <w:tmpl w:val="29760880"/>
    <w:lvl w:ilvl="0" w:tplc="0409000F">
      <w:start w:val="1"/>
      <w:numFmt w:val="decimal"/>
      <w:lvlText w:val="%1."/>
      <w:lvlJc w:val="left"/>
      <w:pPr>
        <w:tabs>
          <w:tab w:val="num" w:pos="1080"/>
        </w:tabs>
        <w:ind w:left="1080" w:hanging="360"/>
      </w:pPr>
    </w:lvl>
    <w:lvl w:ilvl="1" w:tplc="9CD07516">
      <w:start w:val="1"/>
      <w:numFmt w:val="lowerLetter"/>
      <w:lvlText w:val="%2."/>
      <w:lvlJc w:val="left"/>
      <w:pPr>
        <w:tabs>
          <w:tab w:val="num" w:pos="1800"/>
        </w:tabs>
        <w:ind w:left="1800" w:hanging="360"/>
      </w:pPr>
      <w:rPr>
        <w:rFonts w:hint="default"/>
      </w:rPr>
    </w:lvl>
    <w:lvl w:ilvl="2" w:tplc="A71EAE54">
      <w:start w:val="1"/>
      <w:numFmt w:val="decimal"/>
      <w:lvlText w:val="%3)"/>
      <w:lvlJc w:val="left"/>
      <w:pPr>
        <w:tabs>
          <w:tab w:val="num" w:pos="2700"/>
        </w:tabs>
        <w:ind w:left="2700" w:hanging="360"/>
      </w:pPr>
      <w:rPr>
        <w:rFonts w:hint="default"/>
      </w:rPr>
    </w:lvl>
    <w:lvl w:ilvl="3" w:tplc="C27CC0D0">
      <w:start w:val="1"/>
      <w:numFmt w:val="lowerLetter"/>
      <w:lvlText w:val="%4)"/>
      <w:lvlJc w:val="left"/>
      <w:pPr>
        <w:tabs>
          <w:tab w:val="num" w:pos="3240"/>
        </w:tabs>
        <w:ind w:left="3240" w:hanging="360"/>
      </w:pPr>
      <w:rPr>
        <w:rFonts w:hint="default"/>
      </w:rPr>
    </w:lvl>
    <w:lvl w:ilvl="4" w:tplc="04090011">
      <w:start w:val="1"/>
      <w:numFmt w:val="decimal"/>
      <w:lvlText w:val="%5)"/>
      <w:lvlJc w:val="left"/>
      <w:pPr>
        <w:tabs>
          <w:tab w:val="num" w:pos="3960"/>
        </w:tabs>
        <w:ind w:left="3960" w:hanging="360"/>
      </w:pPr>
    </w:lvl>
    <w:lvl w:ilvl="5" w:tplc="5186FBB6">
      <w:start w:val="1"/>
      <w:numFmt w:val="lowerLetter"/>
      <w:lvlText w:val="%6-"/>
      <w:lvlJc w:val="left"/>
      <w:pPr>
        <w:tabs>
          <w:tab w:val="num" w:pos="4860"/>
        </w:tabs>
        <w:ind w:left="4860" w:hanging="360"/>
      </w:pPr>
      <w:rPr>
        <w:rFonts w:hint="default"/>
      </w:r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9" w15:restartNumberingAfterBreak="0">
    <w:nsid w:val="73165A64"/>
    <w:multiLevelType w:val="hybridMultilevel"/>
    <w:tmpl w:val="6B8687B6"/>
    <w:lvl w:ilvl="0" w:tplc="2D90354A">
      <w:start w:val="1"/>
      <w:numFmt w:val="decimal"/>
      <w:lvlText w:val="%1)"/>
      <w:lvlJc w:val="left"/>
      <w:pPr>
        <w:tabs>
          <w:tab w:val="num" w:pos="2520"/>
        </w:tabs>
        <w:ind w:left="2520" w:hanging="360"/>
      </w:pPr>
      <w:rPr>
        <w:rFonts w:hint="default"/>
      </w:rPr>
    </w:lvl>
    <w:lvl w:ilvl="1" w:tplc="F320DBEA">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num w:numId="1" w16cid:durableId="881403221">
    <w:abstractNumId w:val="5"/>
  </w:num>
  <w:num w:numId="2" w16cid:durableId="1951544296">
    <w:abstractNumId w:val="18"/>
  </w:num>
  <w:num w:numId="3" w16cid:durableId="251672646">
    <w:abstractNumId w:val="14"/>
  </w:num>
  <w:num w:numId="4" w16cid:durableId="1057626481">
    <w:abstractNumId w:val="13"/>
  </w:num>
  <w:num w:numId="5" w16cid:durableId="1748577310">
    <w:abstractNumId w:val="9"/>
  </w:num>
  <w:num w:numId="6" w16cid:durableId="1914465206">
    <w:abstractNumId w:val="19"/>
  </w:num>
  <w:num w:numId="7" w16cid:durableId="522086685">
    <w:abstractNumId w:val="1"/>
  </w:num>
  <w:num w:numId="8" w16cid:durableId="1252616285">
    <w:abstractNumId w:val="6"/>
  </w:num>
  <w:num w:numId="9" w16cid:durableId="305430028">
    <w:abstractNumId w:val="11"/>
  </w:num>
  <w:num w:numId="10" w16cid:durableId="1361854915">
    <w:abstractNumId w:val="16"/>
  </w:num>
  <w:num w:numId="11" w16cid:durableId="1471483438">
    <w:abstractNumId w:val="10"/>
  </w:num>
  <w:num w:numId="12" w16cid:durableId="1242984681">
    <w:abstractNumId w:val="8"/>
  </w:num>
  <w:num w:numId="13" w16cid:durableId="1811971583">
    <w:abstractNumId w:val="12"/>
  </w:num>
  <w:num w:numId="14" w16cid:durableId="866017355">
    <w:abstractNumId w:val="7"/>
  </w:num>
  <w:num w:numId="15" w16cid:durableId="853958032">
    <w:abstractNumId w:val="17"/>
  </w:num>
  <w:num w:numId="16" w16cid:durableId="1067341058">
    <w:abstractNumId w:val="2"/>
  </w:num>
  <w:num w:numId="17" w16cid:durableId="1781103731">
    <w:abstractNumId w:val="15"/>
  </w:num>
  <w:num w:numId="18" w16cid:durableId="15273542">
    <w:abstractNumId w:val="0"/>
  </w:num>
  <w:num w:numId="19" w16cid:durableId="70322378">
    <w:abstractNumId w:val="3"/>
  </w:num>
  <w:num w:numId="20" w16cid:durableId="1397899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55F"/>
    <w:rsid w:val="000003C8"/>
    <w:rsid w:val="00000959"/>
    <w:rsid w:val="000018D0"/>
    <w:rsid w:val="000118F8"/>
    <w:rsid w:val="000141A9"/>
    <w:rsid w:val="00014FEB"/>
    <w:rsid w:val="00026E76"/>
    <w:rsid w:val="00035E9D"/>
    <w:rsid w:val="0003691E"/>
    <w:rsid w:val="000405DD"/>
    <w:rsid w:val="00040B6F"/>
    <w:rsid w:val="00041236"/>
    <w:rsid w:val="000419A6"/>
    <w:rsid w:val="00042AD7"/>
    <w:rsid w:val="00043A85"/>
    <w:rsid w:val="0005191B"/>
    <w:rsid w:val="0005551F"/>
    <w:rsid w:val="000677C6"/>
    <w:rsid w:val="000758D2"/>
    <w:rsid w:val="00096B6C"/>
    <w:rsid w:val="000A7A1B"/>
    <w:rsid w:val="000B76C0"/>
    <w:rsid w:val="000C12C4"/>
    <w:rsid w:val="000C45A8"/>
    <w:rsid w:val="000D3E6D"/>
    <w:rsid w:val="00100C8B"/>
    <w:rsid w:val="00104390"/>
    <w:rsid w:val="001308FB"/>
    <w:rsid w:val="00132A86"/>
    <w:rsid w:val="0014795C"/>
    <w:rsid w:val="00147D54"/>
    <w:rsid w:val="00147EAD"/>
    <w:rsid w:val="001517B7"/>
    <w:rsid w:val="00151884"/>
    <w:rsid w:val="00154982"/>
    <w:rsid w:val="00160CBF"/>
    <w:rsid w:val="00187ED4"/>
    <w:rsid w:val="001944B0"/>
    <w:rsid w:val="00195A3D"/>
    <w:rsid w:val="001B02FC"/>
    <w:rsid w:val="001B0467"/>
    <w:rsid w:val="001B046C"/>
    <w:rsid w:val="001B107F"/>
    <w:rsid w:val="001B30FC"/>
    <w:rsid w:val="001B6D82"/>
    <w:rsid w:val="001C5AEF"/>
    <w:rsid w:val="001C66C0"/>
    <w:rsid w:val="001E41C4"/>
    <w:rsid w:val="001E464F"/>
    <w:rsid w:val="001E7984"/>
    <w:rsid w:val="00210085"/>
    <w:rsid w:val="00210ADD"/>
    <w:rsid w:val="0021263F"/>
    <w:rsid w:val="0022254E"/>
    <w:rsid w:val="002228AA"/>
    <w:rsid w:val="00231C4F"/>
    <w:rsid w:val="00253583"/>
    <w:rsid w:val="00262A4B"/>
    <w:rsid w:val="0028242B"/>
    <w:rsid w:val="00283869"/>
    <w:rsid w:val="002869DE"/>
    <w:rsid w:val="00290084"/>
    <w:rsid w:val="00290504"/>
    <w:rsid w:val="00296925"/>
    <w:rsid w:val="002A3C77"/>
    <w:rsid w:val="002A4566"/>
    <w:rsid w:val="002A52F1"/>
    <w:rsid w:val="002D6A8C"/>
    <w:rsid w:val="002E24AD"/>
    <w:rsid w:val="002E4C70"/>
    <w:rsid w:val="002E7B5C"/>
    <w:rsid w:val="003119EE"/>
    <w:rsid w:val="003164D4"/>
    <w:rsid w:val="00321716"/>
    <w:rsid w:val="003225B9"/>
    <w:rsid w:val="0035645A"/>
    <w:rsid w:val="00357673"/>
    <w:rsid w:val="00357A33"/>
    <w:rsid w:val="003642A9"/>
    <w:rsid w:val="00367D43"/>
    <w:rsid w:val="00370E40"/>
    <w:rsid w:val="00386493"/>
    <w:rsid w:val="003A5FA1"/>
    <w:rsid w:val="003A720A"/>
    <w:rsid w:val="003B248B"/>
    <w:rsid w:val="003B3885"/>
    <w:rsid w:val="003C2E0A"/>
    <w:rsid w:val="003E3282"/>
    <w:rsid w:val="003E4015"/>
    <w:rsid w:val="003F6E8C"/>
    <w:rsid w:val="0041214E"/>
    <w:rsid w:val="00423ABA"/>
    <w:rsid w:val="00431CB2"/>
    <w:rsid w:val="0043498B"/>
    <w:rsid w:val="00444261"/>
    <w:rsid w:val="0045451F"/>
    <w:rsid w:val="00461150"/>
    <w:rsid w:val="00462E88"/>
    <w:rsid w:val="00471EC6"/>
    <w:rsid w:val="00474578"/>
    <w:rsid w:val="00477269"/>
    <w:rsid w:val="004958F6"/>
    <w:rsid w:val="004A3350"/>
    <w:rsid w:val="004B52BF"/>
    <w:rsid w:val="004C20D1"/>
    <w:rsid w:val="004C25A0"/>
    <w:rsid w:val="004C44DC"/>
    <w:rsid w:val="004D792E"/>
    <w:rsid w:val="004E6D84"/>
    <w:rsid w:val="004F1284"/>
    <w:rsid w:val="004F3BB1"/>
    <w:rsid w:val="0050390A"/>
    <w:rsid w:val="005043B7"/>
    <w:rsid w:val="00506BE1"/>
    <w:rsid w:val="00511C67"/>
    <w:rsid w:val="00522E75"/>
    <w:rsid w:val="00527FCA"/>
    <w:rsid w:val="00533311"/>
    <w:rsid w:val="005434EA"/>
    <w:rsid w:val="00546153"/>
    <w:rsid w:val="005607EC"/>
    <w:rsid w:val="0056695C"/>
    <w:rsid w:val="00591067"/>
    <w:rsid w:val="005B312C"/>
    <w:rsid w:val="005C0271"/>
    <w:rsid w:val="005D1ED6"/>
    <w:rsid w:val="00616DEA"/>
    <w:rsid w:val="006208C8"/>
    <w:rsid w:val="0062401A"/>
    <w:rsid w:val="00630DFA"/>
    <w:rsid w:val="00667E2A"/>
    <w:rsid w:val="00682831"/>
    <w:rsid w:val="00687F48"/>
    <w:rsid w:val="006A0FBC"/>
    <w:rsid w:val="006B6D4B"/>
    <w:rsid w:val="006B7AC6"/>
    <w:rsid w:val="006C5C41"/>
    <w:rsid w:val="006D7419"/>
    <w:rsid w:val="006E52A3"/>
    <w:rsid w:val="006E6081"/>
    <w:rsid w:val="007043D9"/>
    <w:rsid w:val="007222CE"/>
    <w:rsid w:val="00726A1F"/>
    <w:rsid w:val="007456B7"/>
    <w:rsid w:val="0074674C"/>
    <w:rsid w:val="00752604"/>
    <w:rsid w:val="00761E9F"/>
    <w:rsid w:val="00763807"/>
    <w:rsid w:val="0079114C"/>
    <w:rsid w:val="007973E1"/>
    <w:rsid w:val="007A45CA"/>
    <w:rsid w:val="007A6D7D"/>
    <w:rsid w:val="007C0C95"/>
    <w:rsid w:val="007C45BE"/>
    <w:rsid w:val="007E5F6B"/>
    <w:rsid w:val="007F2D0F"/>
    <w:rsid w:val="00810BE7"/>
    <w:rsid w:val="008139A6"/>
    <w:rsid w:val="00826D62"/>
    <w:rsid w:val="00844B41"/>
    <w:rsid w:val="00856478"/>
    <w:rsid w:val="008615F1"/>
    <w:rsid w:val="00865CB9"/>
    <w:rsid w:val="008802D3"/>
    <w:rsid w:val="0088062F"/>
    <w:rsid w:val="008A1A10"/>
    <w:rsid w:val="008A21A8"/>
    <w:rsid w:val="008B4882"/>
    <w:rsid w:val="008B4A0E"/>
    <w:rsid w:val="008C3002"/>
    <w:rsid w:val="008D254A"/>
    <w:rsid w:val="008E33AA"/>
    <w:rsid w:val="009159D7"/>
    <w:rsid w:val="00916F0D"/>
    <w:rsid w:val="00936BE3"/>
    <w:rsid w:val="00942D5B"/>
    <w:rsid w:val="00945E3D"/>
    <w:rsid w:val="00947A53"/>
    <w:rsid w:val="009660D3"/>
    <w:rsid w:val="009730A0"/>
    <w:rsid w:val="00990562"/>
    <w:rsid w:val="009908E2"/>
    <w:rsid w:val="009B1E9F"/>
    <w:rsid w:val="009B4C0C"/>
    <w:rsid w:val="009C6164"/>
    <w:rsid w:val="00A016D6"/>
    <w:rsid w:val="00A03458"/>
    <w:rsid w:val="00A04BCA"/>
    <w:rsid w:val="00A05267"/>
    <w:rsid w:val="00A11F73"/>
    <w:rsid w:val="00A1590B"/>
    <w:rsid w:val="00A35749"/>
    <w:rsid w:val="00A41047"/>
    <w:rsid w:val="00A50E70"/>
    <w:rsid w:val="00A605CF"/>
    <w:rsid w:val="00A64BC3"/>
    <w:rsid w:val="00A66123"/>
    <w:rsid w:val="00A86F65"/>
    <w:rsid w:val="00A87ECE"/>
    <w:rsid w:val="00AD0291"/>
    <w:rsid w:val="00B00544"/>
    <w:rsid w:val="00B0655F"/>
    <w:rsid w:val="00B149C4"/>
    <w:rsid w:val="00B178BC"/>
    <w:rsid w:val="00B44996"/>
    <w:rsid w:val="00B450DB"/>
    <w:rsid w:val="00B501BD"/>
    <w:rsid w:val="00B50693"/>
    <w:rsid w:val="00B61272"/>
    <w:rsid w:val="00B61AAF"/>
    <w:rsid w:val="00B66442"/>
    <w:rsid w:val="00B806F1"/>
    <w:rsid w:val="00B9675F"/>
    <w:rsid w:val="00BA3121"/>
    <w:rsid w:val="00BA410D"/>
    <w:rsid w:val="00BC0432"/>
    <w:rsid w:val="00BC549C"/>
    <w:rsid w:val="00BD1FBE"/>
    <w:rsid w:val="00BD5BED"/>
    <w:rsid w:val="00C034BC"/>
    <w:rsid w:val="00C1772F"/>
    <w:rsid w:val="00C531A8"/>
    <w:rsid w:val="00C61D1D"/>
    <w:rsid w:val="00C70E7B"/>
    <w:rsid w:val="00C7224A"/>
    <w:rsid w:val="00C86BA3"/>
    <w:rsid w:val="00C91979"/>
    <w:rsid w:val="00C960F3"/>
    <w:rsid w:val="00CA0168"/>
    <w:rsid w:val="00CC342E"/>
    <w:rsid w:val="00CC37EF"/>
    <w:rsid w:val="00CD1C66"/>
    <w:rsid w:val="00CE674B"/>
    <w:rsid w:val="00CE7A5A"/>
    <w:rsid w:val="00CF3E3A"/>
    <w:rsid w:val="00D24306"/>
    <w:rsid w:val="00D343BE"/>
    <w:rsid w:val="00D426A4"/>
    <w:rsid w:val="00D75323"/>
    <w:rsid w:val="00D815C4"/>
    <w:rsid w:val="00D83E0B"/>
    <w:rsid w:val="00D9643B"/>
    <w:rsid w:val="00DB3075"/>
    <w:rsid w:val="00DB30B9"/>
    <w:rsid w:val="00DD0EB0"/>
    <w:rsid w:val="00DD58B0"/>
    <w:rsid w:val="00E04A48"/>
    <w:rsid w:val="00E3478C"/>
    <w:rsid w:val="00E51631"/>
    <w:rsid w:val="00E669CF"/>
    <w:rsid w:val="00E713A8"/>
    <w:rsid w:val="00E94B0A"/>
    <w:rsid w:val="00EA040E"/>
    <w:rsid w:val="00EA4C74"/>
    <w:rsid w:val="00EC72BA"/>
    <w:rsid w:val="00EE7FB1"/>
    <w:rsid w:val="00F035EA"/>
    <w:rsid w:val="00F2719B"/>
    <w:rsid w:val="00F30C67"/>
    <w:rsid w:val="00F331A7"/>
    <w:rsid w:val="00F52567"/>
    <w:rsid w:val="00F551C8"/>
    <w:rsid w:val="00F649B2"/>
    <w:rsid w:val="00F677AA"/>
    <w:rsid w:val="00F70824"/>
    <w:rsid w:val="00F73DE8"/>
    <w:rsid w:val="00F930ED"/>
    <w:rsid w:val="00F94289"/>
    <w:rsid w:val="00F96602"/>
    <w:rsid w:val="00FA1303"/>
    <w:rsid w:val="00FA574C"/>
    <w:rsid w:val="00FA7D14"/>
    <w:rsid w:val="00FB150C"/>
    <w:rsid w:val="00FC035C"/>
    <w:rsid w:val="00FC2B39"/>
    <w:rsid w:val="00FC448C"/>
    <w:rsid w:val="00FE68D9"/>
    <w:rsid w:val="00FF64A6"/>
    <w:rsid w:val="059770E2"/>
    <w:rsid w:val="06258876"/>
    <w:rsid w:val="0A08CAE9"/>
    <w:rsid w:val="0CE9A833"/>
    <w:rsid w:val="0F3C0D05"/>
    <w:rsid w:val="0F560C10"/>
    <w:rsid w:val="0FB2B4FA"/>
    <w:rsid w:val="124D5132"/>
    <w:rsid w:val="13D70518"/>
    <w:rsid w:val="143AF485"/>
    <w:rsid w:val="1522C29F"/>
    <w:rsid w:val="1766AFD6"/>
    <w:rsid w:val="187CF97C"/>
    <w:rsid w:val="1D2E9848"/>
    <w:rsid w:val="1E36C2F5"/>
    <w:rsid w:val="2442367E"/>
    <w:rsid w:val="26B89DD9"/>
    <w:rsid w:val="27421F68"/>
    <w:rsid w:val="27D2D9C7"/>
    <w:rsid w:val="27EAF755"/>
    <w:rsid w:val="2A3A433D"/>
    <w:rsid w:val="2C5E504F"/>
    <w:rsid w:val="2CC44EC1"/>
    <w:rsid w:val="2DB0CCBB"/>
    <w:rsid w:val="2E52A925"/>
    <w:rsid w:val="34740F76"/>
    <w:rsid w:val="36D2184F"/>
    <w:rsid w:val="37F05CD2"/>
    <w:rsid w:val="3A27F3EE"/>
    <w:rsid w:val="3D33DA74"/>
    <w:rsid w:val="3D730EAD"/>
    <w:rsid w:val="3DBA243B"/>
    <w:rsid w:val="4139ADD7"/>
    <w:rsid w:val="445C4CF3"/>
    <w:rsid w:val="459F463B"/>
    <w:rsid w:val="45D7D9D4"/>
    <w:rsid w:val="4A08B361"/>
    <w:rsid w:val="4BF52A43"/>
    <w:rsid w:val="4E3E79F9"/>
    <w:rsid w:val="514F5E14"/>
    <w:rsid w:val="5185611E"/>
    <w:rsid w:val="51E16E5B"/>
    <w:rsid w:val="54EF3F07"/>
    <w:rsid w:val="5593A158"/>
    <w:rsid w:val="5B16F4CC"/>
    <w:rsid w:val="5D4758BF"/>
    <w:rsid w:val="6384A0D7"/>
    <w:rsid w:val="64A499F9"/>
    <w:rsid w:val="68690008"/>
    <w:rsid w:val="69A99006"/>
    <w:rsid w:val="6F697659"/>
    <w:rsid w:val="736F81E6"/>
    <w:rsid w:val="7784B49D"/>
    <w:rsid w:val="79230D30"/>
    <w:rsid w:val="7E750CE5"/>
    <w:rsid w:val="7F4D79FF"/>
    <w:rsid w:val="7FC50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66725A"/>
  <w15:docId w15:val="{05766756-3EC8-4D0E-B23E-11AB2013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55F"/>
    <w:rPr>
      <w:rFonts w:ascii="Times New Roman" w:hAnsi="Times New Roman"/>
      <w:sz w:val="24"/>
      <w:szCs w:val="24"/>
    </w:rPr>
  </w:style>
  <w:style w:type="paragraph" w:styleId="Ttulo4">
    <w:name w:val="heading 4"/>
    <w:basedOn w:val="Normal"/>
    <w:next w:val="Normal"/>
    <w:link w:val="Ttulo4Car"/>
    <w:uiPriority w:val="99"/>
    <w:qFormat/>
    <w:rsid w:val="00B0655F"/>
    <w:pPr>
      <w:keepNext/>
      <w:jc w:val="center"/>
      <w:outlineLvl w:val="3"/>
    </w:pPr>
    <w:rPr>
      <w:b/>
      <w:bCs/>
      <w:sz w:val="20"/>
      <w:szCs w:val="20"/>
      <w:lang w:val="es-ES_tradnl"/>
    </w:rPr>
  </w:style>
  <w:style w:type="paragraph" w:styleId="Ttulo5">
    <w:name w:val="heading 5"/>
    <w:basedOn w:val="Normal"/>
    <w:next w:val="Normal"/>
    <w:link w:val="Ttulo5Car"/>
    <w:uiPriority w:val="99"/>
    <w:qFormat/>
    <w:rsid w:val="00B0655F"/>
    <w:pPr>
      <w:keepNext/>
      <w:spacing w:before="120" w:after="120"/>
      <w:ind w:firstLine="360"/>
      <w:jc w:val="center"/>
      <w:outlineLvl w:val="4"/>
    </w:pPr>
    <w:rPr>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9"/>
    <w:rsid w:val="00B0655F"/>
    <w:rPr>
      <w:rFonts w:ascii="Times New Roman" w:hAnsi="Times New Roman" w:cs="Times New Roman"/>
      <w:b/>
      <w:bCs/>
      <w:sz w:val="20"/>
      <w:szCs w:val="20"/>
      <w:lang w:val="es-ES_tradnl"/>
    </w:rPr>
  </w:style>
  <w:style w:type="character" w:customStyle="1" w:styleId="Ttulo5Car">
    <w:name w:val="Título 5 Car"/>
    <w:basedOn w:val="Fuentedeprrafopredeter"/>
    <w:link w:val="Ttulo5"/>
    <w:uiPriority w:val="99"/>
    <w:rsid w:val="00B0655F"/>
    <w:rPr>
      <w:rFonts w:ascii="Times New Roman" w:hAnsi="Times New Roman" w:cs="Times New Roman"/>
      <w:sz w:val="20"/>
      <w:szCs w:val="20"/>
      <w:lang w:val="es-ES_tradnl"/>
    </w:rPr>
  </w:style>
  <w:style w:type="paragraph" w:styleId="Sangradetextonormal">
    <w:name w:val="Body Text Indent"/>
    <w:basedOn w:val="Normal"/>
    <w:link w:val="SangradetextonormalCar"/>
    <w:uiPriority w:val="99"/>
    <w:rsid w:val="00B0655F"/>
    <w:pPr>
      <w:suppressAutoHyphens/>
      <w:jc w:val="both"/>
    </w:pPr>
    <w:rPr>
      <w:spacing w:val="-3"/>
      <w:lang w:val="es-PR"/>
    </w:rPr>
  </w:style>
  <w:style w:type="character" w:customStyle="1" w:styleId="SangradetextonormalCar">
    <w:name w:val="Sangría de texto normal Car"/>
    <w:basedOn w:val="Fuentedeprrafopredeter"/>
    <w:link w:val="Sangradetextonormal"/>
    <w:uiPriority w:val="99"/>
    <w:rsid w:val="00B0655F"/>
    <w:rPr>
      <w:rFonts w:ascii="Times New Roman" w:hAnsi="Times New Roman" w:cs="Times New Roman"/>
      <w:spacing w:val="-3"/>
      <w:sz w:val="24"/>
      <w:szCs w:val="24"/>
      <w:lang w:val="es-PR"/>
    </w:rPr>
  </w:style>
  <w:style w:type="paragraph" w:styleId="Textosinformato">
    <w:name w:val="Plain Text"/>
    <w:basedOn w:val="Normal"/>
    <w:link w:val="TextosinformatoCar"/>
    <w:uiPriority w:val="99"/>
    <w:rsid w:val="00B0655F"/>
    <w:pPr>
      <w:widowControl w:val="0"/>
      <w:snapToGrid w:val="0"/>
    </w:pPr>
    <w:rPr>
      <w:rFonts w:ascii="Courier New" w:hAnsi="Courier New" w:cs="Courier New"/>
    </w:rPr>
  </w:style>
  <w:style w:type="character" w:customStyle="1" w:styleId="TextosinformatoCar">
    <w:name w:val="Texto sin formato Car"/>
    <w:basedOn w:val="Fuentedeprrafopredeter"/>
    <w:link w:val="Textosinformato"/>
    <w:uiPriority w:val="99"/>
    <w:rsid w:val="00B0655F"/>
    <w:rPr>
      <w:rFonts w:ascii="Courier New" w:hAnsi="Courier New" w:cs="Courier New"/>
      <w:sz w:val="24"/>
      <w:szCs w:val="24"/>
    </w:rPr>
  </w:style>
  <w:style w:type="paragraph" w:customStyle="1" w:styleId="Title2">
    <w:name w:val="Title2"/>
    <w:basedOn w:val="Normal"/>
    <w:next w:val="Normal"/>
    <w:uiPriority w:val="99"/>
    <w:rsid w:val="00B0655F"/>
    <w:pPr>
      <w:tabs>
        <w:tab w:val="left" w:pos="648"/>
        <w:tab w:val="right" w:pos="7776"/>
        <w:tab w:val="left" w:pos="7848"/>
      </w:tabs>
    </w:pPr>
  </w:style>
  <w:style w:type="paragraph" w:styleId="Encabezado">
    <w:name w:val="header"/>
    <w:basedOn w:val="Normal"/>
    <w:link w:val="EncabezadoCar"/>
    <w:uiPriority w:val="99"/>
    <w:rsid w:val="0021263F"/>
    <w:pPr>
      <w:tabs>
        <w:tab w:val="center" w:pos="4320"/>
        <w:tab w:val="right" w:pos="8640"/>
      </w:tabs>
    </w:pPr>
    <w:rPr>
      <w:sz w:val="20"/>
      <w:szCs w:val="20"/>
    </w:rPr>
  </w:style>
  <w:style w:type="character" w:customStyle="1" w:styleId="EncabezadoCar">
    <w:name w:val="Encabezado Car"/>
    <w:basedOn w:val="Fuentedeprrafopredeter"/>
    <w:link w:val="Encabezado"/>
    <w:uiPriority w:val="99"/>
    <w:rsid w:val="0021263F"/>
    <w:rPr>
      <w:rFonts w:ascii="Times New Roman" w:hAnsi="Times New Roman" w:cs="Times New Roman"/>
      <w:sz w:val="20"/>
      <w:szCs w:val="20"/>
    </w:rPr>
  </w:style>
  <w:style w:type="character" w:styleId="Nmerodepgina">
    <w:name w:val="page number"/>
    <w:basedOn w:val="Fuentedeprrafopredeter"/>
    <w:uiPriority w:val="99"/>
    <w:rsid w:val="0021263F"/>
  </w:style>
  <w:style w:type="character" w:styleId="Nmerodelnea">
    <w:name w:val="line number"/>
    <w:basedOn w:val="Fuentedeprrafopredeter"/>
    <w:uiPriority w:val="99"/>
    <w:semiHidden/>
    <w:rsid w:val="0035645A"/>
  </w:style>
  <w:style w:type="paragraph" w:styleId="Piedepgina">
    <w:name w:val="footer"/>
    <w:basedOn w:val="Normal"/>
    <w:link w:val="PiedepginaCar"/>
    <w:uiPriority w:val="99"/>
    <w:rsid w:val="00B9675F"/>
    <w:pPr>
      <w:tabs>
        <w:tab w:val="center" w:pos="4680"/>
        <w:tab w:val="right" w:pos="9360"/>
      </w:tabs>
    </w:pPr>
    <w:rPr>
      <w:sz w:val="20"/>
      <w:szCs w:val="20"/>
    </w:rPr>
  </w:style>
  <w:style w:type="character" w:customStyle="1" w:styleId="PiedepginaCar">
    <w:name w:val="Pie de página Car"/>
    <w:basedOn w:val="Fuentedeprrafopredeter"/>
    <w:link w:val="Piedepgina"/>
    <w:uiPriority w:val="99"/>
    <w:rsid w:val="00B9675F"/>
    <w:rPr>
      <w:rFonts w:ascii="Times New Roman" w:hAnsi="Times New Roman" w:cs="Times New Roman"/>
      <w:sz w:val="20"/>
      <w:szCs w:val="20"/>
    </w:rPr>
  </w:style>
  <w:style w:type="paragraph" w:styleId="Sangra3detindependiente">
    <w:name w:val="Body Text Indent 3"/>
    <w:basedOn w:val="Normal"/>
    <w:link w:val="Sangra3detindependienteCar"/>
    <w:uiPriority w:val="99"/>
    <w:semiHidden/>
    <w:rsid w:val="005434EA"/>
    <w:pPr>
      <w:spacing w:after="120"/>
      <w:ind w:left="360"/>
    </w:pPr>
    <w:rPr>
      <w:sz w:val="16"/>
      <w:szCs w:val="16"/>
    </w:rPr>
  </w:style>
  <w:style w:type="character" w:customStyle="1" w:styleId="Sangra3detindependienteCar">
    <w:name w:val="Sangría 3 de t. independiente Car"/>
    <w:basedOn w:val="Fuentedeprrafopredeter"/>
    <w:link w:val="Sangra3detindependiente"/>
    <w:uiPriority w:val="99"/>
    <w:semiHidden/>
    <w:rsid w:val="005434EA"/>
    <w:rPr>
      <w:rFonts w:ascii="Times New Roman" w:hAnsi="Times New Roman" w:cs="Times New Roman"/>
      <w:sz w:val="16"/>
      <w:szCs w:val="16"/>
    </w:rPr>
  </w:style>
  <w:style w:type="paragraph" w:customStyle="1" w:styleId="Default">
    <w:name w:val="Default"/>
    <w:uiPriority w:val="99"/>
    <w:rsid w:val="001E464F"/>
    <w:pPr>
      <w:autoSpaceDE w:val="0"/>
      <w:autoSpaceDN w:val="0"/>
      <w:adjustRightInd w:val="0"/>
    </w:pPr>
    <w:rPr>
      <w:rFonts w:ascii="Times New Roman" w:hAnsi="Times New Roman"/>
      <w:color w:val="000000"/>
      <w:sz w:val="24"/>
      <w:szCs w:val="24"/>
    </w:rPr>
  </w:style>
  <w:style w:type="paragraph" w:styleId="Textodeglobo">
    <w:name w:val="Balloon Text"/>
    <w:basedOn w:val="Normal"/>
    <w:link w:val="TextodegloboCar"/>
    <w:uiPriority w:val="99"/>
    <w:semiHidden/>
    <w:rsid w:val="0022254E"/>
    <w:rPr>
      <w:rFonts w:ascii="Tahoma" w:hAnsi="Tahoma" w:cs="Tahoma"/>
      <w:sz w:val="16"/>
      <w:szCs w:val="16"/>
    </w:rPr>
  </w:style>
  <w:style w:type="character" w:customStyle="1" w:styleId="TextodegloboCar">
    <w:name w:val="Texto de globo Car"/>
    <w:basedOn w:val="Fuentedeprrafopredeter"/>
    <w:link w:val="Textodeglobo"/>
    <w:uiPriority w:val="99"/>
    <w:semiHidden/>
    <w:rsid w:val="0022254E"/>
    <w:rPr>
      <w:rFonts w:ascii="Tahoma" w:hAnsi="Tahoma" w:cs="Tahoma"/>
      <w:sz w:val="16"/>
      <w:szCs w:val="16"/>
    </w:rPr>
  </w:style>
  <w:style w:type="character" w:styleId="Textodelmarcadordeposicin">
    <w:name w:val="Placeholder Text"/>
    <w:basedOn w:val="Fuentedeprrafopredeter"/>
    <w:uiPriority w:val="99"/>
    <w:semiHidden/>
    <w:rsid w:val="004D792E"/>
    <w:rPr>
      <w:color w:val="808080"/>
    </w:rPr>
  </w:style>
  <w:style w:type="character" w:styleId="Refdecomentario">
    <w:name w:val="annotation reference"/>
    <w:basedOn w:val="Fuentedeprrafopredeter"/>
    <w:uiPriority w:val="99"/>
    <w:semiHidden/>
    <w:unhideWhenUsed/>
    <w:rsid w:val="00210ADD"/>
    <w:rPr>
      <w:sz w:val="16"/>
      <w:szCs w:val="16"/>
    </w:rPr>
  </w:style>
  <w:style w:type="paragraph" w:styleId="Textocomentario">
    <w:name w:val="annotation text"/>
    <w:basedOn w:val="Normal"/>
    <w:link w:val="TextocomentarioCar"/>
    <w:uiPriority w:val="99"/>
    <w:semiHidden/>
    <w:unhideWhenUsed/>
    <w:rsid w:val="00210ADD"/>
    <w:rPr>
      <w:sz w:val="20"/>
      <w:szCs w:val="20"/>
    </w:rPr>
  </w:style>
  <w:style w:type="character" w:customStyle="1" w:styleId="TextocomentarioCar">
    <w:name w:val="Texto comentario Car"/>
    <w:basedOn w:val="Fuentedeprrafopredeter"/>
    <w:link w:val="Textocomentario"/>
    <w:uiPriority w:val="99"/>
    <w:semiHidden/>
    <w:rsid w:val="00210ADD"/>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210ADD"/>
    <w:rPr>
      <w:b/>
      <w:bCs/>
    </w:rPr>
  </w:style>
  <w:style w:type="character" w:customStyle="1" w:styleId="AsuntodelcomentarioCar">
    <w:name w:val="Asunto del comentario Car"/>
    <w:basedOn w:val="TextocomentarioCar"/>
    <w:link w:val="Asuntodelcomentario"/>
    <w:uiPriority w:val="99"/>
    <w:semiHidden/>
    <w:rsid w:val="00210ADD"/>
    <w:rPr>
      <w:rFonts w:ascii="Times New Roman" w:hAnsi="Times New Roman"/>
      <w:b/>
      <w:bCs/>
      <w:sz w:val="20"/>
      <w:szCs w:val="20"/>
    </w:rPr>
  </w:style>
  <w:style w:type="paragraph" w:styleId="Textonotapie">
    <w:name w:val="footnote text"/>
    <w:basedOn w:val="Normal"/>
    <w:link w:val="TextonotapieCar"/>
    <w:uiPriority w:val="99"/>
    <w:semiHidden/>
    <w:unhideWhenUsed/>
    <w:rsid w:val="00B00544"/>
    <w:rPr>
      <w:sz w:val="20"/>
      <w:szCs w:val="20"/>
    </w:rPr>
  </w:style>
  <w:style w:type="character" w:customStyle="1" w:styleId="TextonotapieCar">
    <w:name w:val="Texto nota pie Car"/>
    <w:basedOn w:val="Fuentedeprrafopredeter"/>
    <w:link w:val="Textonotapie"/>
    <w:uiPriority w:val="99"/>
    <w:semiHidden/>
    <w:rsid w:val="00B00544"/>
    <w:rPr>
      <w:rFonts w:ascii="Times New Roman" w:hAnsi="Times New Roman"/>
      <w:sz w:val="20"/>
      <w:szCs w:val="20"/>
    </w:rPr>
  </w:style>
  <w:style w:type="character" w:styleId="Refdenotaalpie">
    <w:name w:val="footnote reference"/>
    <w:basedOn w:val="Fuentedeprrafopredeter"/>
    <w:uiPriority w:val="99"/>
    <w:semiHidden/>
    <w:unhideWhenUsed/>
    <w:rsid w:val="00B00544"/>
    <w:rPr>
      <w:vertAlign w:val="superscript"/>
    </w:rPr>
  </w:style>
  <w:style w:type="paragraph" w:styleId="Prrafodelista">
    <w:name w:val="List Paragraph"/>
    <w:basedOn w:val="Normal"/>
    <w:uiPriority w:val="34"/>
    <w:qFormat/>
    <w:rsid w:val="00865CB9"/>
    <w:pPr>
      <w:ind w:left="720"/>
      <w:contextualSpacing/>
    </w:pPr>
  </w:style>
  <w:style w:type="paragraph" w:styleId="Textoindependiente">
    <w:name w:val="Body Text"/>
    <w:basedOn w:val="Normal"/>
    <w:link w:val="TextoindependienteCar"/>
    <w:uiPriority w:val="99"/>
    <w:semiHidden/>
    <w:unhideWhenUsed/>
    <w:rsid w:val="00FA7D14"/>
    <w:pPr>
      <w:spacing w:after="120"/>
    </w:pPr>
  </w:style>
  <w:style w:type="character" w:customStyle="1" w:styleId="TextoindependienteCar">
    <w:name w:val="Texto independiente Car"/>
    <w:basedOn w:val="Fuentedeprrafopredeter"/>
    <w:link w:val="Textoindependiente"/>
    <w:uiPriority w:val="99"/>
    <w:semiHidden/>
    <w:rsid w:val="00FA7D14"/>
    <w:rPr>
      <w:rFonts w:ascii="Times New Roman" w:hAnsi="Times New Roman"/>
      <w:sz w:val="24"/>
      <w:szCs w:val="24"/>
    </w:rPr>
  </w:style>
  <w:style w:type="paragraph" w:styleId="NormalWeb">
    <w:name w:val="Normal (Web)"/>
    <w:basedOn w:val="Normal"/>
    <w:uiPriority w:val="99"/>
    <w:semiHidden/>
    <w:unhideWhenUsed/>
    <w:rsid w:val="00322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6254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A5F10-1CA8-4EFD-A4AC-E8BF7DCF9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1651</Words>
  <Characters>8917</Characters>
  <Application>Microsoft Office Word</Application>
  <DocSecurity>0</DocSecurity>
  <Lines>159</Lines>
  <Paragraphs>31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 Company</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af</dc:creator>
  <cp:keywords/>
  <dc:description/>
  <cp:lastModifiedBy>Rocío Alayón Morell</cp:lastModifiedBy>
  <cp:revision>3</cp:revision>
  <cp:lastPrinted>2026-03-17T16:16:00Z</cp:lastPrinted>
  <dcterms:created xsi:type="dcterms:W3CDTF">2026-03-17T16:27:00Z</dcterms:created>
  <dcterms:modified xsi:type="dcterms:W3CDTF">2026-03-18T12:56:00Z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18d88b822651241d5bf7f287d51e793f2dbc3097c099e7ed6a5867b048d9bbd6</vt:lpwstr>
  </property>
</Properties>
</file>