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F8647" w14:textId="77777777" w:rsidR="00741E26" w:rsidRPr="00A00964"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r w:rsidRPr="00A00964">
        <w:rPr>
          <w:rFonts w:ascii="Book Antiqua" w:eastAsia="Times New Roman" w:hAnsi="Book Antiqua" w:cs="Times New Roman"/>
          <w:kern w:val="0"/>
          <w:sz w:val="28"/>
          <w:szCs w:val="28"/>
          <w:lang w:val="es-ES_tradnl"/>
          <w14:ligatures w14:val="none"/>
        </w:rPr>
        <w:t>GOBIERNO DE PUERTO RICO</w:t>
      </w:r>
    </w:p>
    <w:p w14:paraId="494F34D9"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p>
    <w:p w14:paraId="7EAB479D" w14:textId="18F7BF3B" w:rsidR="00741E26" w:rsidRPr="00E91372" w:rsidRDefault="00A00964" w:rsidP="00A00964">
      <w:pPr>
        <w:suppressLineNumbers/>
        <w:spacing w:after="0" w:line="240" w:lineRule="auto"/>
        <w:rPr>
          <w:rFonts w:ascii="Book Antiqua" w:eastAsia="Times New Roman" w:hAnsi="Book Antiqua" w:cs="Times New Roman"/>
          <w:kern w:val="0"/>
          <w:sz w:val="24"/>
          <w:szCs w:val="24"/>
          <w14:ligatures w14:val="none"/>
        </w:rPr>
      </w:pPr>
      <w:r w:rsidRPr="00E91372">
        <w:rPr>
          <w:rFonts w:ascii="Book Antiqua" w:eastAsia="Times New Roman" w:hAnsi="Book Antiqua" w:cs="Times New Roman"/>
          <w:kern w:val="0"/>
          <w:sz w:val="24"/>
          <w:szCs w:val="24"/>
          <w14:ligatures w14:val="none"/>
        </w:rPr>
        <w:t>20ma.</w:t>
      </w:r>
      <w:r w:rsidR="00741E26" w:rsidRPr="00E91372">
        <w:rPr>
          <w:rFonts w:ascii="Book Antiqua" w:eastAsia="Times New Roman" w:hAnsi="Book Antiqua" w:cs="Times New Roman"/>
          <w:kern w:val="0"/>
          <w:sz w:val="24"/>
          <w:szCs w:val="24"/>
          <w14:ligatures w14:val="none"/>
        </w:rPr>
        <w:tab/>
        <w:t>Asamblea</w:t>
      </w:r>
      <w:r w:rsidR="00741E26" w:rsidRPr="00E91372">
        <w:rPr>
          <w:rFonts w:ascii="Book Antiqua" w:eastAsia="Times New Roman" w:hAnsi="Book Antiqua" w:cs="Times New Roman"/>
          <w:kern w:val="0"/>
          <w:sz w:val="24"/>
          <w:szCs w:val="24"/>
          <w14:ligatures w14:val="none"/>
        </w:rPr>
        <w:tab/>
      </w:r>
      <w:r w:rsidRPr="00E91372">
        <w:rPr>
          <w:rFonts w:ascii="Book Antiqua" w:eastAsia="Times New Roman" w:hAnsi="Book Antiqua" w:cs="Times New Roman"/>
          <w:kern w:val="0"/>
          <w:sz w:val="24"/>
          <w:szCs w:val="24"/>
          <w14:ligatures w14:val="none"/>
        </w:rPr>
        <w:t xml:space="preserve">                                                                                                3ra. </w:t>
      </w:r>
      <w:r w:rsidR="00741E26" w:rsidRPr="00E91372">
        <w:rPr>
          <w:rFonts w:ascii="Book Antiqua" w:eastAsia="Times New Roman" w:hAnsi="Book Antiqua" w:cs="Times New Roman"/>
          <w:kern w:val="0"/>
          <w:sz w:val="24"/>
          <w:szCs w:val="24"/>
          <w14:ligatures w14:val="none"/>
        </w:rPr>
        <w:t>Sesión</w:t>
      </w:r>
    </w:p>
    <w:p w14:paraId="0BE749A0" w14:textId="4AC68F3E" w:rsidR="00741E26" w:rsidRPr="00E91372" w:rsidRDefault="00741E26" w:rsidP="00A00964">
      <w:pPr>
        <w:suppressLineNumbers/>
        <w:spacing w:after="0" w:line="240" w:lineRule="auto"/>
        <w:rPr>
          <w:rFonts w:ascii="Book Antiqua" w:eastAsia="Times New Roman" w:hAnsi="Book Antiqua" w:cs="Times New Roman"/>
          <w:kern w:val="0"/>
          <w:sz w:val="24"/>
          <w:szCs w:val="24"/>
          <w14:ligatures w14:val="none"/>
        </w:rPr>
      </w:pPr>
      <w:r w:rsidRPr="00E91372">
        <w:rPr>
          <w:rFonts w:ascii="Book Antiqua" w:eastAsia="Times New Roman" w:hAnsi="Book Antiqua" w:cs="Times New Roman"/>
          <w:kern w:val="0"/>
          <w:sz w:val="24"/>
          <w:szCs w:val="24"/>
          <w14:ligatures w14:val="none"/>
        </w:rPr>
        <w:tab/>
        <w:t>Legislativa</w:t>
      </w:r>
      <w:r w:rsidRPr="00E91372">
        <w:rPr>
          <w:rFonts w:ascii="Book Antiqua" w:eastAsia="Times New Roman" w:hAnsi="Book Antiqua" w:cs="Times New Roman"/>
          <w:kern w:val="0"/>
          <w:sz w:val="24"/>
          <w:szCs w:val="24"/>
          <w14:ligatures w14:val="none"/>
        </w:rPr>
        <w:tab/>
      </w:r>
      <w:r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r>
      <w:r w:rsidR="00A00964" w:rsidRPr="00E91372">
        <w:rPr>
          <w:rFonts w:ascii="Book Antiqua" w:eastAsia="Times New Roman" w:hAnsi="Book Antiqua" w:cs="Times New Roman"/>
          <w:kern w:val="0"/>
          <w:sz w:val="24"/>
          <w:szCs w:val="24"/>
          <w14:ligatures w14:val="none"/>
        </w:rPr>
        <w:tab/>
        <w:t xml:space="preserve">         </w:t>
      </w:r>
      <w:r w:rsidRPr="00E91372">
        <w:rPr>
          <w:rFonts w:ascii="Book Antiqua" w:eastAsia="Times New Roman" w:hAnsi="Book Antiqua" w:cs="Times New Roman"/>
          <w:kern w:val="0"/>
          <w:sz w:val="24"/>
          <w:szCs w:val="24"/>
          <w14:ligatures w14:val="none"/>
        </w:rPr>
        <w:t>Ordinaria</w:t>
      </w:r>
    </w:p>
    <w:p w14:paraId="43002EB4" w14:textId="77777777" w:rsidR="00741E26" w:rsidRPr="00E91372" w:rsidRDefault="00741E26" w:rsidP="00555760">
      <w:pPr>
        <w:suppressLineNumbers/>
        <w:spacing w:after="0" w:line="240" w:lineRule="auto"/>
        <w:rPr>
          <w:rFonts w:ascii="Book Antiqua" w:eastAsia="Times New Roman" w:hAnsi="Book Antiqua" w:cs="Times New Roman"/>
          <w:kern w:val="0"/>
          <w:sz w:val="24"/>
          <w:szCs w:val="24"/>
          <w14:ligatures w14:val="none"/>
        </w:rPr>
      </w:pPr>
    </w:p>
    <w:p w14:paraId="790C9657" w14:textId="77777777" w:rsidR="00741E26" w:rsidRPr="00741E26" w:rsidRDefault="00741E26" w:rsidP="00555760">
      <w:pPr>
        <w:suppressLineNumbers/>
        <w:spacing w:after="0" w:line="240" w:lineRule="auto"/>
        <w:jc w:val="center"/>
        <w:rPr>
          <w:rFonts w:ascii="Book Antiqua" w:eastAsia="Times New Roman" w:hAnsi="Book Antiqua" w:cs="Times New Roman"/>
          <w:b/>
          <w:kern w:val="0"/>
          <w:sz w:val="36"/>
          <w:szCs w:val="24"/>
          <w:lang w:val="es-ES_tradnl"/>
          <w14:ligatures w14:val="none"/>
        </w:rPr>
      </w:pPr>
      <w:r w:rsidRPr="00741E26">
        <w:rPr>
          <w:rFonts w:ascii="Book Antiqua" w:eastAsia="Times New Roman" w:hAnsi="Book Antiqua" w:cs="Times New Roman"/>
          <w:b/>
          <w:kern w:val="0"/>
          <w:sz w:val="36"/>
          <w:szCs w:val="24"/>
          <w:lang w:val="es-ES_tradnl"/>
          <w14:ligatures w14:val="none"/>
        </w:rPr>
        <w:t>C</w:t>
      </w:r>
      <w:r w:rsidRPr="00741E26">
        <w:rPr>
          <w:rFonts w:ascii="Book Antiqua" w:eastAsia="Times New Roman" w:hAnsi="Book Antiqua" w:cs="Times New Roman"/>
          <w:b/>
          <w:kern w:val="0"/>
          <w:sz w:val="36"/>
          <w:szCs w:val="24"/>
          <w14:ligatures w14:val="none"/>
        </w:rPr>
        <w:t>Á</w:t>
      </w:r>
      <w:r w:rsidRPr="00741E26">
        <w:rPr>
          <w:rFonts w:ascii="Book Antiqua" w:eastAsia="Times New Roman" w:hAnsi="Book Antiqua" w:cs="Times New Roman"/>
          <w:b/>
          <w:kern w:val="0"/>
          <w:sz w:val="36"/>
          <w:szCs w:val="24"/>
          <w:lang w:val="es-ES_tradnl"/>
          <w14:ligatures w14:val="none"/>
        </w:rPr>
        <w:t>MARA DE REPRESENTANTES</w:t>
      </w:r>
    </w:p>
    <w:p w14:paraId="72F07778"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p>
    <w:p w14:paraId="0E243E24" w14:textId="13E9DE05" w:rsidR="00741E26" w:rsidRPr="00741E26" w:rsidRDefault="00741E26" w:rsidP="00555760">
      <w:pPr>
        <w:suppressLineNumbers/>
        <w:spacing w:after="0" w:line="240" w:lineRule="auto"/>
        <w:jc w:val="center"/>
        <w:rPr>
          <w:rFonts w:ascii="Book Antiqua" w:eastAsia="Times New Roman" w:hAnsi="Book Antiqua" w:cs="Times New Roman"/>
          <w:b/>
          <w:kern w:val="0"/>
          <w:sz w:val="52"/>
          <w:szCs w:val="24"/>
          <w:lang w:val="es-ES_tradnl"/>
          <w14:ligatures w14:val="none"/>
        </w:rPr>
      </w:pPr>
      <w:r>
        <w:rPr>
          <w:rFonts w:ascii="Book Antiqua" w:eastAsia="Times New Roman" w:hAnsi="Book Antiqua" w:cs="Times New Roman"/>
          <w:b/>
          <w:kern w:val="0"/>
          <w:sz w:val="52"/>
          <w:szCs w:val="24"/>
          <w:lang w:val="es-ES_tradnl"/>
          <w14:ligatures w14:val="none"/>
        </w:rPr>
        <w:t>R</w:t>
      </w:r>
      <w:r w:rsidRPr="00741E26">
        <w:rPr>
          <w:rFonts w:ascii="Book Antiqua" w:eastAsia="Times New Roman" w:hAnsi="Book Antiqua" w:cs="Times New Roman"/>
          <w:b/>
          <w:kern w:val="0"/>
          <w:sz w:val="52"/>
          <w:szCs w:val="24"/>
          <w:lang w:val="es-ES_tradnl"/>
          <w14:ligatures w14:val="none"/>
        </w:rPr>
        <w:t>.</w:t>
      </w:r>
      <w:r>
        <w:rPr>
          <w:rFonts w:ascii="Book Antiqua" w:eastAsia="Times New Roman" w:hAnsi="Book Antiqua" w:cs="Times New Roman"/>
          <w:b/>
          <w:kern w:val="0"/>
          <w:sz w:val="52"/>
          <w:szCs w:val="24"/>
          <w:lang w:val="es-ES_tradnl"/>
          <w14:ligatures w14:val="none"/>
        </w:rPr>
        <w:t xml:space="preserve"> C.</w:t>
      </w:r>
      <w:r w:rsidRPr="00741E26">
        <w:rPr>
          <w:rFonts w:ascii="Book Antiqua" w:eastAsia="Times New Roman" w:hAnsi="Book Antiqua" w:cs="Times New Roman"/>
          <w:b/>
          <w:kern w:val="0"/>
          <w:sz w:val="52"/>
          <w:szCs w:val="24"/>
          <w:lang w:val="es-ES_tradnl"/>
          <w14:ligatures w14:val="none"/>
        </w:rPr>
        <w:t xml:space="preserve"> de la C. </w:t>
      </w:r>
      <w:r w:rsidR="009E40B1">
        <w:rPr>
          <w:rFonts w:ascii="Book Antiqua" w:eastAsia="Times New Roman" w:hAnsi="Book Antiqua" w:cs="Times New Roman"/>
          <w:b/>
          <w:kern w:val="0"/>
          <w:sz w:val="52"/>
          <w:szCs w:val="24"/>
          <w:lang w:val="es-ES_tradnl"/>
          <w14:ligatures w14:val="none"/>
        </w:rPr>
        <w:t>316</w:t>
      </w:r>
    </w:p>
    <w:p w14:paraId="1F70B52F"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p>
    <w:p w14:paraId="41E39834" w14:textId="4954351C" w:rsidR="00741E26" w:rsidRPr="00741E26" w:rsidRDefault="009E40B1"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r>
        <w:rPr>
          <w:rFonts w:ascii="Book Antiqua" w:eastAsia="Times New Roman" w:hAnsi="Book Antiqua" w:cs="Times New Roman"/>
          <w:kern w:val="0"/>
          <w:sz w:val="24"/>
          <w:szCs w:val="24"/>
          <w:lang w:val="es-ES_tradnl"/>
          <w14:ligatures w14:val="none"/>
        </w:rPr>
        <w:t xml:space="preserve">18 </w:t>
      </w:r>
      <w:r w:rsidR="00741E26" w:rsidRPr="00741E26">
        <w:rPr>
          <w:rFonts w:ascii="Book Antiqua" w:eastAsia="Times New Roman" w:hAnsi="Book Antiqua" w:cs="Times New Roman"/>
          <w:kern w:val="0"/>
          <w:sz w:val="24"/>
          <w:szCs w:val="24"/>
          <w:lang w:val="es-ES_tradnl"/>
          <w14:ligatures w14:val="none"/>
        </w:rPr>
        <w:t xml:space="preserve">DE </w:t>
      </w:r>
      <w:r w:rsidR="00741E26">
        <w:rPr>
          <w:rFonts w:ascii="Book Antiqua" w:eastAsia="Times New Roman" w:hAnsi="Book Antiqua" w:cs="Times New Roman"/>
          <w:kern w:val="0"/>
          <w:sz w:val="24"/>
          <w:szCs w:val="24"/>
          <w:lang w:val="es-ES_tradnl"/>
          <w14:ligatures w14:val="none"/>
        </w:rPr>
        <w:t>MARZO</w:t>
      </w:r>
      <w:r w:rsidR="00741E26" w:rsidRPr="00741E26">
        <w:rPr>
          <w:rFonts w:ascii="Book Antiqua" w:eastAsia="Times New Roman" w:hAnsi="Book Antiqua" w:cs="Times New Roman"/>
          <w:kern w:val="0"/>
          <w:sz w:val="24"/>
          <w:szCs w:val="24"/>
          <w:lang w:val="es-ES_tradnl"/>
          <w14:ligatures w14:val="none"/>
        </w:rPr>
        <w:t xml:space="preserve"> DE 2026</w:t>
      </w:r>
    </w:p>
    <w:p w14:paraId="5352CB58"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p>
    <w:p w14:paraId="2A4FE19C" w14:textId="2CA1604B" w:rsidR="00741E26" w:rsidRPr="00741E26" w:rsidRDefault="00741E26" w:rsidP="00555760">
      <w:pPr>
        <w:suppressLineNumbers/>
        <w:spacing w:after="0" w:line="240" w:lineRule="auto"/>
        <w:jc w:val="center"/>
        <w:rPr>
          <w:rFonts w:ascii="Book Antiqua" w:eastAsia="Times New Roman" w:hAnsi="Book Antiqua" w:cs="Times New Roman"/>
          <w:iCs/>
          <w:kern w:val="0"/>
          <w:sz w:val="24"/>
          <w:szCs w:val="20"/>
          <w:lang w:val="es-ES_tradnl"/>
          <w14:ligatures w14:val="none"/>
        </w:rPr>
      </w:pPr>
      <w:r w:rsidRPr="00741E26">
        <w:rPr>
          <w:rFonts w:ascii="Book Antiqua" w:eastAsia="Times New Roman" w:hAnsi="Book Antiqua" w:cs="Times New Roman"/>
          <w:kern w:val="0"/>
          <w:sz w:val="24"/>
          <w:szCs w:val="24"/>
          <w:lang w:val="es-ES_tradnl"/>
          <w14:ligatures w14:val="none"/>
        </w:rPr>
        <w:t>Presentad</w:t>
      </w:r>
      <w:r w:rsidR="00A00964">
        <w:rPr>
          <w:rFonts w:ascii="Book Antiqua" w:eastAsia="Times New Roman" w:hAnsi="Book Antiqua" w:cs="Times New Roman"/>
          <w:kern w:val="0"/>
          <w:sz w:val="24"/>
          <w:szCs w:val="24"/>
          <w:lang w:val="es-ES_tradnl"/>
          <w14:ligatures w14:val="none"/>
        </w:rPr>
        <w:t>a</w:t>
      </w:r>
      <w:r w:rsidRPr="00741E26">
        <w:rPr>
          <w:rFonts w:ascii="Book Antiqua" w:eastAsia="Times New Roman" w:hAnsi="Book Antiqua" w:cs="Times New Roman"/>
          <w:kern w:val="0"/>
          <w:sz w:val="24"/>
          <w:szCs w:val="24"/>
          <w:lang w:val="es-ES_tradnl"/>
          <w14:ligatures w14:val="none"/>
        </w:rPr>
        <w:t xml:space="preserve"> por la representante</w:t>
      </w:r>
      <w:r w:rsidRPr="00741E26">
        <w:rPr>
          <w:rFonts w:ascii="Book Antiqua" w:eastAsia="Times New Roman" w:hAnsi="Book Antiqua" w:cs="Times New Roman"/>
          <w:i/>
          <w:kern w:val="0"/>
          <w:sz w:val="24"/>
          <w:szCs w:val="24"/>
          <w:lang w:val="es-ES_tradnl"/>
          <w14:ligatures w14:val="none"/>
        </w:rPr>
        <w:t xml:space="preserve"> Pérez Ramírez</w:t>
      </w:r>
    </w:p>
    <w:p w14:paraId="558EF410"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p>
    <w:p w14:paraId="6835F435" w14:textId="58734726"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r w:rsidRPr="00741E26">
        <w:rPr>
          <w:rFonts w:ascii="Book Antiqua" w:eastAsia="Times New Roman" w:hAnsi="Book Antiqua" w:cs="Times New Roman"/>
          <w:kern w:val="0"/>
          <w:sz w:val="24"/>
          <w:szCs w:val="24"/>
          <w:lang w:val="es-ES_tradnl"/>
          <w14:ligatures w14:val="none"/>
        </w:rPr>
        <w:t>Referid</w:t>
      </w:r>
      <w:r w:rsidR="00A00964">
        <w:rPr>
          <w:rFonts w:ascii="Book Antiqua" w:eastAsia="Times New Roman" w:hAnsi="Book Antiqua" w:cs="Times New Roman"/>
          <w:kern w:val="0"/>
          <w:sz w:val="24"/>
          <w:szCs w:val="24"/>
          <w:lang w:val="es-ES_tradnl"/>
          <w14:ligatures w14:val="none"/>
        </w:rPr>
        <w:t>a</w:t>
      </w:r>
      <w:r w:rsidRPr="00741E26">
        <w:rPr>
          <w:rFonts w:ascii="Book Antiqua" w:eastAsia="Times New Roman" w:hAnsi="Book Antiqua" w:cs="Times New Roman"/>
          <w:kern w:val="0"/>
          <w:sz w:val="24"/>
          <w:szCs w:val="24"/>
          <w:lang w:val="es-ES_tradnl"/>
          <w14:ligatures w14:val="none"/>
        </w:rPr>
        <w:t xml:space="preserve"> a la Comisión de</w:t>
      </w:r>
      <w:r w:rsidR="00E91372">
        <w:rPr>
          <w:rFonts w:ascii="Book Antiqua" w:eastAsia="Times New Roman" w:hAnsi="Book Antiqua" w:cs="Times New Roman"/>
          <w:kern w:val="0"/>
          <w:sz w:val="24"/>
          <w:szCs w:val="24"/>
          <w:lang w:val="es-ES_tradnl"/>
          <w14:ligatures w14:val="none"/>
        </w:rPr>
        <w:t xml:space="preserve"> Hacienda</w:t>
      </w:r>
    </w:p>
    <w:p w14:paraId="78E692C1" w14:textId="77777777" w:rsidR="00741E26" w:rsidRPr="00741E26" w:rsidRDefault="00741E26" w:rsidP="00555760">
      <w:pPr>
        <w:suppressLineNumbers/>
        <w:spacing w:after="0" w:line="240" w:lineRule="auto"/>
        <w:jc w:val="both"/>
        <w:rPr>
          <w:rFonts w:ascii="Book Antiqua" w:eastAsia="Times New Roman" w:hAnsi="Book Antiqua" w:cs="Times New Roman"/>
          <w:kern w:val="0"/>
          <w:sz w:val="24"/>
          <w:szCs w:val="24"/>
          <w:lang w:val="es-ES_tradnl"/>
          <w14:ligatures w14:val="none"/>
        </w:rPr>
      </w:pPr>
    </w:p>
    <w:p w14:paraId="4098FFD5" w14:textId="06C559A0" w:rsidR="00741E26" w:rsidRPr="00A00964" w:rsidRDefault="00741E26" w:rsidP="00555760">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A00964">
        <w:rPr>
          <w:rFonts w:ascii="Book Antiqua" w:eastAsia="Times New Roman" w:hAnsi="Book Antiqua" w:cs="Times New Roman"/>
          <w:b/>
          <w:kern w:val="0"/>
          <w:sz w:val="28"/>
          <w:szCs w:val="28"/>
          <w:lang w:val="es-ES_tradnl"/>
          <w14:ligatures w14:val="none"/>
        </w:rPr>
        <w:t>RESOLUCIÓN CONJUNTA</w:t>
      </w:r>
    </w:p>
    <w:p w14:paraId="489B62D3"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_tradnl"/>
          <w14:ligatures w14:val="none"/>
        </w:rPr>
      </w:pPr>
    </w:p>
    <w:p w14:paraId="0C2B0755" w14:textId="16F1D1FC" w:rsidR="00741E26" w:rsidRPr="00741E26" w:rsidRDefault="00741E26" w:rsidP="00A00964">
      <w:pPr>
        <w:suppressLineNumbers/>
        <w:spacing w:after="0" w:line="240" w:lineRule="auto"/>
        <w:ind w:left="720" w:hanging="720"/>
        <w:jc w:val="both"/>
        <w:rPr>
          <w:rFonts w:ascii="Book Antiqua" w:eastAsia="Times New Roman" w:hAnsi="Book Antiqua" w:cs="Times New Roman"/>
          <w:kern w:val="0"/>
          <w:sz w:val="24"/>
          <w:szCs w:val="24"/>
          <w:lang w:val="es-ES"/>
          <w14:ligatures w14:val="none"/>
        </w:rPr>
      </w:pPr>
      <w:r w:rsidRPr="005F3117">
        <w:rPr>
          <w:rFonts w:ascii="Book Antiqua" w:eastAsia="Times New Roman" w:hAnsi="Book Antiqua" w:cs="Times New Roman"/>
          <w:kern w:val="0"/>
          <w:sz w:val="24"/>
          <w:szCs w:val="24"/>
          <w:lang w:val="es-ES"/>
          <w14:ligatures w14:val="none"/>
        </w:rPr>
        <w:t>Para</w:t>
      </w:r>
      <w:r w:rsidR="00F723F4" w:rsidRPr="005F3117">
        <w:rPr>
          <w:rFonts w:ascii="Book Antiqua" w:eastAsia="Times New Roman" w:hAnsi="Book Antiqua" w:cs="Times New Roman"/>
          <w:kern w:val="0"/>
          <w:sz w:val="24"/>
          <w:szCs w:val="24"/>
          <w:lang w:val="es-ES_tradnl"/>
          <w14:ligatures w14:val="none"/>
        </w:rPr>
        <w:t xml:space="preserve"> ordenar al Departamento de Hacienda a suspender temporalmente</w:t>
      </w:r>
      <w:r w:rsidR="00322645">
        <w:rPr>
          <w:rFonts w:ascii="Book Antiqua" w:eastAsia="Times New Roman" w:hAnsi="Book Antiqua" w:cs="Times New Roman"/>
          <w:kern w:val="0"/>
          <w:sz w:val="24"/>
          <w:szCs w:val="24"/>
          <w:lang w:val="es-ES_tradnl"/>
          <w14:ligatures w14:val="none"/>
        </w:rPr>
        <w:t xml:space="preserve"> a toda persona</w:t>
      </w:r>
      <w:r w:rsidR="0008632A">
        <w:rPr>
          <w:rFonts w:ascii="Book Antiqua" w:eastAsia="Times New Roman" w:hAnsi="Book Antiqua" w:cs="Times New Roman"/>
          <w:kern w:val="0"/>
          <w:sz w:val="24"/>
          <w:szCs w:val="24"/>
          <w:lang w:val="es-ES_tradnl"/>
          <w14:ligatures w14:val="none"/>
        </w:rPr>
        <w:t xml:space="preserve"> correspondiente</w:t>
      </w:r>
      <w:r w:rsidR="00322645">
        <w:rPr>
          <w:rFonts w:ascii="Book Antiqua" w:eastAsia="Times New Roman" w:hAnsi="Book Antiqua" w:cs="Times New Roman"/>
          <w:kern w:val="0"/>
          <w:sz w:val="24"/>
          <w:szCs w:val="24"/>
          <w:lang w:val="es-ES_tradnl"/>
          <w14:ligatures w14:val="none"/>
        </w:rPr>
        <w:t>,</w:t>
      </w:r>
      <w:r w:rsidR="00F723F4" w:rsidRPr="005F3117">
        <w:rPr>
          <w:rFonts w:ascii="Book Antiqua" w:eastAsia="Times New Roman" w:hAnsi="Book Antiqua" w:cs="Times New Roman"/>
          <w:kern w:val="0"/>
          <w:sz w:val="24"/>
          <w:szCs w:val="24"/>
          <w:lang w:val="es-ES_tradnl"/>
          <w14:ligatures w14:val="none"/>
        </w:rPr>
        <w:t xml:space="preserve"> </w:t>
      </w:r>
      <w:r w:rsidR="00322645" w:rsidRPr="005F3117">
        <w:rPr>
          <w:rFonts w:ascii="Book Antiqua" w:eastAsia="Times New Roman" w:hAnsi="Book Antiqua" w:cs="Times New Roman"/>
          <w:kern w:val="0"/>
          <w:sz w:val="24"/>
          <w:szCs w:val="24"/>
          <w:lang w:val="es-ES"/>
          <w14:ligatures w14:val="none"/>
        </w:rPr>
        <w:t xml:space="preserve">durante el período de </w:t>
      </w:r>
      <w:r w:rsidR="008D0A83">
        <w:rPr>
          <w:rFonts w:ascii="Book Antiqua" w:eastAsia="Times New Roman" w:hAnsi="Book Antiqua" w:cs="Times New Roman"/>
          <w:kern w:val="0"/>
          <w:sz w:val="24"/>
          <w:szCs w:val="24"/>
          <w:lang w:val="es-ES"/>
          <w14:ligatures w14:val="none"/>
        </w:rPr>
        <w:t>noventa</w:t>
      </w:r>
      <w:r w:rsidR="00322645" w:rsidRPr="005F3117">
        <w:rPr>
          <w:rFonts w:ascii="Book Antiqua" w:eastAsia="Times New Roman" w:hAnsi="Book Antiqua" w:cs="Times New Roman"/>
          <w:kern w:val="0"/>
          <w:sz w:val="24"/>
          <w:szCs w:val="24"/>
          <w:lang w:val="es-ES"/>
          <w14:ligatures w14:val="none"/>
        </w:rPr>
        <w:t xml:space="preserve"> (</w:t>
      </w:r>
      <w:r w:rsidR="008D0A83">
        <w:rPr>
          <w:rFonts w:ascii="Book Antiqua" w:eastAsia="Times New Roman" w:hAnsi="Book Antiqua" w:cs="Times New Roman"/>
          <w:kern w:val="0"/>
          <w:sz w:val="24"/>
          <w:szCs w:val="24"/>
          <w:lang w:val="es-ES"/>
          <w14:ligatures w14:val="none"/>
        </w:rPr>
        <w:t>9</w:t>
      </w:r>
      <w:r w:rsidR="00322645" w:rsidRPr="005F3117">
        <w:rPr>
          <w:rFonts w:ascii="Book Antiqua" w:eastAsia="Times New Roman" w:hAnsi="Book Antiqua" w:cs="Times New Roman"/>
          <w:kern w:val="0"/>
          <w:sz w:val="24"/>
          <w:szCs w:val="24"/>
          <w:lang w:val="es-ES"/>
          <w14:ligatures w14:val="none"/>
        </w:rPr>
        <w:t>0) días a partir de la aprobación de esta Resolución Conjunta,</w:t>
      </w:r>
      <w:r w:rsidR="00322645" w:rsidRPr="005F3117">
        <w:rPr>
          <w:rFonts w:ascii="Book Antiqua" w:eastAsia="Times New Roman" w:hAnsi="Book Antiqua" w:cs="Times New Roman"/>
          <w:kern w:val="0"/>
          <w:sz w:val="24"/>
          <w:szCs w:val="24"/>
          <w:lang w:val="es-ES_tradnl"/>
          <w14:ligatures w14:val="none"/>
        </w:rPr>
        <w:t xml:space="preserve"> el arbitrio sobre </w:t>
      </w:r>
      <w:r w:rsidR="00322645">
        <w:rPr>
          <w:rFonts w:ascii="Book Antiqua" w:eastAsia="Times New Roman" w:hAnsi="Book Antiqua" w:cs="Times New Roman"/>
          <w:kern w:val="0"/>
          <w:sz w:val="24"/>
          <w:szCs w:val="24"/>
          <w:lang w:val="es-ES_tradnl"/>
          <w14:ligatures w14:val="none"/>
        </w:rPr>
        <w:t xml:space="preserve">uso en Puerto Rico de </w:t>
      </w:r>
      <w:r w:rsidR="00322645" w:rsidRPr="005F3117">
        <w:rPr>
          <w:rFonts w:ascii="Book Antiqua" w:eastAsia="Times New Roman" w:hAnsi="Book Antiqua" w:cs="Times New Roman"/>
          <w:kern w:val="0"/>
          <w:sz w:val="24"/>
          <w:szCs w:val="24"/>
          <w:lang w:val="es-ES_tradnl"/>
          <w14:ligatures w14:val="none"/>
        </w:rPr>
        <w:t xml:space="preserve">petróleo crudo, productos parcialmente elaborados y productos terminados derivados del petróleo, establecido </w:t>
      </w:r>
      <w:r w:rsidR="00322645">
        <w:rPr>
          <w:rFonts w:ascii="Book Antiqua" w:eastAsia="Times New Roman" w:hAnsi="Book Antiqua" w:cs="Times New Roman"/>
          <w:kern w:val="0"/>
          <w:sz w:val="24"/>
          <w:szCs w:val="24"/>
          <w:lang w:val="es-ES_tradnl"/>
          <w14:ligatures w14:val="none"/>
        </w:rPr>
        <w:t>mediante las Secciones 3020.07 y</w:t>
      </w:r>
      <w:r w:rsidR="00322645" w:rsidRPr="005F3117">
        <w:rPr>
          <w:rFonts w:ascii="Book Antiqua" w:eastAsia="Times New Roman" w:hAnsi="Book Antiqua" w:cs="Times New Roman"/>
          <w:kern w:val="0"/>
          <w:sz w:val="24"/>
          <w:szCs w:val="24"/>
          <w:lang w:val="es-ES_tradnl"/>
          <w14:ligatures w14:val="none"/>
        </w:rPr>
        <w:t xml:space="preserve"> </w:t>
      </w:r>
      <w:r w:rsidR="00322645" w:rsidRPr="005F3117">
        <w:rPr>
          <w:rFonts w:ascii="Book Antiqua" w:eastAsia="Times New Roman" w:hAnsi="Book Antiqua" w:cs="Times New Roman"/>
          <w:kern w:val="0"/>
          <w:sz w:val="24"/>
          <w:szCs w:val="24"/>
          <w:lang w:val="es-ES"/>
          <w14:ligatures w14:val="none"/>
        </w:rPr>
        <w:t xml:space="preserve">3020.07A </w:t>
      </w:r>
      <w:r w:rsidR="00F723F4" w:rsidRPr="005F3117">
        <w:rPr>
          <w:rFonts w:ascii="Book Antiqua" w:eastAsia="Times New Roman" w:hAnsi="Book Antiqua" w:cs="Times New Roman"/>
          <w:kern w:val="0"/>
          <w:sz w:val="24"/>
          <w:szCs w:val="24"/>
          <w:lang w:val="es-ES_tradnl"/>
          <w14:ligatures w14:val="none"/>
        </w:rPr>
        <w:t>de la Ley Núm. 1-2011,</w:t>
      </w:r>
      <w:r w:rsidR="00856D2E">
        <w:rPr>
          <w:rFonts w:ascii="Book Antiqua" w:eastAsia="Times New Roman" w:hAnsi="Book Antiqua" w:cs="Times New Roman"/>
          <w:kern w:val="0"/>
          <w:sz w:val="24"/>
          <w:szCs w:val="24"/>
          <w:lang w:val="es-ES_tradnl"/>
          <w14:ligatures w14:val="none"/>
        </w:rPr>
        <w:t xml:space="preserve"> según enmendada, </w:t>
      </w:r>
      <w:r w:rsidR="00F723F4" w:rsidRPr="005F3117">
        <w:rPr>
          <w:rFonts w:ascii="Book Antiqua" w:eastAsia="Times New Roman" w:hAnsi="Book Antiqua" w:cs="Times New Roman"/>
          <w:kern w:val="0"/>
          <w:sz w:val="24"/>
          <w:szCs w:val="24"/>
          <w:lang w:val="es-ES_tradnl"/>
          <w14:ligatures w14:val="none"/>
        </w:rPr>
        <w:t xml:space="preserve">conocida como </w:t>
      </w:r>
      <w:r w:rsidR="00F723F4" w:rsidRPr="005F3117">
        <w:rPr>
          <w:rFonts w:ascii="Book Antiqua" w:eastAsia="Times New Roman" w:hAnsi="Book Antiqua" w:cs="Times New Roman"/>
          <w:kern w:val="0"/>
          <w:sz w:val="24"/>
          <w:szCs w:val="24"/>
          <w:lang w:val="es-ES"/>
          <w14:ligatures w14:val="none"/>
        </w:rPr>
        <w:t xml:space="preserve">“Código de Rentas Internas de Puerto Rico de 2011”, </w:t>
      </w:r>
      <w:r w:rsidR="00054C2B">
        <w:rPr>
          <w:rFonts w:ascii="Book Antiqua" w:eastAsia="Times New Roman" w:hAnsi="Book Antiqua" w:cs="Times New Roman"/>
          <w:kern w:val="0"/>
          <w:sz w:val="24"/>
          <w:szCs w:val="24"/>
          <w:lang w:val="es-ES"/>
          <w14:ligatures w14:val="none"/>
        </w:rPr>
        <w:t>como medida de alivio económico para la ciudadanía ante el aumento extraordinario en el precio del petróleo provocado por conflictos internacionales; reducir el costo de la gasolina, el diésel y el transporte en Puerto</w:t>
      </w:r>
      <w:r w:rsidR="00C5636A">
        <w:rPr>
          <w:rFonts w:ascii="Book Antiqua" w:eastAsia="Times New Roman" w:hAnsi="Book Antiqua" w:cs="Times New Roman"/>
          <w:kern w:val="0"/>
          <w:sz w:val="24"/>
          <w:szCs w:val="24"/>
          <w:lang w:val="es-ES"/>
          <w14:ligatures w14:val="none"/>
        </w:rPr>
        <w:t> </w:t>
      </w:r>
      <w:r w:rsidR="00054C2B">
        <w:rPr>
          <w:rFonts w:ascii="Book Antiqua" w:eastAsia="Times New Roman" w:hAnsi="Book Antiqua" w:cs="Times New Roman"/>
          <w:kern w:val="0"/>
          <w:sz w:val="24"/>
          <w:szCs w:val="24"/>
          <w:lang w:val="es-ES"/>
          <w14:ligatures w14:val="none"/>
        </w:rPr>
        <w:t xml:space="preserve">Rico; </w:t>
      </w:r>
      <w:r w:rsidR="00054C2B" w:rsidRPr="00FF25F2">
        <w:rPr>
          <w:rFonts w:ascii="Book Antiqua" w:eastAsia="Times New Roman" w:hAnsi="Book Antiqua" w:cs="Times New Roman"/>
          <w:kern w:val="0"/>
          <w:sz w:val="24"/>
          <w:szCs w:val="24"/>
          <w:lang w:val="es-ES"/>
          <w14:ligatures w14:val="none"/>
        </w:rPr>
        <w:t>y para otros fines relacionados</w:t>
      </w:r>
      <w:r w:rsidR="00054C2B">
        <w:rPr>
          <w:rFonts w:ascii="Book Antiqua" w:eastAsia="Times New Roman" w:hAnsi="Book Antiqua" w:cs="Times New Roman"/>
          <w:kern w:val="0"/>
          <w:sz w:val="24"/>
          <w:szCs w:val="24"/>
          <w:lang w:val="es-ES"/>
          <w14:ligatures w14:val="none"/>
        </w:rPr>
        <w:t>.</w:t>
      </w:r>
      <w:r w:rsidRPr="00741E26">
        <w:rPr>
          <w:rFonts w:ascii="Book Antiqua" w:eastAsia="Times New Roman" w:hAnsi="Book Antiqua" w:cs="Times New Roman"/>
          <w:kern w:val="0"/>
          <w:sz w:val="24"/>
          <w:szCs w:val="24"/>
          <w:lang w:val="es-ES"/>
          <w14:ligatures w14:val="none"/>
        </w:rPr>
        <w:t xml:space="preserve"> </w:t>
      </w:r>
    </w:p>
    <w:p w14:paraId="69C4F0B6"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
          <w14:ligatures w14:val="none"/>
        </w:rPr>
      </w:pPr>
    </w:p>
    <w:p w14:paraId="43537618" w14:textId="77777777" w:rsidR="00741E26" w:rsidRPr="00741E26" w:rsidRDefault="00741E26" w:rsidP="00555760">
      <w:pPr>
        <w:suppressLineNumbers/>
        <w:spacing w:after="0" w:line="240" w:lineRule="auto"/>
        <w:jc w:val="center"/>
        <w:rPr>
          <w:rFonts w:ascii="Book Antiqua" w:eastAsia="Times New Roman" w:hAnsi="Book Antiqua" w:cs="Times New Roman"/>
          <w:kern w:val="0"/>
          <w:sz w:val="24"/>
          <w:szCs w:val="24"/>
          <w:lang w:val="es-ES"/>
          <w14:ligatures w14:val="none"/>
        </w:rPr>
      </w:pPr>
      <w:r w:rsidRPr="00741E26">
        <w:rPr>
          <w:rFonts w:ascii="Book Antiqua" w:eastAsia="Times New Roman" w:hAnsi="Book Antiqua" w:cs="Times New Roman"/>
          <w:kern w:val="0"/>
          <w:sz w:val="24"/>
          <w:szCs w:val="24"/>
          <w:lang w:val="es-ES"/>
          <w14:ligatures w14:val="none"/>
        </w:rPr>
        <w:t>EXPOSICIÓN DE MOTIVOS</w:t>
      </w:r>
    </w:p>
    <w:p w14:paraId="73E659D9" w14:textId="77777777" w:rsidR="00741E26" w:rsidRPr="00741E26" w:rsidRDefault="00741E26" w:rsidP="00555760">
      <w:pPr>
        <w:suppressLineNumbers/>
        <w:spacing w:after="0" w:line="240" w:lineRule="auto"/>
        <w:jc w:val="both"/>
        <w:rPr>
          <w:rFonts w:ascii="Book Antiqua" w:eastAsia="Times New Roman" w:hAnsi="Book Antiqua" w:cs="Times New Roman"/>
          <w:kern w:val="0"/>
          <w:sz w:val="24"/>
          <w:szCs w:val="24"/>
          <w:lang w:val="es-ES"/>
          <w14:ligatures w14:val="none"/>
        </w:rPr>
      </w:pPr>
    </w:p>
    <w:p w14:paraId="6AD7D366" w14:textId="77777777" w:rsidR="00FF25F2" w:rsidRDefault="00054C2B" w:rsidP="00555760">
      <w:pPr>
        <w:suppressLineNumbers/>
        <w:spacing w:after="0" w:line="240" w:lineRule="auto"/>
        <w:ind w:firstLine="446"/>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 xml:space="preserve">El costo de vida en Puerto Rico continúa aumentando a niveles que afectan directamente la estabilidad económica de las familias trabajadoras. Uno de los factores que más presiona el presupuesto familiar es el precio de los combustibles. La gasolina y el diésel no solo afectan al conductor que llena su tanque cada semana. También impactan el costo de prácticamente todo lo que consumimos diariamente. Cuando sube el combustible, </w:t>
      </w:r>
      <w:r w:rsidR="00CD6F58" w:rsidRPr="006B7A6C">
        <w:rPr>
          <w:rFonts w:ascii="Book Antiqua" w:eastAsia="Times New Roman" w:hAnsi="Book Antiqua" w:cs="Times New Roman"/>
          <w:kern w:val="0"/>
          <w:sz w:val="24"/>
          <w:szCs w:val="24"/>
          <w:lang w:val="es-ES"/>
          <w14:ligatures w14:val="none"/>
        </w:rPr>
        <w:t>incrementa</w:t>
      </w:r>
      <w:r>
        <w:rPr>
          <w:rFonts w:ascii="Book Antiqua" w:eastAsia="Times New Roman" w:hAnsi="Book Antiqua" w:cs="Times New Roman"/>
          <w:kern w:val="0"/>
          <w:sz w:val="24"/>
          <w:szCs w:val="24"/>
          <w:lang w:val="es-ES"/>
          <w14:ligatures w14:val="none"/>
        </w:rPr>
        <w:t xml:space="preserve"> el precio de los alimentos, el transporte, los servicios y los productos básicos.</w:t>
      </w:r>
      <w:r w:rsidR="00CF6DA6">
        <w:rPr>
          <w:rFonts w:ascii="Book Antiqua" w:eastAsia="Times New Roman" w:hAnsi="Book Antiqua" w:cs="Times New Roman"/>
          <w:kern w:val="0"/>
          <w:sz w:val="24"/>
          <w:szCs w:val="24"/>
          <w:lang w:val="es-ES"/>
          <w14:ligatures w14:val="none"/>
        </w:rPr>
        <w:t xml:space="preserve"> </w:t>
      </w:r>
      <w:r>
        <w:rPr>
          <w:rFonts w:ascii="Book Antiqua" w:eastAsia="Times New Roman" w:hAnsi="Book Antiqua" w:cs="Times New Roman"/>
          <w:kern w:val="0"/>
          <w:sz w:val="24"/>
          <w:szCs w:val="24"/>
          <w:lang w:val="es-ES"/>
          <w14:ligatures w14:val="none"/>
        </w:rPr>
        <w:t>Puerto Rico es particularmente vulnerable a estas fluctuaciones porque depende casi totalmente del petróleo importado. Cualquier crisis internacional que afecte la producción o distribución de petróleo tiene un efecto inmediato en la economía de la Isla.</w:t>
      </w:r>
    </w:p>
    <w:p w14:paraId="693C30D6" w14:textId="6839878C" w:rsidR="00054C2B" w:rsidRDefault="00054C2B" w:rsidP="00555760">
      <w:pPr>
        <w:suppressLineNumbers/>
        <w:spacing w:after="0" w:line="240" w:lineRule="auto"/>
        <w:ind w:firstLine="446"/>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lastRenderedPageBreak/>
        <w:t xml:space="preserve"> Los conflictos geopolíticos recientes en el Medio Oriente, incluyendo las tensiones militares con Irán, han provocado presiones significativas en los mercados energéticos</w:t>
      </w:r>
      <w:r w:rsidR="00CF6DA6">
        <w:rPr>
          <w:rFonts w:ascii="Book Antiqua" w:eastAsia="Times New Roman" w:hAnsi="Book Antiqua" w:cs="Times New Roman"/>
          <w:kern w:val="0"/>
          <w:sz w:val="24"/>
          <w:szCs w:val="24"/>
          <w:lang w:val="es-ES"/>
          <w14:ligatures w14:val="none"/>
        </w:rPr>
        <w:t xml:space="preserve"> mundiales. Históricamente, estas crisis han generado aumentos rápidos en el precio del petróleo, impactando directamente el costo de la gasolina. Sin embargo, en Puerto Rico el impacto es aún mayor debido a la existencia del arbitrio sobre </w:t>
      </w:r>
      <w:r w:rsidR="00FF25F2">
        <w:rPr>
          <w:rFonts w:ascii="Book Antiqua" w:eastAsia="Times New Roman" w:hAnsi="Book Antiqua" w:cs="Times New Roman"/>
          <w:kern w:val="0"/>
          <w:sz w:val="24"/>
          <w:szCs w:val="24"/>
          <w:lang w:val="es-ES"/>
          <w14:ligatures w14:val="none"/>
        </w:rPr>
        <w:t xml:space="preserve">uso en Puerto Rico de </w:t>
      </w:r>
      <w:r w:rsidR="00CF6DA6">
        <w:rPr>
          <w:rFonts w:ascii="Book Antiqua" w:eastAsia="Times New Roman" w:hAnsi="Book Antiqua" w:cs="Times New Roman"/>
          <w:kern w:val="0"/>
          <w:sz w:val="24"/>
          <w:szCs w:val="24"/>
          <w:lang w:val="es-ES"/>
          <w14:ligatures w14:val="none"/>
        </w:rPr>
        <w:t xml:space="preserve">petróleo crudo y </w:t>
      </w:r>
      <w:r w:rsidR="00CF6DA6" w:rsidRPr="00FF25F2">
        <w:rPr>
          <w:rFonts w:ascii="Book Antiqua" w:eastAsia="Times New Roman" w:hAnsi="Book Antiqua" w:cs="Times New Roman"/>
          <w:kern w:val="0"/>
          <w:sz w:val="24"/>
          <w:szCs w:val="24"/>
          <w:lang w:val="es-ES"/>
          <w14:ligatures w14:val="none"/>
        </w:rPr>
        <w:t>productos parcialmente elaborados y productos terminados derivados</w:t>
      </w:r>
      <w:r w:rsidR="00CF6DA6" w:rsidRPr="00054C2B">
        <w:rPr>
          <w:rFonts w:ascii="Book Antiqua" w:eastAsia="Times New Roman" w:hAnsi="Book Antiqua" w:cs="Times New Roman"/>
          <w:kern w:val="0"/>
          <w:sz w:val="24"/>
          <w:szCs w:val="24"/>
          <w:lang w:val="es-ES"/>
          <w14:ligatures w14:val="none"/>
        </w:rPr>
        <w:t xml:space="preserve"> </w:t>
      </w:r>
      <w:r w:rsidR="00CF6DA6" w:rsidRPr="00FF25F2">
        <w:rPr>
          <w:rFonts w:ascii="Book Antiqua" w:eastAsia="Times New Roman" w:hAnsi="Book Antiqua" w:cs="Times New Roman"/>
          <w:kern w:val="0"/>
          <w:sz w:val="24"/>
          <w:szCs w:val="24"/>
          <w:lang w:val="es-ES"/>
          <w14:ligatures w14:val="none"/>
        </w:rPr>
        <w:t>del petróleo y cualquier otra mezcla de hidrocarburos, conocido comúnmente como “la crudita”</w:t>
      </w:r>
      <w:r w:rsidR="00A03FAF" w:rsidRPr="00FF25F2">
        <w:rPr>
          <w:rFonts w:ascii="Book Antiqua" w:eastAsia="Times New Roman" w:hAnsi="Book Antiqua" w:cs="Times New Roman"/>
          <w:kern w:val="0"/>
          <w:sz w:val="24"/>
          <w:szCs w:val="24"/>
          <w:lang w:val="es-ES"/>
          <w14:ligatures w14:val="none"/>
        </w:rPr>
        <w:t>; lo que constituye</w:t>
      </w:r>
      <w:r w:rsidR="0017196B" w:rsidRPr="00FF25F2">
        <w:rPr>
          <w:rFonts w:ascii="Book Antiqua" w:eastAsia="Times New Roman" w:hAnsi="Book Antiqua" w:cs="Times New Roman"/>
          <w:kern w:val="0"/>
          <w:sz w:val="24"/>
          <w:szCs w:val="24"/>
          <w:lang w:val="es-ES"/>
          <w14:ligatures w14:val="none"/>
        </w:rPr>
        <w:t xml:space="preserve"> un impuesto</w:t>
      </w:r>
      <w:r w:rsidR="00CF6DA6" w:rsidRPr="00FF25F2">
        <w:rPr>
          <w:rFonts w:ascii="Book Antiqua" w:eastAsia="Times New Roman" w:hAnsi="Book Antiqua" w:cs="Times New Roman"/>
          <w:kern w:val="0"/>
          <w:sz w:val="24"/>
          <w:szCs w:val="24"/>
          <w:lang w:val="es-ES"/>
          <w14:ligatures w14:val="none"/>
        </w:rPr>
        <w:t xml:space="preserve"> </w:t>
      </w:r>
      <w:r w:rsidR="00A03FAF" w:rsidRPr="00FF25F2">
        <w:rPr>
          <w:rFonts w:ascii="Book Antiqua" w:eastAsia="Times New Roman" w:hAnsi="Book Antiqua" w:cs="Times New Roman"/>
          <w:kern w:val="0"/>
          <w:sz w:val="24"/>
          <w:szCs w:val="24"/>
          <w:lang w:val="es-ES"/>
          <w14:ligatures w14:val="none"/>
        </w:rPr>
        <w:t xml:space="preserve">añadido </w:t>
      </w:r>
      <w:r w:rsidR="0017196B" w:rsidRPr="00FF25F2">
        <w:rPr>
          <w:rFonts w:ascii="Book Antiqua" w:eastAsia="Times New Roman" w:hAnsi="Book Antiqua" w:cs="Times New Roman"/>
          <w:kern w:val="0"/>
          <w:sz w:val="24"/>
          <w:szCs w:val="24"/>
          <w:lang w:val="es-ES"/>
          <w14:ligatures w14:val="none"/>
        </w:rPr>
        <w:t xml:space="preserve">que incrementa el costo del combustible para todos los ciudadanos, </w:t>
      </w:r>
      <w:r w:rsidR="00CF6DA6" w:rsidRPr="00FF25F2">
        <w:rPr>
          <w:rFonts w:ascii="Book Antiqua" w:eastAsia="Times New Roman" w:hAnsi="Book Antiqua" w:cs="Times New Roman"/>
          <w:kern w:val="0"/>
          <w:sz w:val="24"/>
          <w:szCs w:val="24"/>
          <w:lang w:val="es-ES"/>
          <w14:ligatures w14:val="none"/>
        </w:rPr>
        <w:t>fijado mediante la</w:t>
      </w:r>
      <w:r w:rsidR="00FF25F2" w:rsidRPr="00FF25F2">
        <w:rPr>
          <w:rFonts w:ascii="Book Antiqua" w:eastAsia="Times New Roman" w:hAnsi="Book Antiqua" w:cs="Times New Roman"/>
          <w:kern w:val="0"/>
          <w:sz w:val="24"/>
          <w:szCs w:val="24"/>
          <w:lang w:val="es-ES"/>
          <w14:ligatures w14:val="none"/>
        </w:rPr>
        <w:t>s</w:t>
      </w:r>
      <w:r w:rsidR="00CF6DA6" w:rsidRPr="00FF25F2">
        <w:rPr>
          <w:rFonts w:ascii="Book Antiqua" w:eastAsia="Times New Roman" w:hAnsi="Book Antiqua" w:cs="Times New Roman"/>
          <w:kern w:val="0"/>
          <w:sz w:val="24"/>
          <w:szCs w:val="24"/>
          <w:lang w:val="es-ES"/>
          <w14:ligatures w14:val="none"/>
        </w:rPr>
        <w:t xml:space="preserve"> Secci</w:t>
      </w:r>
      <w:r w:rsidR="00FF25F2" w:rsidRPr="00FF25F2">
        <w:rPr>
          <w:rFonts w:ascii="Book Antiqua" w:eastAsia="Times New Roman" w:hAnsi="Book Antiqua" w:cs="Times New Roman"/>
          <w:kern w:val="0"/>
          <w:sz w:val="24"/>
          <w:szCs w:val="24"/>
          <w:lang w:val="es-ES"/>
          <w14:ligatures w14:val="none"/>
        </w:rPr>
        <w:t>ones</w:t>
      </w:r>
      <w:r w:rsidR="00CF6DA6" w:rsidRPr="00FF25F2">
        <w:rPr>
          <w:rFonts w:ascii="Book Antiqua" w:eastAsia="Times New Roman" w:hAnsi="Book Antiqua" w:cs="Times New Roman"/>
          <w:kern w:val="0"/>
          <w:sz w:val="24"/>
          <w:szCs w:val="24"/>
          <w:lang w:val="es-ES"/>
          <w14:ligatures w14:val="none"/>
        </w:rPr>
        <w:t xml:space="preserve"> </w:t>
      </w:r>
      <w:r w:rsidR="00FF25F2" w:rsidRPr="00FF25F2">
        <w:rPr>
          <w:rFonts w:ascii="Book Antiqua" w:eastAsia="Times New Roman" w:hAnsi="Book Antiqua" w:cs="Times New Roman"/>
          <w:kern w:val="0"/>
          <w:sz w:val="24"/>
          <w:szCs w:val="24"/>
          <w:lang w:val="es-ES"/>
          <w14:ligatures w14:val="none"/>
        </w:rPr>
        <w:t xml:space="preserve">3020.07 y </w:t>
      </w:r>
      <w:r w:rsidR="00CF6DA6" w:rsidRPr="00FF25F2">
        <w:rPr>
          <w:rFonts w:ascii="Book Antiqua" w:eastAsia="Times New Roman" w:hAnsi="Book Antiqua" w:cs="Times New Roman"/>
          <w:kern w:val="0"/>
          <w:sz w:val="24"/>
          <w:szCs w:val="24"/>
          <w:lang w:val="es-ES"/>
          <w14:ligatures w14:val="none"/>
        </w:rPr>
        <w:t>3020.07A de la Ley Núm. 1-2011, según enmendada</w:t>
      </w:r>
      <w:r w:rsidR="0017196B" w:rsidRPr="00FF25F2">
        <w:rPr>
          <w:rFonts w:ascii="Book Antiqua" w:eastAsia="Times New Roman" w:hAnsi="Book Antiqua" w:cs="Times New Roman"/>
          <w:kern w:val="0"/>
          <w:sz w:val="24"/>
          <w:szCs w:val="24"/>
          <w:lang w:val="es-ES"/>
          <w14:ligatures w14:val="none"/>
        </w:rPr>
        <w:t>, conocida como “Código de Rentas Internas de Puerto</w:t>
      </w:r>
      <w:r w:rsidR="00322645">
        <w:rPr>
          <w:rFonts w:ascii="Book Antiqua" w:eastAsia="Times New Roman" w:hAnsi="Book Antiqua" w:cs="Times New Roman"/>
          <w:kern w:val="0"/>
          <w:sz w:val="24"/>
          <w:szCs w:val="24"/>
          <w:lang w:val="es-ES"/>
          <w14:ligatures w14:val="none"/>
        </w:rPr>
        <w:t> </w:t>
      </w:r>
      <w:r w:rsidR="0017196B" w:rsidRPr="00FF25F2">
        <w:rPr>
          <w:rFonts w:ascii="Book Antiqua" w:eastAsia="Times New Roman" w:hAnsi="Book Antiqua" w:cs="Times New Roman"/>
          <w:kern w:val="0"/>
          <w:sz w:val="24"/>
          <w:szCs w:val="24"/>
          <w:lang w:val="es-ES"/>
          <w14:ligatures w14:val="none"/>
        </w:rPr>
        <w:t>Rico de 2011”</w:t>
      </w:r>
      <w:r w:rsidR="00CF6DA6" w:rsidRPr="00FF25F2">
        <w:rPr>
          <w:rFonts w:ascii="Book Antiqua" w:eastAsia="Times New Roman" w:hAnsi="Book Antiqua" w:cs="Times New Roman"/>
          <w:kern w:val="0"/>
          <w:sz w:val="24"/>
          <w:szCs w:val="24"/>
          <w:lang w:val="es-ES"/>
          <w14:ligatures w14:val="none"/>
        </w:rPr>
        <w:t>.</w:t>
      </w:r>
    </w:p>
    <w:p w14:paraId="22E77E01" w14:textId="77777777" w:rsidR="0017196B" w:rsidRDefault="0017196B" w:rsidP="00555760">
      <w:pPr>
        <w:suppressLineNumbers/>
        <w:spacing w:after="0" w:line="240" w:lineRule="auto"/>
        <w:ind w:firstLine="446"/>
        <w:jc w:val="both"/>
        <w:rPr>
          <w:rFonts w:ascii="Book Antiqua" w:eastAsia="Times New Roman" w:hAnsi="Book Antiqua" w:cs="Times New Roman"/>
          <w:kern w:val="0"/>
          <w:sz w:val="24"/>
          <w:szCs w:val="24"/>
          <w:lang w:val="es-ES"/>
          <w14:ligatures w14:val="none"/>
        </w:rPr>
      </w:pPr>
    </w:p>
    <w:p w14:paraId="23D30263" w14:textId="6330D6F9" w:rsidR="00741E26" w:rsidRPr="00741E26" w:rsidRDefault="0017196B" w:rsidP="00555760">
      <w:pPr>
        <w:suppressLineNumbers/>
        <w:spacing w:after="0" w:line="240" w:lineRule="auto"/>
        <w:ind w:firstLine="446"/>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 xml:space="preserve">No obstante, en momentos de crisis energética </w:t>
      </w:r>
      <w:r w:rsidRPr="00FF25F2">
        <w:rPr>
          <w:rFonts w:ascii="Book Antiqua" w:eastAsia="Times New Roman" w:hAnsi="Book Antiqua" w:cs="Times New Roman"/>
          <w:kern w:val="0"/>
          <w:sz w:val="24"/>
          <w:szCs w:val="24"/>
          <w:lang w:val="es-ES"/>
          <w14:ligatures w14:val="none"/>
        </w:rPr>
        <w:t xml:space="preserve">internacional, mantener impuestos adicionales sobre el combustible se convierte en una carga injusta para la ciudadanía. Cada aumento en el precio del combustible significa: </w:t>
      </w:r>
      <w:r w:rsidR="00A03FAF" w:rsidRPr="00FF25F2">
        <w:rPr>
          <w:rFonts w:ascii="Book Antiqua" w:eastAsia="Times New Roman" w:hAnsi="Book Antiqua" w:cs="Times New Roman"/>
          <w:kern w:val="0"/>
          <w:sz w:val="24"/>
          <w:szCs w:val="24"/>
          <w:lang w:val="es-ES"/>
          <w14:ligatures w14:val="none"/>
        </w:rPr>
        <w:t>más dinero para llenar el tanque, más dinero para comprar alimentos, más dinero para pagar servicios y menos dinero disponible para la familia. En términos simples, cuando sube la gasolina, aumenta todo. Por esta razón, la Asamblea Legislativa entiende que el Gobierno de Puerto Rico debe actuar con responsabilidad económica y sensibilidad social, implementando medidas temporeras que alivien el bolsillo de los ciudadanos. Suspender tempor</w:t>
      </w:r>
      <w:r w:rsidR="002309AB" w:rsidRPr="00FF25F2">
        <w:rPr>
          <w:rFonts w:ascii="Book Antiqua" w:eastAsia="Times New Roman" w:hAnsi="Book Antiqua" w:cs="Times New Roman"/>
          <w:kern w:val="0"/>
          <w:sz w:val="24"/>
          <w:szCs w:val="24"/>
          <w:lang w:val="es-ES"/>
          <w14:ligatures w14:val="none"/>
        </w:rPr>
        <w:t>almente</w:t>
      </w:r>
      <w:r w:rsidR="00A03FAF" w:rsidRPr="00FF25F2">
        <w:rPr>
          <w:rFonts w:ascii="Book Antiqua" w:eastAsia="Times New Roman" w:hAnsi="Book Antiqua" w:cs="Times New Roman"/>
          <w:kern w:val="0"/>
          <w:sz w:val="24"/>
          <w:szCs w:val="24"/>
          <w:lang w:val="es-ES"/>
          <w14:ligatures w14:val="none"/>
        </w:rPr>
        <w:t xml:space="preserve"> el arbitrio conocido como “la crudita” permitirá reducir el precio de la gasolina</w:t>
      </w:r>
      <w:r w:rsidR="00FF25F2">
        <w:rPr>
          <w:rFonts w:ascii="Book Antiqua" w:eastAsia="Times New Roman" w:hAnsi="Book Antiqua" w:cs="Times New Roman"/>
          <w:kern w:val="0"/>
          <w:sz w:val="24"/>
          <w:szCs w:val="24"/>
          <w:lang w:val="es-ES"/>
          <w14:ligatures w14:val="none"/>
        </w:rPr>
        <w:t xml:space="preserve">, </w:t>
      </w:r>
      <w:r w:rsidR="00426D26">
        <w:rPr>
          <w:rFonts w:ascii="Book Antiqua" w:eastAsia="Times New Roman" w:hAnsi="Book Antiqua" w:cs="Times New Roman"/>
          <w:kern w:val="0"/>
          <w:sz w:val="24"/>
          <w:szCs w:val="24"/>
          <w:lang w:val="es-ES"/>
          <w14:ligatures w14:val="none"/>
        </w:rPr>
        <w:t xml:space="preserve">además del </w:t>
      </w:r>
      <w:r w:rsidR="00FF25F2" w:rsidRPr="00426D26">
        <w:rPr>
          <w:rFonts w:ascii="Book Antiqua" w:eastAsia="Times New Roman" w:hAnsi="Book Antiqua" w:cs="Times New Roman"/>
          <w:kern w:val="0"/>
          <w:sz w:val="24"/>
          <w:szCs w:val="24"/>
          <w:lang w:val="es-ES"/>
          <w14:ligatures w14:val="none"/>
        </w:rPr>
        <w:t>gas licuado</w:t>
      </w:r>
      <w:r w:rsidR="00A03FAF" w:rsidRPr="00FF25F2">
        <w:rPr>
          <w:rFonts w:ascii="Book Antiqua" w:eastAsia="Times New Roman" w:hAnsi="Book Antiqua" w:cs="Times New Roman"/>
          <w:kern w:val="0"/>
          <w:sz w:val="24"/>
          <w:szCs w:val="24"/>
          <w:lang w:val="es-ES"/>
          <w14:ligatures w14:val="none"/>
        </w:rPr>
        <w:t xml:space="preserve"> y diésel,</w:t>
      </w:r>
      <w:r w:rsidR="00A03FAF">
        <w:rPr>
          <w:rFonts w:ascii="Book Antiqua" w:eastAsia="Times New Roman" w:hAnsi="Book Antiqua" w:cs="Times New Roman"/>
          <w:kern w:val="0"/>
          <w:sz w:val="24"/>
          <w:szCs w:val="24"/>
          <w:lang w:val="es-ES"/>
          <w14:ligatures w14:val="none"/>
        </w:rPr>
        <w:t xml:space="preserve"> aliviar el costo de vida y ofrecer un respir</w:t>
      </w:r>
      <w:r w:rsidR="000141AF">
        <w:rPr>
          <w:rFonts w:ascii="Book Antiqua" w:eastAsia="Times New Roman" w:hAnsi="Book Antiqua" w:cs="Times New Roman"/>
          <w:kern w:val="0"/>
          <w:sz w:val="24"/>
          <w:szCs w:val="24"/>
          <w:lang w:val="es-ES"/>
          <w14:ligatures w14:val="none"/>
        </w:rPr>
        <w:t>o económico a las familias puertorriqueñas mientras se estabilizan los mercados internacionales de energía. Esta medida representa un mecanismo de alivio económico inmediato para la ciudadanía, reconociendo que el pueblo no debe cargar con impuestos adicionales en medio de una crisis energética global. Cuando el mundo se enfrenta en una crisis energética, el gobierno debe actuar para proteger a su gente.</w:t>
      </w:r>
    </w:p>
    <w:p w14:paraId="710F5798" w14:textId="77777777" w:rsidR="00741E26" w:rsidRPr="00741E26" w:rsidRDefault="00741E26" w:rsidP="00555760">
      <w:pPr>
        <w:suppressLineNumbers/>
        <w:spacing w:after="0" w:line="240" w:lineRule="auto"/>
        <w:rPr>
          <w:rFonts w:ascii="Book Antiqua" w:eastAsia="Times New Roman" w:hAnsi="Book Antiqua" w:cs="Times New Roman"/>
          <w:b/>
          <w:bCs/>
          <w:i/>
          <w:kern w:val="0"/>
          <w:sz w:val="24"/>
          <w:szCs w:val="24"/>
          <w:lang w:val="es-ES"/>
          <w14:ligatures w14:val="none"/>
        </w:rPr>
      </w:pPr>
    </w:p>
    <w:p w14:paraId="74A054EE" w14:textId="4E5B6F5E" w:rsidR="00741E26" w:rsidRPr="00555760" w:rsidRDefault="00741E26" w:rsidP="00555760">
      <w:pPr>
        <w:suppressLineNumbers/>
        <w:spacing w:after="0" w:line="480" w:lineRule="auto"/>
        <w:rPr>
          <w:rFonts w:ascii="Book Antiqua" w:eastAsia="Times New Roman" w:hAnsi="Book Antiqua" w:cs="Times New Roman"/>
          <w:i/>
          <w:kern w:val="0"/>
          <w:sz w:val="24"/>
          <w:szCs w:val="24"/>
          <w:lang w:val="es-ES"/>
          <w14:ligatures w14:val="none"/>
        </w:rPr>
      </w:pPr>
      <w:r w:rsidRPr="00555760">
        <w:rPr>
          <w:rFonts w:ascii="Book Antiqua" w:eastAsia="Times New Roman" w:hAnsi="Book Antiqua" w:cs="Times New Roman"/>
          <w:i/>
          <w:kern w:val="0"/>
          <w:sz w:val="24"/>
          <w:szCs w:val="24"/>
          <w:lang w:val="es-ES"/>
          <w14:ligatures w14:val="none"/>
        </w:rPr>
        <w:t>RESUÉLVESE POR LA ASAMBLEA LEGISLATIVA DE PUERTO RICO:</w:t>
      </w:r>
    </w:p>
    <w:p w14:paraId="1F1DD4FD" w14:textId="6EE60FF9" w:rsidR="00A57EEA" w:rsidRPr="005F3117" w:rsidRDefault="00741E26" w:rsidP="00741E26">
      <w:pPr>
        <w:spacing w:after="0" w:line="480" w:lineRule="auto"/>
        <w:ind w:firstLine="720"/>
        <w:jc w:val="both"/>
        <w:rPr>
          <w:rFonts w:ascii="Book Antiqua" w:eastAsia="Times New Roman" w:hAnsi="Book Antiqua" w:cs="Times New Roman"/>
          <w:color w:val="000000"/>
          <w:kern w:val="0"/>
          <w:sz w:val="24"/>
          <w:szCs w:val="24"/>
          <w:lang w:val="es-ES_tradnl"/>
          <w14:ligatures w14:val="none"/>
        </w:rPr>
      </w:pPr>
      <w:bookmarkStart w:id="0" w:name="_Hlk216082606"/>
      <w:r w:rsidRPr="005F3117">
        <w:rPr>
          <w:rFonts w:ascii="Book Antiqua" w:eastAsia="Times New Roman" w:hAnsi="Book Antiqua" w:cs="Times New Roman"/>
          <w:color w:val="000000"/>
          <w:kern w:val="0"/>
          <w:sz w:val="24"/>
          <w:szCs w:val="24"/>
          <w:lang w:val="es-ES_tradnl"/>
          <w14:ligatures w14:val="none"/>
        </w:rPr>
        <w:t xml:space="preserve">Sección 1.- </w:t>
      </w:r>
      <w:bookmarkEnd w:id="0"/>
      <w:r w:rsidR="00C839A7" w:rsidRPr="005F3117">
        <w:rPr>
          <w:rFonts w:ascii="Book Antiqua" w:eastAsia="Times New Roman" w:hAnsi="Book Antiqua" w:cs="Times New Roman"/>
          <w:color w:val="000000"/>
          <w:kern w:val="0"/>
          <w:sz w:val="24"/>
          <w:szCs w:val="24"/>
          <w:lang w:val="es-ES_tradnl"/>
          <w14:ligatures w14:val="none"/>
        </w:rPr>
        <w:t xml:space="preserve">Suspensión </w:t>
      </w:r>
      <w:r w:rsidR="00B72CAE" w:rsidRPr="005F3117">
        <w:rPr>
          <w:rFonts w:ascii="Book Antiqua" w:eastAsia="Times New Roman" w:hAnsi="Book Antiqua" w:cs="Times New Roman"/>
          <w:color w:val="000000"/>
          <w:kern w:val="0"/>
          <w:sz w:val="24"/>
          <w:szCs w:val="24"/>
          <w:lang w:val="es-ES_tradnl"/>
          <w14:ligatures w14:val="none"/>
        </w:rPr>
        <w:t>t</w:t>
      </w:r>
      <w:r w:rsidR="00C839A7" w:rsidRPr="005F3117">
        <w:rPr>
          <w:rFonts w:ascii="Book Antiqua" w:eastAsia="Times New Roman" w:hAnsi="Book Antiqua" w:cs="Times New Roman"/>
          <w:color w:val="000000"/>
          <w:kern w:val="0"/>
          <w:sz w:val="24"/>
          <w:szCs w:val="24"/>
          <w:lang w:val="es-ES_tradnl"/>
          <w14:ligatures w14:val="none"/>
        </w:rPr>
        <w:t>empor</w:t>
      </w:r>
      <w:r w:rsidR="00E100D1">
        <w:rPr>
          <w:rFonts w:ascii="Book Antiqua" w:eastAsia="Times New Roman" w:hAnsi="Book Antiqua" w:cs="Times New Roman"/>
          <w:color w:val="000000"/>
          <w:kern w:val="0"/>
          <w:sz w:val="24"/>
          <w:szCs w:val="24"/>
          <w:lang w:val="es-ES_tradnl"/>
          <w14:ligatures w14:val="none"/>
        </w:rPr>
        <w:t>al</w:t>
      </w:r>
      <w:r w:rsidR="00C839A7" w:rsidRPr="005F3117">
        <w:rPr>
          <w:rFonts w:ascii="Book Antiqua" w:eastAsia="Times New Roman" w:hAnsi="Book Antiqua" w:cs="Times New Roman"/>
          <w:color w:val="000000"/>
          <w:kern w:val="0"/>
          <w:sz w:val="24"/>
          <w:szCs w:val="24"/>
          <w:lang w:val="es-ES_tradnl"/>
          <w14:ligatures w14:val="none"/>
        </w:rPr>
        <w:t xml:space="preserve"> del </w:t>
      </w:r>
      <w:r w:rsidR="005F3117">
        <w:rPr>
          <w:rFonts w:ascii="Book Antiqua" w:eastAsia="Times New Roman" w:hAnsi="Book Antiqua" w:cs="Times New Roman"/>
          <w:color w:val="000000"/>
          <w:kern w:val="0"/>
          <w:sz w:val="24"/>
          <w:szCs w:val="24"/>
          <w:lang w:val="es-ES_tradnl"/>
          <w14:ligatures w14:val="none"/>
        </w:rPr>
        <w:t>a</w:t>
      </w:r>
      <w:r w:rsidR="00C839A7" w:rsidRPr="005F3117">
        <w:rPr>
          <w:rFonts w:ascii="Book Antiqua" w:eastAsia="Times New Roman" w:hAnsi="Book Antiqua" w:cs="Times New Roman"/>
          <w:color w:val="000000"/>
          <w:kern w:val="0"/>
          <w:sz w:val="24"/>
          <w:szCs w:val="24"/>
          <w:lang w:val="es-ES_tradnl"/>
          <w14:ligatures w14:val="none"/>
        </w:rPr>
        <w:t>rbitrio</w:t>
      </w:r>
    </w:p>
    <w:p w14:paraId="19D884B6" w14:textId="3CBF0AC2" w:rsidR="00A57EEA" w:rsidRDefault="00A57EEA" w:rsidP="002309AB">
      <w:pPr>
        <w:spacing w:after="0" w:line="480" w:lineRule="auto"/>
        <w:ind w:firstLine="720"/>
        <w:jc w:val="both"/>
        <w:rPr>
          <w:rFonts w:ascii="Book Antiqua" w:eastAsia="Times New Roman" w:hAnsi="Book Antiqua" w:cs="Times New Roman"/>
          <w:kern w:val="0"/>
          <w:sz w:val="24"/>
          <w:szCs w:val="24"/>
          <w:lang w:val="es-ES"/>
          <w14:ligatures w14:val="none"/>
        </w:rPr>
      </w:pPr>
      <w:r w:rsidRPr="005F3117">
        <w:rPr>
          <w:rFonts w:ascii="Book Antiqua" w:eastAsia="Times New Roman" w:hAnsi="Book Antiqua" w:cs="Times New Roman"/>
          <w:color w:val="000000"/>
          <w:kern w:val="0"/>
          <w:sz w:val="24"/>
          <w:szCs w:val="24"/>
          <w:lang w:val="es-ES_tradnl"/>
          <w14:ligatures w14:val="none"/>
        </w:rPr>
        <w:t xml:space="preserve"> </w:t>
      </w:r>
      <w:r w:rsidR="00F723F4" w:rsidRPr="005F3117">
        <w:rPr>
          <w:rFonts w:ascii="Book Antiqua" w:eastAsia="Times New Roman" w:hAnsi="Book Antiqua" w:cs="Times New Roman"/>
          <w:color w:val="000000"/>
          <w:kern w:val="0"/>
          <w:sz w:val="24"/>
          <w:szCs w:val="24"/>
          <w:lang w:val="es-ES_tradnl"/>
          <w14:ligatures w14:val="none"/>
        </w:rPr>
        <w:t>S</w:t>
      </w:r>
      <w:r w:rsidRPr="005F3117">
        <w:rPr>
          <w:rFonts w:ascii="Book Antiqua" w:eastAsia="Times New Roman" w:hAnsi="Book Antiqua" w:cs="Times New Roman"/>
          <w:color w:val="000000"/>
          <w:kern w:val="0"/>
          <w:sz w:val="24"/>
          <w:szCs w:val="24"/>
          <w:lang w:val="es-ES_tradnl"/>
          <w14:ligatures w14:val="none"/>
        </w:rPr>
        <w:t xml:space="preserve">e </w:t>
      </w:r>
      <w:r w:rsidR="00F723F4" w:rsidRPr="005F3117">
        <w:rPr>
          <w:rFonts w:ascii="Book Antiqua" w:eastAsia="Times New Roman" w:hAnsi="Book Antiqua" w:cs="Times New Roman"/>
          <w:color w:val="000000"/>
          <w:kern w:val="0"/>
          <w:sz w:val="24"/>
          <w:szCs w:val="24"/>
          <w:lang w:val="es-ES_tradnl"/>
          <w14:ligatures w14:val="none"/>
        </w:rPr>
        <w:t xml:space="preserve">ordena al Departamento de Hacienda a </w:t>
      </w:r>
      <w:r w:rsidRPr="005F3117">
        <w:rPr>
          <w:rFonts w:ascii="Book Antiqua" w:eastAsia="Times New Roman" w:hAnsi="Book Antiqua" w:cs="Times New Roman"/>
          <w:color w:val="000000"/>
          <w:kern w:val="0"/>
          <w:sz w:val="24"/>
          <w:szCs w:val="24"/>
          <w:lang w:val="es-ES_tradnl"/>
          <w14:ligatures w14:val="none"/>
        </w:rPr>
        <w:t>suspende</w:t>
      </w:r>
      <w:r w:rsidR="00F723F4" w:rsidRPr="005F3117">
        <w:rPr>
          <w:rFonts w:ascii="Book Antiqua" w:eastAsia="Times New Roman" w:hAnsi="Book Antiqua" w:cs="Times New Roman"/>
          <w:color w:val="000000"/>
          <w:kern w:val="0"/>
          <w:sz w:val="24"/>
          <w:szCs w:val="24"/>
          <w:lang w:val="es-ES_tradnl"/>
          <w14:ligatures w14:val="none"/>
        </w:rPr>
        <w:t>r</w:t>
      </w:r>
      <w:r w:rsidRPr="005F3117">
        <w:rPr>
          <w:rFonts w:ascii="Book Antiqua" w:eastAsia="Times New Roman" w:hAnsi="Book Antiqua" w:cs="Times New Roman"/>
          <w:color w:val="000000"/>
          <w:kern w:val="0"/>
          <w:sz w:val="24"/>
          <w:szCs w:val="24"/>
          <w:lang w:val="es-ES_tradnl"/>
          <w14:ligatures w14:val="none"/>
        </w:rPr>
        <w:t xml:space="preserve"> tempo</w:t>
      </w:r>
      <w:r w:rsidR="002309AB" w:rsidRPr="005F3117">
        <w:rPr>
          <w:rFonts w:ascii="Book Antiqua" w:eastAsia="Times New Roman" w:hAnsi="Book Antiqua" w:cs="Times New Roman"/>
          <w:color w:val="000000"/>
          <w:kern w:val="0"/>
          <w:sz w:val="24"/>
          <w:szCs w:val="24"/>
          <w:lang w:val="es-ES_tradnl"/>
          <w14:ligatures w14:val="none"/>
        </w:rPr>
        <w:t>ralmente</w:t>
      </w:r>
      <w:r w:rsidRPr="005F3117">
        <w:rPr>
          <w:rFonts w:ascii="Book Antiqua" w:eastAsia="Times New Roman" w:hAnsi="Book Antiqua" w:cs="Times New Roman"/>
          <w:color w:val="000000"/>
          <w:kern w:val="0"/>
          <w:sz w:val="24"/>
          <w:szCs w:val="24"/>
          <w:lang w:val="es-ES_tradnl"/>
          <w14:ligatures w14:val="none"/>
        </w:rPr>
        <w:t xml:space="preserve"> </w:t>
      </w:r>
      <w:r w:rsidR="00F723F4" w:rsidRPr="005F3117">
        <w:rPr>
          <w:rFonts w:ascii="Book Antiqua" w:eastAsia="Times New Roman" w:hAnsi="Book Antiqua" w:cs="Times New Roman"/>
          <w:color w:val="000000"/>
          <w:kern w:val="0"/>
          <w:sz w:val="24"/>
          <w:szCs w:val="24"/>
          <w:lang w:val="es-ES_tradnl"/>
          <w14:ligatures w14:val="none"/>
        </w:rPr>
        <w:t>a tod</w:t>
      </w:r>
      <w:r w:rsidR="00322645">
        <w:rPr>
          <w:rFonts w:ascii="Book Antiqua" w:eastAsia="Times New Roman" w:hAnsi="Book Antiqua" w:cs="Times New Roman"/>
          <w:color w:val="000000"/>
          <w:kern w:val="0"/>
          <w:sz w:val="24"/>
          <w:szCs w:val="24"/>
          <w:lang w:val="es-ES_tradnl"/>
          <w14:ligatures w14:val="none"/>
        </w:rPr>
        <w:t>a persona</w:t>
      </w:r>
      <w:r w:rsidR="0008632A">
        <w:rPr>
          <w:rFonts w:ascii="Book Antiqua" w:eastAsia="Times New Roman" w:hAnsi="Book Antiqua" w:cs="Times New Roman"/>
          <w:color w:val="000000"/>
          <w:kern w:val="0"/>
          <w:sz w:val="24"/>
          <w:szCs w:val="24"/>
          <w:lang w:val="es-ES_tradnl"/>
          <w14:ligatures w14:val="none"/>
        </w:rPr>
        <w:t xml:space="preserve"> correspondiente</w:t>
      </w:r>
      <w:r w:rsidR="00F723F4" w:rsidRPr="005F3117">
        <w:rPr>
          <w:rFonts w:ascii="Book Antiqua" w:eastAsia="Times New Roman" w:hAnsi="Book Antiqua" w:cs="Times New Roman"/>
          <w:kern w:val="0"/>
          <w:sz w:val="24"/>
          <w:szCs w:val="24"/>
          <w:lang w:val="es-ES"/>
          <w14:ligatures w14:val="none"/>
        </w:rPr>
        <w:t xml:space="preserve">, durante el período de </w:t>
      </w:r>
      <w:r w:rsidR="008D0A83">
        <w:rPr>
          <w:rFonts w:ascii="Book Antiqua" w:eastAsia="Times New Roman" w:hAnsi="Book Antiqua" w:cs="Times New Roman"/>
          <w:kern w:val="0"/>
          <w:sz w:val="24"/>
          <w:szCs w:val="24"/>
          <w:lang w:val="es-ES"/>
          <w14:ligatures w14:val="none"/>
        </w:rPr>
        <w:t xml:space="preserve">noventa </w:t>
      </w:r>
      <w:r w:rsidR="00F723F4" w:rsidRPr="005F3117">
        <w:rPr>
          <w:rFonts w:ascii="Book Antiqua" w:eastAsia="Times New Roman" w:hAnsi="Book Antiqua" w:cs="Times New Roman"/>
          <w:kern w:val="0"/>
          <w:sz w:val="24"/>
          <w:szCs w:val="24"/>
          <w:lang w:val="es-ES"/>
          <w14:ligatures w14:val="none"/>
        </w:rPr>
        <w:t>(</w:t>
      </w:r>
      <w:r w:rsidR="008D0A83">
        <w:rPr>
          <w:rFonts w:ascii="Book Antiqua" w:eastAsia="Times New Roman" w:hAnsi="Book Antiqua" w:cs="Times New Roman"/>
          <w:kern w:val="0"/>
          <w:sz w:val="24"/>
          <w:szCs w:val="24"/>
          <w:lang w:val="es-ES"/>
          <w14:ligatures w14:val="none"/>
        </w:rPr>
        <w:t>9</w:t>
      </w:r>
      <w:r w:rsidR="00F723F4" w:rsidRPr="005F3117">
        <w:rPr>
          <w:rFonts w:ascii="Book Antiqua" w:eastAsia="Times New Roman" w:hAnsi="Book Antiqua" w:cs="Times New Roman"/>
          <w:kern w:val="0"/>
          <w:sz w:val="24"/>
          <w:szCs w:val="24"/>
          <w:lang w:val="es-ES"/>
          <w14:ligatures w14:val="none"/>
        </w:rPr>
        <w:t>0) días a partir de la aprobación de esta Resolución Conjunta</w:t>
      </w:r>
      <w:r w:rsidR="00F723F4">
        <w:rPr>
          <w:rFonts w:ascii="Book Antiqua" w:eastAsia="Times New Roman" w:hAnsi="Book Antiqua" w:cs="Times New Roman"/>
          <w:kern w:val="0"/>
          <w:sz w:val="24"/>
          <w:szCs w:val="24"/>
          <w:lang w:val="es-ES"/>
          <w14:ligatures w14:val="none"/>
        </w:rPr>
        <w:t>,</w:t>
      </w:r>
      <w:r w:rsidR="00F723F4">
        <w:rPr>
          <w:rFonts w:ascii="Book Antiqua" w:eastAsia="Times New Roman" w:hAnsi="Book Antiqua" w:cs="Times New Roman"/>
          <w:color w:val="000000"/>
          <w:kern w:val="0"/>
          <w:sz w:val="24"/>
          <w:szCs w:val="24"/>
          <w:lang w:val="es-ES_tradnl"/>
          <w14:ligatures w14:val="none"/>
        </w:rPr>
        <w:t xml:space="preserve"> </w:t>
      </w:r>
      <w:r>
        <w:rPr>
          <w:rFonts w:ascii="Book Antiqua" w:eastAsia="Times New Roman" w:hAnsi="Book Antiqua" w:cs="Times New Roman"/>
          <w:color w:val="000000"/>
          <w:kern w:val="0"/>
          <w:sz w:val="24"/>
          <w:szCs w:val="24"/>
          <w:lang w:val="es-ES_tradnl"/>
          <w14:ligatures w14:val="none"/>
        </w:rPr>
        <w:t xml:space="preserve">el arbitrio sobre </w:t>
      </w:r>
      <w:r w:rsidR="00FF25F2">
        <w:rPr>
          <w:rFonts w:ascii="Book Antiqua" w:eastAsia="Times New Roman" w:hAnsi="Book Antiqua" w:cs="Times New Roman"/>
          <w:color w:val="000000"/>
          <w:kern w:val="0"/>
          <w:sz w:val="24"/>
          <w:szCs w:val="24"/>
          <w:lang w:val="es-ES_tradnl"/>
          <w14:ligatures w14:val="none"/>
        </w:rPr>
        <w:t xml:space="preserve">uso en Puerto Rico de </w:t>
      </w:r>
      <w:r>
        <w:rPr>
          <w:rFonts w:ascii="Book Antiqua" w:eastAsia="Times New Roman" w:hAnsi="Book Antiqua" w:cs="Times New Roman"/>
          <w:color w:val="000000"/>
          <w:kern w:val="0"/>
          <w:sz w:val="24"/>
          <w:szCs w:val="24"/>
          <w:lang w:val="es-ES_tradnl"/>
          <w14:ligatures w14:val="none"/>
        </w:rPr>
        <w:t>petróleo crudo, productos parcialmente elaborados y productos terminados derivados del petróleo</w:t>
      </w:r>
      <w:r w:rsidRPr="00426D26">
        <w:rPr>
          <w:rFonts w:ascii="Book Antiqua" w:eastAsia="Times New Roman" w:hAnsi="Book Antiqua" w:cs="Times New Roman"/>
          <w:color w:val="000000"/>
          <w:kern w:val="0"/>
          <w:sz w:val="24"/>
          <w:szCs w:val="24"/>
          <w:lang w:val="es-ES_tradnl"/>
          <w14:ligatures w14:val="none"/>
        </w:rPr>
        <w:t>, establecido en la</w:t>
      </w:r>
      <w:r w:rsidR="00CE4321" w:rsidRPr="00426D26">
        <w:rPr>
          <w:rFonts w:ascii="Book Antiqua" w:eastAsia="Times New Roman" w:hAnsi="Book Antiqua" w:cs="Times New Roman"/>
          <w:color w:val="000000"/>
          <w:kern w:val="0"/>
          <w:sz w:val="24"/>
          <w:szCs w:val="24"/>
          <w:lang w:val="es-ES_tradnl"/>
          <w14:ligatures w14:val="none"/>
        </w:rPr>
        <w:t>s</w:t>
      </w:r>
      <w:r w:rsidRPr="00426D26">
        <w:rPr>
          <w:rFonts w:ascii="Book Antiqua" w:eastAsia="Times New Roman" w:hAnsi="Book Antiqua" w:cs="Times New Roman"/>
          <w:color w:val="000000"/>
          <w:kern w:val="0"/>
          <w:sz w:val="24"/>
          <w:szCs w:val="24"/>
          <w:lang w:val="es-ES_tradnl"/>
          <w14:ligatures w14:val="none"/>
        </w:rPr>
        <w:t xml:space="preserve"> </w:t>
      </w:r>
      <w:r w:rsidR="00C839A7" w:rsidRPr="00426D26">
        <w:rPr>
          <w:rFonts w:ascii="Book Antiqua" w:eastAsia="Times New Roman" w:hAnsi="Book Antiqua" w:cs="Times New Roman"/>
          <w:color w:val="000000"/>
          <w:kern w:val="0"/>
          <w:sz w:val="24"/>
          <w:szCs w:val="24"/>
          <w:lang w:val="es-ES_tradnl"/>
          <w14:ligatures w14:val="none"/>
        </w:rPr>
        <w:t>Secci</w:t>
      </w:r>
      <w:r w:rsidR="00CE4321" w:rsidRPr="00426D26">
        <w:rPr>
          <w:rFonts w:ascii="Book Antiqua" w:eastAsia="Times New Roman" w:hAnsi="Book Antiqua" w:cs="Times New Roman"/>
          <w:color w:val="000000"/>
          <w:kern w:val="0"/>
          <w:sz w:val="24"/>
          <w:szCs w:val="24"/>
          <w:lang w:val="es-ES_tradnl"/>
          <w14:ligatures w14:val="none"/>
        </w:rPr>
        <w:t>ones 3020.07 y</w:t>
      </w:r>
      <w:r w:rsidR="00C839A7" w:rsidRPr="00426D26">
        <w:rPr>
          <w:rFonts w:ascii="Book Antiqua" w:eastAsia="Times New Roman" w:hAnsi="Book Antiqua" w:cs="Times New Roman"/>
          <w:color w:val="000000"/>
          <w:kern w:val="0"/>
          <w:sz w:val="24"/>
          <w:szCs w:val="24"/>
          <w:lang w:val="es-ES_tradnl"/>
          <w14:ligatures w14:val="none"/>
        </w:rPr>
        <w:t xml:space="preserve"> </w:t>
      </w:r>
      <w:r w:rsidR="00C839A7" w:rsidRPr="00426D26">
        <w:rPr>
          <w:rFonts w:ascii="Book Antiqua" w:eastAsia="Times New Roman" w:hAnsi="Book Antiqua" w:cs="Times New Roman"/>
          <w:kern w:val="0"/>
          <w:sz w:val="24"/>
          <w:szCs w:val="24"/>
          <w:lang w:val="es-ES"/>
          <w14:ligatures w14:val="none"/>
        </w:rPr>
        <w:t>3020.07A de</w:t>
      </w:r>
      <w:r w:rsidR="00C839A7" w:rsidRPr="005F3117">
        <w:rPr>
          <w:rFonts w:ascii="Book Antiqua" w:eastAsia="Times New Roman" w:hAnsi="Book Antiqua" w:cs="Times New Roman"/>
          <w:kern w:val="0"/>
          <w:sz w:val="24"/>
          <w:szCs w:val="24"/>
          <w:lang w:val="es-ES"/>
          <w14:ligatures w14:val="none"/>
        </w:rPr>
        <w:t xml:space="preserve"> la Ley Núm. 1-2011</w:t>
      </w:r>
      <w:r w:rsidR="00322645">
        <w:rPr>
          <w:rFonts w:ascii="Book Antiqua" w:eastAsia="Times New Roman" w:hAnsi="Book Antiqua" w:cs="Times New Roman"/>
          <w:kern w:val="0"/>
          <w:sz w:val="24"/>
          <w:szCs w:val="24"/>
          <w:lang w:val="es-ES"/>
          <w14:ligatures w14:val="none"/>
        </w:rPr>
        <w:t>, según enmendada, conocida como “Código de Rentas Internas de Puerto Rico de 2011”</w:t>
      </w:r>
      <w:r w:rsidRPr="005F3117">
        <w:rPr>
          <w:rFonts w:ascii="Book Antiqua" w:eastAsia="Times New Roman" w:hAnsi="Book Antiqua" w:cs="Times New Roman"/>
          <w:kern w:val="0"/>
          <w:sz w:val="24"/>
          <w:szCs w:val="24"/>
          <w:lang w:val="es-ES"/>
          <w14:ligatures w14:val="none"/>
        </w:rPr>
        <w:t>.</w:t>
      </w:r>
      <w:r w:rsidR="004A041F">
        <w:rPr>
          <w:rFonts w:ascii="Book Antiqua" w:eastAsia="Times New Roman" w:hAnsi="Book Antiqua" w:cs="Times New Roman"/>
          <w:kern w:val="0"/>
          <w:sz w:val="24"/>
          <w:szCs w:val="24"/>
          <w:lang w:val="es-ES"/>
          <w14:ligatures w14:val="none"/>
        </w:rPr>
        <w:t xml:space="preserve"> </w:t>
      </w:r>
      <w:r w:rsidR="004D7643" w:rsidRPr="00456E62">
        <w:rPr>
          <w:rFonts w:ascii="Book Antiqua" w:eastAsia="Times New Roman" w:hAnsi="Book Antiqua" w:cs="Times New Roman"/>
          <w:kern w:val="0"/>
          <w:sz w:val="24"/>
          <w:szCs w:val="24"/>
          <w:lang w:val="es-ES"/>
          <w14:ligatures w14:val="none"/>
        </w:rPr>
        <w:t xml:space="preserve">Tal </w:t>
      </w:r>
      <w:r w:rsidR="004D7643" w:rsidRPr="00456E62">
        <w:rPr>
          <w:rFonts w:ascii="Book Antiqua" w:eastAsia="Times New Roman" w:hAnsi="Book Antiqua" w:cs="Times New Roman"/>
          <w:kern w:val="0"/>
          <w:sz w:val="24"/>
          <w:szCs w:val="24"/>
          <w:lang w:val="es-ES"/>
          <w14:ligatures w14:val="none"/>
        </w:rPr>
        <w:lastRenderedPageBreak/>
        <w:t xml:space="preserve">exención </w:t>
      </w:r>
      <w:r w:rsidR="004D7643" w:rsidRPr="008D0A83">
        <w:rPr>
          <w:rFonts w:ascii="Book Antiqua" w:eastAsia="Times New Roman" w:hAnsi="Book Antiqua" w:cs="Times New Roman"/>
          <w:kern w:val="0"/>
          <w:sz w:val="24"/>
          <w:szCs w:val="24"/>
          <w:lang w:val="es-ES"/>
          <w14:ligatures w14:val="none"/>
        </w:rPr>
        <w:t>será</w:t>
      </w:r>
      <w:r w:rsidR="004A041F" w:rsidRPr="008D0A83">
        <w:rPr>
          <w:rFonts w:ascii="Book Antiqua" w:eastAsia="Times New Roman" w:hAnsi="Book Antiqua" w:cs="Times New Roman"/>
          <w:kern w:val="0"/>
          <w:sz w:val="24"/>
          <w:szCs w:val="24"/>
          <w:lang w:val="es-ES"/>
          <w14:ligatures w14:val="none"/>
        </w:rPr>
        <w:t xml:space="preserve"> hasta un tope de </w:t>
      </w:r>
      <w:r w:rsidR="008D0A83" w:rsidRPr="008D0A83">
        <w:rPr>
          <w:rFonts w:ascii="Book Antiqua" w:eastAsia="Times New Roman" w:hAnsi="Book Antiqua" w:cs="Times New Roman"/>
          <w:kern w:val="0"/>
          <w:sz w:val="24"/>
          <w:szCs w:val="24"/>
          <w:lang w:val="es-ES"/>
          <w14:ligatures w14:val="none"/>
        </w:rPr>
        <w:t>sesenta (60)</w:t>
      </w:r>
      <w:r w:rsidR="004A041F" w:rsidRPr="008D0A83">
        <w:rPr>
          <w:rFonts w:ascii="Book Antiqua" w:eastAsia="Times New Roman" w:hAnsi="Book Antiqua" w:cs="Times New Roman"/>
          <w:kern w:val="0"/>
          <w:sz w:val="24"/>
          <w:szCs w:val="24"/>
          <w:lang w:val="es-ES"/>
          <w14:ligatures w14:val="none"/>
        </w:rPr>
        <w:t xml:space="preserve"> millones de dólares</w:t>
      </w:r>
      <w:r w:rsidR="004A041F" w:rsidRPr="00456E62">
        <w:rPr>
          <w:rFonts w:ascii="Book Antiqua" w:eastAsia="Times New Roman" w:hAnsi="Book Antiqua" w:cs="Times New Roman"/>
          <w:kern w:val="0"/>
          <w:sz w:val="24"/>
          <w:szCs w:val="24"/>
          <w:lang w:val="es-ES"/>
          <w14:ligatures w14:val="none"/>
        </w:rPr>
        <w:t xml:space="preserve"> en el agregado del arbitrio aquí </w:t>
      </w:r>
      <w:r w:rsidR="004D7643" w:rsidRPr="00456E62">
        <w:rPr>
          <w:rFonts w:ascii="Book Antiqua" w:eastAsia="Times New Roman" w:hAnsi="Book Antiqua" w:cs="Times New Roman"/>
          <w:kern w:val="0"/>
          <w:sz w:val="24"/>
          <w:szCs w:val="24"/>
          <w:lang w:val="es-ES"/>
          <w14:ligatures w14:val="none"/>
        </w:rPr>
        <w:t xml:space="preserve">eximido </w:t>
      </w:r>
      <w:r w:rsidR="004A041F" w:rsidRPr="00456E62">
        <w:rPr>
          <w:rFonts w:ascii="Book Antiqua" w:eastAsia="Times New Roman" w:hAnsi="Book Antiqua" w:cs="Times New Roman"/>
          <w:kern w:val="0"/>
          <w:sz w:val="24"/>
          <w:szCs w:val="24"/>
          <w:lang w:val="es-ES"/>
          <w14:ligatures w14:val="none"/>
        </w:rPr>
        <w:t>sobre petróleo crudo, productos parcialmente elaborados y productos terminados derivados del petróleo.</w:t>
      </w:r>
      <w:r w:rsidR="004D7643">
        <w:rPr>
          <w:rFonts w:ascii="Book Antiqua" w:eastAsia="Times New Roman" w:hAnsi="Book Antiqua" w:cs="Times New Roman"/>
          <w:kern w:val="0"/>
          <w:sz w:val="24"/>
          <w:szCs w:val="24"/>
          <w:lang w:val="es-ES"/>
          <w14:ligatures w14:val="none"/>
        </w:rPr>
        <w:t xml:space="preserve"> Disponiéndose, además, que la exención aquí dispuesta será aplicable a inventario existente y disponible a la vigencia de la exención dispuesta en esta Sección; y que ning</w:t>
      </w:r>
      <w:r w:rsidR="00322645">
        <w:rPr>
          <w:rFonts w:ascii="Book Antiqua" w:eastAsia="Times New Roman" w:hAnsi="Book Antiqua" w:cs="Times New Roman"/>
          <w:kern w:val="0"/>
          <w:sz w:val="24"/>
          <w:szCs w:val="24"/>
          <w:lang w:val="es-ES"/>
          <w14:ligatures w14:val="none"/>
        </w:rPr>
        <w:t>una persona</w:t>
      </w:r>
      <w:r w:rsidR="004D7643">
        <w:rPr>
          <w:rFonts w:ascii="Book Antiqua" w:eastAsia="Times New Roman" w:hAnsi="Book Antiqua" w:cs="Times New Roman"/>
          <w:kern w:val="0"/>
          <w:sz w:val="24"/>
          <w:szCs w:val="24"/>
          <w:lang w:val="es-ES"/>
          <w14:ligatures w14:val="none"/>
        </w:rPr>
        <w:t xml:space="preserve"> podrá posteriormente cobrar el arbitrio eximido por esta Resolución Conjunta</w:t>
      </w:r>
      <w:r w:rsidR="001F5DD2">
        <w:rPr>
          <w:rFonts w:ascii="Book Antiqua" w:eastAsia="Times New Roman" w:hAnsi="Book Antiqua" w:cs="Times New Roman"/>
          <w:kern w:val="0"/>
          <w:sz w:val="24"/>
          <w:szCs w:val="24"/>
          <w:lang w:val="es-ES"/>
          <w14:ligatures w14:val="none"/>
        </w:rPr>
        <w:t>.</w:t>
      </w:r>
    </w:p>
    <w:p w14:paraId="60DB1F7F" w14:textId="20576D52" w:rsidR="00A47DD4" w:rsidRPr="000336C5" w:rsidRDefault="00A47DD4" w:rsidP="00A47DD4">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sidRPr="00A47DD4">
        <w:rPr>
          <w:rFonts w:ascii="Book Antiqua" w:eastAsia="Times New Roman" w:hAnsi="Book Antiqua" w:cs="Times New Roman"/>
          <w:kern w:val="0"/>
          <w:sz w:val="24"/>
          <w:szCs w:val="24"/>
          <w14:ligatures w14:val="none"/>
        </w:rPr>
        <w:tab/>
      </w:r>
      <w:r w:rsidRPr="000336C5">
        <w:rPr>
          <w:rFonts w:ascii="Book Antiqua" w:eastAsia="Times New Roman" w:hAnsi="Book Antiqua" w:cs="Times New Roman"/>
          <w:kern w:val="0"/>
          <w:sz w:val="24"/>
          <w:szCs w:val="24"/>
          <w14:ligatures w14:val="none"/>
        </w:rPr>
        <w:t xml:space="preserve">Sección 2.- Financiamiento de la </w:t>
      </w:r>
      <w:r w:rsidR="000336C5">
        <w:rPr>
          <w:rFonts w:ascii="Book Antiqua" w:eastAsia="Times New Roman" w:hAnsi="Book Antiqua" w:cs="Times New Roman"/>
          <w:kern w:val="0"/>
          <w:sz w:val="24"/>
          <w:szCs w:val="24"/>
          <w14:ligatures w14:val="none"/>
        </w:rPr>
        <w:t>moratoria</w:t>
      </w:r>
    </w:p>
    <w:p w14:paraId="51543529" w14:textId="5DBD268B" w:rsidR="00A47DD4" w:rsidRDefault="00A47DD4" w:rsidP="00426D26">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sidRPr="000336C5">
        <w:rPr>
          <w:rFonts w:ascii="Book Antiqua" w:eastAsia="Times New Roman" w:hAnsi="Book Antiqua" w:cs="Times New Roman"/>
          <w:kern w:val="0"/>
          <w:sz w:val="24"/>
          <w:szCs w:val="24"/>
          <w14:ligatures w14:val="none"/>
        </w:rPr>
        <w:tab/>
        <w:t>La moratoria dispuesta en la Sección 1 de esta Resolución Conjunta será financiada</w:t>
      </w:r>
      <w:r w:rsidR="00426D26">
        <w:rPr>
          <w:rFonts w:ascii="Book Antiqua" w:eastAsia="Times New Roman" w:hAnsi="Book Antiqua" w:cs="Times New Roman"/>
          <w:kern w:val="0"/>
          <w:sz w:val="24"/>
          <w:szCs w:val="24"/>
          <w14:ligatures w14:val="none"/>
        </w:rPr>
        <w:t>, en primera instancia,</w:t>
      </w:r>
      <w:r w:rsidRPr="000336C5">
        <w:rPr>
          <w:rFonts w:ascii="Book Antiqua" w:eastAsia="Times New Roman" w:hAnsi="Book Antiqua" w:cs="Times New Roman"/>
          <w:kern w:val="0"/>
          <w:sz w:val="24"/>
          <w:szCs w:val="24"/>
          <w14:ligatures w14:val="none"/>
        </w:rPr>
        <w:t xml:space="preserve"> con cualquier exceso de recaudos del Fondo General, o con cualquier otra fuente de ingresos estatales o federales, o una combinación de estas, en la medida en que ello sea viable.</w:t>
      </w:r>
    </w:p>
    <w:p w14:paraId="446D6E61" w14:textId="353E4D79" w:rsidR="002309AB" w:rsidRPr="005F3117" w:rsidRDefault="002309AB" w:rsidP="002309AB">
      <w:pPr>
        <w:spacing w:after="0" w:line="480" w:lineRule="auto"/>
        <w:ind w:firstLine="720"/>
        <w:jc w:val="both"/>
        <w:rPr>
          <w:rFonts w:ascii="Book Antiqua" w:eastAsia="Times New Roman" w:hAnsi="Book Antiqua" w:cs="Times New Roman"/>
          <w:kern w:val="0"/>
          <w:sz w:val="24"/>
          <w:szCs w:val="24"/>
          <w:lang w:val="es-ES"/>
          <w14:ligatures w14:val="none"/>
        </w:rPr>
      </w:pPr>
      <w:r w:rsidRPr="005F3117">
        <w:rPr>
          <w:rFonts w:ascii="Book Antiqua" w:eastAsia="Times New Roman" w:hAnsi="Book Antiqua" w:cs="Times New Roman"/>
          <w:kern w:val="0"/>
          <w:sz w:val="24"/>
          <w:szCs w:val="24"/>
          <w:lang w:val="es-ES"/>
          <w14:ligatures w14:val="none"/>
        </w:rPr>
        <w:t xml:space="preserve">Sección </w:t>
      </w:r>
      <w:r w:rsidR="00A47DD4">
        <w:rPr>
          <w:rFonts w:ascii="Book Antiqua" w:eastAsia="Times New Roman" w:hAnsi="Book Antiqua" w:cs="Times New Roman"/>
          <w:kern w:val="0"/>
          <w:sz w:val="24"/>
          <w:szCs w:val="24"/>
          <w:lang w:val="es-ES"/>
          <w14:ligatures w14:val="none"/>
        </w:rPr>
        <w:t>3</w:t>
      </w:r>
      <w:r w:rsidRPr="005F3117">
        <w:rPr>
          <w:rFonts w:ascii="Book Antiqua" w:eastAsia="Times New Roman" w:hAnsi="Book Antiqua" w:cs="Times New Roman"/>
          <w:kern w:val="0"/>
          <w:sz w:val="24"/>
          <w:szCs w:val="24"/>
          <w:lang w:val="es-ES"/>
          <w14:ligatures w14:val="none"/>
        </w:rPr>
        <w:t xml:space="preserve">.- </w:t>
      </w:r>
      <w:r w:rsidR="005F3117" w:rsidRPr="005F3117">
        <w:rPr>
          <w:rFonts w:ascii="Book Antiqua" w:eastAsia="Times New Roman" w:hAnsi="Book Antiqua" w:cs="Times New Roman"/>
          <w:kern w:val="0"/>
          <w:sz w:val="24"/>
          <w:szCs w:val="24"/>
          <w:lang w:val="es-ES"/>
          <w14:ligatures w14:val="none"/>
        </w:rPr>
        <w:t>Extensión</w:t>
      </w:r>
      <w:r w:rsidRPr="005F3117">
        <w:rPr>
          <w:rFonts w:ascii="Book Antiqua" w:eastAsia="Times New Roman" w:hAnsi="Book Antiqua" w:cs="Times New Roman"/>
          <w:kern w:val="0"/>
          <w:sz w:val="24"/>
          <w:szCs w:val="24"/>
          <w:lang w:val="es-ES"/>
          <w14:ligatures w14:val="none"/>
        </w:rPr>
        <w:t xml:space="preserve"> del período de </w:t>
      </w:r>
      <w:r w:rsidR="00A47DD4">
        <w:rPr>
          <w:rFonts w:ascii="Book Antiqua" w:eastAsia="Times New Roman" w:hAnsi="Book Antiqua" w:cs="Times New Roman"/>
          <w:kern w:val="0"/>
          <w:sz w:val="24"/>
          <w:szCs w:val="24"/>
          <w:lang w:val="es-ES"/>
          <w14:ligatures w14:val="none"/>
        </w:rPr>
        <w:t>moratoria</w:t>
      </w:r>
    </w:p>
    <w:p w14:paraId="67125F85" w14:textId="40CBDAB5" w:rsidR="00741E26" w:rsidRDefault="002309AB" w:rsidP="002309AB">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sidRPr="005F3117">
        <w:rPr>
          <w:rFonts w:ascii="Book Antiqua" w:eastAsia="Times New Roman" w:hAnsi="Book Antiqua" w:cs="Times New Roman"/>
          <w:kern w:val="0"/>
          <w:sz w:val="24"/>
          <w:szCs w:val="24"/>
          <w14:ligatures w14:val="none"/>
        </w:rPr>
        <w:tab/>
      </w:r>
      <w:r w:rsidR="00A47DD4">
        <w:rPr>
          <w:rFonts w:ascii="Book Antiqua" w:eastAsia="Times New Roman" w:hAnsi="Book Antiqua" w:cs="Times New Roman"/>
          <w:kern w:val="0"/>
          <w:sz w:val="24"/>
          <w:szCs w:val="24"/>
          <w14:ligatures w14:val="none"/>
        </w:rPr>
        <w:t>L</w:t>
      </w:r>
      <w:r w:rsidRPr="005F3117">
        <w:rPr>
          <w:rFonts w:ascii="Book Antiqua" w:eastAsia="Times New Roman" w:hAnsi="Book Antiqua" w:cs="Times New Roman"/>
          <w:kern w:val="0"/>
          <w:sz w:val="24"/>
          <w:szCs w:val="24"/>
          <w14:ligatures w14:val="none"/>
        </w:rPr>
        <w:t xml:space="preserve">a </w:t>
      </w:r>
      <w:r w:rsidR="00A47DD4">
        <w:rPr>
          <w:rFonts w:ascii="Book Antiqua" w:eastAsia="Times New Roman" w:hAnsi="Book Antiqua" w:cs="Times New Roman"/>
          <w:kern w:val="0"/>
          <w:sz w:val="24"/>
          <w:szCs w:val="24"/>
          <w14:ligatures w14:val="none"/>
        </w:rPr>
        <w:t xml:space="preserve">moratoria </w:t>
      </w:r>
      <w:r w:rsidRPr="005F3117">
        <w:rPr>
          <w:rFonts w:ascii="Book Antiqua" w:eastAsia="Times New Roman" w:hAnsi="Book Antiqua" w:cs="Times New Roman"/>
          <w:kern w:val="0"/>
          <w:sz w:val="24"/>
          <w:szCs w:val="24"/>
          <w14:ligatures w14:val="none"/>
        </w:rPr>
        <w:t xml:space="preserve">del arbitrio referido en la Sección 1 de esta Resolución Conjunta </w:t>
      </w:r>
      <w:r w:rsidR="00EE1111">
        <w:rPr>
          <w:rFonts w:ascii="Book Antiqua" w:eastAsia="Times New Roman" w:hAnsi="Book Antiqua" w:cs="Times New Roman"/>
          <w:kern w:val="0"/>
          <w:sz w:val="24"/>
          <w:szCs w:val="24"/>
          <w14:ligatures w14:val="none"/>
        </w:rPr>
        <w:t xml:space="preserve">podrá extenderse </w:t>
      </w:r>
      <w:r w:rsidR="005F3117" w:rsidRPr="005F3117">
        <w:rPr>
          <w:rFonts w:ascii="Book Antiqua" w:eastAsia="Times New Roman" w:hAnsi="Book Antiqua" w:cs="Times New Roman"/>
          <w:kern w:val="0"/>
          <w:sz w:val="24"/>
          <w:szCs w:val="24"/>
          <w14:ligatures w14:val="none"/>
        </w:rPr>
        <w:t xml:space="preserve">de persistir </w:t>
      </w:r>
      <w:r w:rsidR="00F16715" w:rsidRPr="005F3117">
        <w:rPr>
          <w:rFonts w:ascii="Book Antiqua" w:eastAsia="Times New Roman" w:hAnsi="Book Antiqua" w:cs="Times New Roman"/>
          <w:kern w:val="0"/>
          <w:sz w:val="24"/>
          <w:szCs w:val="24"/>
          <w14:ligatures w14:val="none"/>
        </w:rPr>
        <w:t>condiciones extraordinarias en el mercado internacional del petróleo</w:t>
      </w:r>
      <w:r w:rsidR="00EE1111">
        <w:rPr>
          <w:rFonts w:ascii="Book Antiqua" w:eastAsia="Times New Roman" w:hAnsi="Book Antiqua" w:cs="Times New Roman"/>
          <w:kern w:val="0"/>
          <w:sz w:val="24"/>
          <w:szCs w:val="24"/>
          <w14:ligatures w14:val="none"/>
        </w:rPr>
        <w:t xml:space="preserve"> que así la justifiquen</w:t>
      </w:r>
      <w:r w:rsidR="00F16715" w:rsidRPr="005F3117">
        <w:rPr>
          <w:rFonts w:ascii="Book Antiqua" w:eastAsia="Times New Roman" w:hAnsi="Book Antiqua" w:cs="Times New Roman"/>
          <w:kern w:val="0"/>
          <w:sz w:val="24"/>
          <w:szCs w:val="24"/>
          <w14:ligatures w14:val="none"/>
        </w:rPr>
        <w:t xml:space="preserve">, </w:t>
      </w:r>
      <w:r w:rsidR="00EE1111">
        <w:rPr>
          <w:rFonts w:ascii="Book Antiqua" w:eastAsia="Times New Roman" w:hAnsi="Book Antiqua" w:cs="Times New Roman"/>
          <w:kern w:val="0"/>
          <w:sz w:val="24"/>
          <w:szCs w:val="24"/>
          <w14:ligatures w14:val="none"/>
        </w:rPr>
        <w:t xml:space="preserve">en cuyo caso se notificará a </w:t>
      </w:r>
      <w:r w:rsidR="00F16715" w:rsidRPr="005F3117">
        <w:rPr>
          <w:rFonts w:ascii="Book Antiqua" w:eastAsia="Times New Roman" w:hAnsi="Book Antiqua" w:cs="Times New Roman"/>
          <w:kern w:val="0"/>
          <w:sz w:val="24"/>
          <w:szCs w:val="24"/>
          <w14:ligatures w14:val="none"/>
        </w:rPr>
        <w:t xml:space="preserve">la Asamblea Legislativa </w:t>
      </w:r>
      <w:r w:rsidR="00EE1111">
        <w:rPr>
          <w:rFonts w:ascii="Book Antiqua" w:eastAsia="Times New Roman" w:hAnsi="Book Antiqua" w:cs="Times New Roman"/>
          <w:kern w:val="0"/>
          <w:sz w:val="24"/>
          <w:szCs w:val="24"/>
          <w14:ligatures w14:val="none"/>
        </w:rPr>
        <w:t>para que proceda a extenderla por el periodo necesario, med</w:t>
      </w:r>
      <w:r w:rsidR="00F16715" w:rsidRPr="005F3117">
        <w:rPr>
          <w:rFonts w:ascii="Book Antiqua" w:eastAsia="Times New Roman" w:hAnsi="Book Antiqua" w:cs="Times New Roman"/>
          <w:kern w:val="0"/>
          <w:sz w:val="24"/>
          <w:szCs w:val="24"/>
          <w14:ligatures w14:val="none"/>
        </w:rPr>
        <w:t>iante la aprobación de una Resolución Conjunta a tal efecto.</w:t>
      </w:r>
      <w:r w:rsidR="001F5DD2">
        <w:rPr>
          <w:rFonts w:ascii="Book Antiqua" w:eastAsia="Times New Roman" w:hAnsi="Book Antiqua" w:cs="Times New Roman"/>
          <w:kern w:val="0"/>
          <w:sz w:val="24"/>
          <w:szCs w:val="24"/>
          <w14:ligatures w14:val="none"/>
        </w:rPr>
        <w:t xml:space="preserve"> Lo anterior, siempre y cuando se cumpla con el debido estudio </w:t>
      </w:r>
      <w:r w:rsidR="00EE1111">
        <w:rPr>
          <w:rFonts w:ascii="Book Antiqua" w:eastAsia="Times New Roman" w:hAnsi="Book Antiqua" w:cs="Times New Roman"/>
          <w:kern w:val="0"/>
          <w:sz w:val="24"/>
          <w:szCs w:val="24"/>
          <w14:ligatures w14:val="none"/>
        </w:rPr>
        <w:t xml:space="preserve">de viabilidad económica </w:t>
      </w:r>
      <w:r w:rsidR="001F5DD2">
        <w:rPr>
          <w:rFonts w:ascii="Book Antiqua" w:eastAsia="Times New Roman" w:hAnsi="Book Antiqua" w:cs="Times New Roman"/>
          <w:kern w:val="0"/>
          <w:sz w:val="24"/>
          <w:szCs w:val="24"/>
          <w14:ligatures w14:val="none"/>
        </w:rPr>
        <w:t>y la identificación de recursos para la neutralidad de ingresos.</w:t>
      </w:r>
    </w:p>
    <w:p w14:paraId="3C09E6D9" w14:textId="23A99938" w:rsidR="00913F9C" w:rsidRPr="00E100D1" w:rsidRDefault="00650D12" w:rsidP="002309AB">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ab/>
      </w:r>
      <w:r w:rsidR="00913F9C" w:rsidRPr="00E100D1">
        <w:rPr>
          <w:rFonts w:ascii="Book Antiqua" w:eastAsia="Times New Roman" w:hAnsi="Book Antiqua" w:cs="Times New Roman"/>
          <w:kern w:val="0"/>
          <w:sz w:val="24"/>
          <w:szCs w:val="24"/>
          <w14:ligatures w14:val="none"/>
        </w:rPr>
        <w:t>Sección 4.- Ciertos deberes relacionados con la suspensión temporal del arbitrio</w:t>
      </w:r>
    </w:p>
    <w:p w14:paraId="1F21BD98" w14:textId="14744261" w:rsidR="00754D85" w:rsidRDefault="00913F9C" w:rsidP="002309AB">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sidRPr="00E100D1">
        <w:rPr>
          <w:rFonts w:ascii="Book Antiqua" w:eastAsia="Times New Roman" w:hAnsi="Book Antiqua" w:cs="Times New Roman"/>
          <w:kern w:val="0"/>
          <w:sz w:val="24"/>
          <w:szCs w:val="24"/>
          <w14:ligatures w14:val="none"/>
        </w:rPr>
        <w:tab/>
        <w:t xml:space="preserve">El </w:t>
      </w:r>
      <w:r w:rsidR="00456E62">
        <w:rPr>
          <w:rFonts w:ascii="Book Antiqua" w:eastAsia="Times New Roman" w:hAnsi="Book Antiqua" w:cs="Times New Roman"/>
          <w:kern w:val="0"/>
          <w:sz w:val="24"/>
          <w:szCs w:val="24"/>
          <w14:ligatures w14:val="none"/>
        </w:rPr>
        <w:t>S</w:t>
      </w:r>
      <w:r w:rsidRPr="00E100D1">
        <w:rPr>
          <w:rFonts w:ascii="Book Antiqua" w:eastAsia="Times New Roman" w:hAnsi="Book Antiqua" w:cs="Times New Roman"/>
          <w:kern w:val="0"/>
          <w:sz w:val="24"/>
          <w:szCs w:val="24"/>
          <w14:ligatures w14:val="none"/>
        </w:rPr>
        <w:t>ecretario de Hacienda, la Oficina de Gerencia y Presupuesto</w:t>
      </w:r>
      <w:r w:rsidR="00754D85" w:rsidRPr="00E100D1">
        <w:rPr>
          <w:rFonts w:ascii="Book Antiqua" w:eastAsia="Times New Roman" w:hAnsi="Book Antiqua" w:cs="Times New Roman"/>
          <w:kern w:val="0"/>
          <w:sz w:val="24"/>
          <w:szCs w:val="24"/>
          <w14:ligatures w14:val="none"/>
        </w:rPr>
        <w:t>,</w:t>
      </w:r>
      <w:r w:rsidRPr="00E100D1">
        <w:rPr>
          <w:rFonts w:ascii="Book Antiqua" w:eastAsia="Times New Roman" w:hAnsi="Book Antiqua" w:cs="Times New Roman"/>
          <w:kern w:val="0"/>
          <w:sz w:val="24"/>
          <w:szCs w:val="24"/>
          <w14:ligatures w14:val="none"/>
        </w:rPr>
        <w:t xml:space="preserve"> y la Autoridad de Asesoría y Agencia Fiscal de Puerto Rico, inmediatamente después de la aprobación </w:t>
      </w:r>
      <w:r w:rsidRPr="00E100D1">
        <w:rPr>
          <w:rFonts w:ascii="Book Antiqua" w:eastAsia="Times New Roman" w:hAnsi="Book Antiqua" w:cs="Times New Roman"/>
          <w:kern w:val="0"/>
          <w:sz w:val="24"/>
          <w:szCs w:val="24"/>
          <w14:ligatures w14:val="none"/>
        </w:rPr>
        <w:lastRenderedPageBreak/>
        <w:t xml:space="preserve">de esta Resolución Conjunta, comenzarán a llevar a cabo las disposiciones </w:t>
      </w:r>
      <w:r w:rsidR="00754D85" w:rsidRPr="00E100D1">
        <w:rPr>
          <w:rFonts w:ascii="Book Antiqua" w:eastAsia="Times New Roman" w:hAnsi="Book Antiqua" w:cs="Times New Roman"/>
          <w:kern w:val="0"/>
          <w:sz w:val="24"/>
          <w:szCs w:val="24"/>
          <w14:ligatures w14:val="none"/>
        </w:rPr>
        <w:t>señaladas en las Secciones 1</w:t>
      </w:r>
      <w:r w:rsidR="00A47DD4" w:rsidRPr="00E100D1">
        <w:rPr>
          <w:rFonts w:ascii="Book Antiqua" w:eastAsia="Times New Roman" w:hAnsi="Book Antiqua" w:cs="Times New Roman"/>
          <w:kern w:val="0"/>
          <w:sz w:val="24"/>
          <w:szCs w:val="24"/>
          <w14:ligatures w14:val="none"/>
        </w:rPr>
        <w:t xml:space="preserve"> y 2 </w:t>
      </w:r>
      <w:r w:rsidR="00754D85" w:rsidRPr="00E100D1">
        <w:rPr>
          <w:rFonts w:ascii="Book Antiqua" w:eastAsia="Times New Roman" w:hAnsi="Book Antiqua" w:cs="Times New Roman"/>
          <w:kern w:val="0"/>
          <w:sz w:val="24"/>
          <w:szCs w:val="24"/>
          <w14:ligatures w14:val="none"/>
        </w:rPr>
        <w:t>de esta, según corresponda.</w:t>
      </w:r>
    </w:p>
    <w:p w14:paraId="6BF8FED2" w14:textId="3BB80A2C" w:rsidR="000336C5" w:rsidRDefault="00754D85" w:rsidP="002309AB">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ab/>
      </w:r>
      <w:r w:rsidRPr="00E100D1">
        <w:rPr>
          <w:rFonts w:ascii="Book Antiqua" w:eastAsia="Times New Roman" w:hAnsi="Book Antiqua" w:cs="Times New Roman"/>
          <w:kern w:val="0"/>
          <w:sz w:val="24"/>
          <w:szCs w:val="24"/>
          <w14:ligatures w14:val="none"/>
        </w:rPr>
        <w:t xml:space="preserve">Sección 5.- </w:t>
      </w:r>
      <w:r w:rsidR="00375E0A">
        <w:rPr>
          <w:rFonts w:ascii="Book Antiqua" w:eastAsia="Times New Roman" w:hAnsi="Book Antiqua" w:cs="Times New Roman"/>
          <w:kern w:val="0"/>
          <w:sz w:val="24"/>
          <w:szCs w:val="24"/>
          <w14:ligatures w14:val="none"/>
        </w:rPr>
        <w:t>Encomienda al Departamento de Asuntos al Consumidor</w:t>
      </w:r>
    </w:p>
    <w:p w14:paraId="0DB9E3A8" w14:textId="301A11AD" w:rsidR="00375E0A" w:rsidRDefault="00A907CC" w:rsidP="002309AB">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14:ligatures w14:val="none"/>
        </w:rPr>
        <w:tab/>
      </w:r>
      <w:r w:rsidR="00375E0A">
        <w:rPr>
          <w:rFonts w:ascii="Book Antiqua" w:eastAsia="Times New Roman" w:hAnsi="Book Antiqua" w:cs="Times New Roman"/>
          <w:kern w:val="0"/>
          <w:sz w:val="24"/>
          <w:szCs w:val="24"/>
          <w14:ligatures w14:val="none"/>
        </w:rPr>
        <w:t xml:space="preserve">Se ordena al </w:t>
      </w:r>
      <w:r>
        <w:rPr>
          <w:rFonts w:ascii="Book Antiqua" w:eastAsia="Times New Roman" w:hAnsi="Book Antiqua" w:cs="Times New Roman"/>
          <w:kern w:val="0"/>
          <w:sz w:val="24"/>
          <w:szCs w:val="24"/>
          <w14:ligatures w14:val="none"/>
        </w:rPr>
        <w:t xml:space="preserve">Departamento de Asuntos del Consumidor </w:t>
      </w:r>
      <w:r w:rsidR="00C0609C">
        <w:rPr>
          <w:rFonts w:ascii="Book Antiqua" w:eastAsia="Times New Roman" w:hAnsi="Book Antiqua" w:cs="Times New Roman"/>
          <w:kern w:val="0"/>
          <w:sz w:val="24"/>
          <w:szCs w:val="24"/>
          <w14:ligatures w14:val="none"/>
        </w:rPr>
        <w:t xml:space="preserve">(DACO) </w:t>
      </w:r>
      <w:r w:rsidR="00375E0A">
        <w:rPr>
          <w:rFonts w:ascii="Book Antiqua" w:eastAsia="Times New Roman" w:hAnsi="Book Antiqua" w:cs="Times New Roman"/>
          <w:kern w:val="0"/>
          <w:sz w:val="24"/>
          <w:szCs w:val="24"/>
          <w14:ligatures w14:val="none"/>
        </w:rPr>
        <w:t xml:space="preserve">a adoptar y/o mantener vigente una orden de prohibición de aumentos en los márgenes de ganancia bruta en todos los niveles de distribución y mercadeo </w:t>
      </w:r>
      <w:r w:rsidR="00EE4856">
        <w:rPr>
          <w:rFonts w:ascii="Book Antiqua" w:eastAsia="Times New Roman" w:hAnsi="Book Antiqua" w:cs="Times New Roman"/>
          <w:kern w:val="0"/>
          <w:sz w:val="24"/>
          <w:szCs w:val="24"/>
          <w14:ligatures w14:val="none"/>
        </w:rPr>
        <w:t xml:space="preserve">relativo al </w:t>
      </w:r>
      <w:r w:rsidR="00375E0A">
        <w:rPr>
          <w:rFonts w:ascii="Book Antiqua" w:eastAsia="Times New Roman" w:hAnsi="Book Antiqua" w:cs="Times New Roman"/>
          <w:kern w:val="0"/>
          <w:sz w:val="24"/>
          <w:szCs w:val="24"/>
          <w14:ligatures w14:val="none"/>
        </w:rPr>
        <w:t xml:space="preserve">uso de </w:t>
      </w:r>
      <w:r w:rsidR="00375E0A">
        <w:rPr>
          <w:rFonts w:ascii="Book Antiqua" w:eastAsia="Times New Roman" w:hAnsi="Book Antiqua" w:cs="Times New Roman"/>
          <w:kern w:val="0"/>
          <w:sz w:val="24"/>
          <w:szCs w:val="24"/>
          <w:lang w:val="es-ES"/>
          <w14:ligatures w14:val="none"/>
        </w:rPr>
        <w:t>petróleo crudo, productos parcialmente elaborados y productos terminados derivados del petróleo, mientras dure la suspensión del arbitrio objeto de esta Resolución Conjunta.</w:t>
      </w:r>
    </w:p>
    <w:p w14:paraId="03BB18EE" w14:textId="31792845" w:rsidR="006F6358" w:rsidRDefault="00375E0A" w:rsidP="002309AB">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ab/>
        <w:t xml:space="preserve">Sección 6.- </w:t>
      </w:r>
      <w:r w:rsidR="006F6358">
        <w:rPr>
          <w:rFonts w:ascii="Book Antiqua" w:eastAsia="Times New Roman" w:hAnsi="Book Antiqua" w:cs="Times New Roman"/>
          <w:kern w:val="0"/>
          <w:sz w:val="24"/>
          <w:szCs w:val="24"/>
          <w:lang w:val="es-ES"/>
          <w14:ligatures w14:val="none"/>
        </w:rPr>
        <w:t>Deberes de los Departamentos de Asuntos del Consumidor; y de Hacienda</w:t>
      </w:r>
    </w:p>
    <w:p w14:paraId="52DEB143" w14:textId="448EBE2E" w:rsidR="00555760" w:rsidRDefault="006F6358" w:rsidP="00555760">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ab/>
      </w:r>
      <w:r w:rsidR="00375E0A">
        <w:rPr>
          <w:rFonts w:ascii="Book Antiqua" w:eastAsia="Times New Roman" w:hAnsi="Book Antiqua" w:cs="Times New Roman"/>
          <w:kern w:val="0"/>
          <w:sz w:val="24"/>
          <w:szCs w:val="24"/>
          <w:lang w:val="es-ES"/>
          <w14:ligatures w14:val="none"/>
        </w:rPr>
        <w:t xml:space="preserve">Los Departamentos de Asuntos del Consumidor; y de Hacienda </w:t>
      </w:r>
      <w:r w:rsidR="00EE4856">
        <w:rPr>
          <w:rFonts w:ascii="Book Antiqua" w:eastAsia="Times New Roman" w:hAnsi="Book Antiqua" w:cs="Times New Roman"/>
          <w:kern w:val="0"/>
          <w:sz w:val="24"/>
          <w:szCs w:val="24"/>
          <w:lang w:val="es-ES"/>
          <w14:ligatures w14:val="none"/>
        </w:rPr>
        <w:t xml:space="preserve">se asegurarán </w:t>
      </w:r>
      <w:r w:rsidR="00456E62">
        <w:rPr>
          <w:rFonts w:ascii="Book Antiqua" w:eastAsia="Times New Roman" w:hAnsi="Book Antiqua" w:cs="Times New Roman"/>
          <w:kern w:val="0"/>
          <w:sz w:val="24"/>
          <w:szCs w:val="24"/>
          <w:lang w:val="es-ES"/>
          <w14:ligatures w14:val="none"/>
        </w:rPr>
        <w:t>de que</w:t>
      </w:r>
      <w:r w:rsidR="00375E0A">
        <w:rPr>
          <w:rFonts w:ascii="Book Antiqua" w:eastAsia="Times New Roman" w:hAnsi="Book Antiqua" w:cs="Times New Roman"/>
          <w:kern w:val="0"/>
          <w:sz w:val="24"/>
          <w:szCs w:val="24"/>
          <w:lang w:val="es-ES"/>
          <w14:ligatures w14:val="none"/>
        </w:rPr>
        <w:t xml:space="preserve"> la reducción en el arbitrio </w:t>
      </w:r>
      <w:r>
        <w:rPr>
          <w:rFonts w:ascii="Book Antiqua" w:eastAsia="Times New Roman" w:hAnsi="Book Antiqua" w:cs="Times New Roman"/>
          <w:kern w:val="0"/>
          <w:sz w:val="24"/>
          <w:szCs w:val="24"/>
          <w:lang w:val="es-ES"/>
          <w14:ligatures w14:val="none"/>
        </w:rPr>
        <w:t>objeto de esta Resolución Conjunta</w:t>
      </w:r>
      <w:r w:rsidR="00375E0A">
        <w:rPr>
          <w:rFonts w:ascii="Book Antiqua" w:eastAsia="Times New Roman" w:hAnsi="Book Antiqua" w:cs="Times New Roman"/>
          <w:kern w:val="0"/>
          <w:sz w:val="24"/>
          <w:szCs w:val="24"/>
          <w:lang w:val="es-ES"/>
          <w14:ligatures w14:val="none"/>
        </w:rPr>
        <w:t xml:space="preserve">, </w:t>
      </w:r>
      <w:r>
        <w:rPr>
          <w:rFonts w:ascii="Book Antiqua" w:eastAsia="Times New Roman" w:hAnsi="Book Antiqua" w:cs="Times New Roman"/>
          <w:kern w:val="0"/>
          <w:sz w:val="24"/>
          <w:szCs w:val="24"/>
          <w:lang w:val="es-ES"/>
          <w14:ligatures w14:val="none"/>
        </w:rPr>
        <w:t xml:space="preserve">a ser </w:t>
      </w:r>
      <w:r w:rsidR="00375E0A">
        <w:rPr>
          <w:rFonts w:ascii="Book Antiqua" w:eastAsia="Times New Roman" w:hAnsi="Book Antiqua" w:cs="Times New Roman"/>
          <w:kern w:val="0"/>
          <w:sz w:val="24"/>
          <w:szCs w:val="24"/>
          <w:lang w:val="es-ES"/>
          <w14:ligatures w14:val="none"/>
        </w:rPr>
        <w:t>determinad</w:t>
      </w:r>
      <w:r w:rsidR="00EE4856">
        <w:rPr>
          <w:rFonts w:ascii="Book Antiqua" w:eastAsia="Times New Roman" w:hAnsi="Book Antiqua" w:cs="Times New Roman"/>
          <w:kern w:val="0"/>
          <w:sz w:val="24"/>
          <w:szCs w:val="24"/>
          <w:lang w:val="es-ES"/>
          <w14:ligatures w14:val="none"/>
        </w:rPr>
        <w:t>a</w:t>
      </w:r>
      <w:r w:rsidR="00375E0A">
        <w:rPr>
          <w:rFonts w:ascii="Book Antiqua" w:eastAsia="Times New Roman" w:hAnsi="Book Antiqua" w:cs="Times New Roman"/>
          <w:kern w:val="0"/>
          <w:sz w:val="24"/>
          <w:szCs w:val="24"/>
          <w:lang w:val="es-ES"/>
          <w14:ligatures w14:val="none"/>
        </w:rPr>
        <w:t xml:space="preserve"> por el Departamento de Hacienda, se transfiera a través de las distintas etapas de la cadena de suplido hasta llega</w:t>
      </w:r>
      <w:r w:rsidR="00EE4856">
        <w:rPr>
          <w:rFonts w:ascii="Book Antiqua" w:eastAsia="Times New Roman" w:hAnsi="Book Antiqua" w:cs="Times New Roman"/>
          <w:kern w:val="0"/>
          <w:sz w:val="24"/>
          <w:szCs w:val="24"/>
          <w:lang w:val="es-ES"/>
          <w14:ligatures w14:val="none"/>
        </w:rPr>
        <w:t>r</w:t>
      </w:r>
      <w:r w:rsidR="00375E0A">
        <w:rPr>
          <w:rFonts w:ascii="Book Antiqua" w:eastAsia="Times New Roman" w:hAnsi="Book Antiqua" w:cs="Times New Roman"/>
          <w:kern w:val="0"/>
          <w:sz w:val="24"/>
          <w:szCs w:val="24"/>
          <w:lang w:val="es-ES"/>
          <w14:ligatures w14:val="none"/>
        </w:rPr>
        <w:t xml:space="preserve"> al consumidor y </w:t>
      </w:r>
      <w:r w:rsidR="00EE4856">
        <w:rPr>
          <w:rFonts w:ascii="Book Antiqua" w:eastAsia="Times New Roman" w:hAnsi="Book Antiqua" w:cs="Times New Roman"/>
          <w:kern w:val="0"/>
          <w:sz w:val="24"/>
          <w:szCs w:val="24"/>
          <w:lang w:val="es-ES"/>
          <w14:ligatures w14:val="none"/>
        </w:rPr>
        <w:t xml:space="preserve">que dicha reducción </w:t>
      </w:r>
      <w:r w:rsidR="00375E0A">
        <w:rPr>
          <w:rFonts w:ascii="Book Antiqua" w:eastAsia="Times New Roman" w:hAnsi="Book Antiqua" w:cs="Times New Roman"/>
          <w:kern w:val="0"/>
          <w:sz w:val="24"/>
          <w:szCs w:val="24"/>
          <w:lang w:val="es-ES"/>
          <w14:ligatures w14:val="none"/>
        </w:rPr>
        <w:t>se refleje en el precio final que este</w:t>
      </w:r>
      <w:r w:rsidR="00322645">
        <w:rPr>
          <w:rFonts w:ascii="Book Antiqua" w:eastAsia="Times New Roman" w:hAnsi="Book Antiqua" w:cs="Times New Roman"/>
          <w:kern w:val="0"/>
          <w:sz w:val="24"/>
          <w:szCs w:val="24"/>
          <w:lang w:val="es-ES"/>
          <w14:ligatures w14:val="none"/>
        </w:rPr>
        <w:t xml:space="preserve"> </w:t>
      </w:r>
      <w:r w:rsidR="00426D26">
        <w:rPr>
          <w:rFonts w:ascii="Book Antiqua" w:eastAsia="Times New Roman" w:hAnsi="Book Antiqua" w:cs="Times New Roman"/>
          <w:kern w:val="0"/>
          <w:sz w:val="24"/>
          <w:szCs w:val="24"/>
          <w:lang w:val="es-ES"/>
          <w14:ligatures w14:val="none"/>
        </w:rPr>
        <w:t>paga</w:t>
      </w:r>
      <w:r w:rsidR="00375E0A">
        <w:rPr>
          <w:rFonts w:ascii="Book Antiqua" w:eastAsia="Times New Roman" w:hAnsi="Book Antiqua" w:cs="Times New Roman"/>
          <w:kern w:val="0"/>
          <w:sz w:val="24"/>
          <w:szCs w:val="24"/>
          <w:lang w:val="es-ES"/>
          <w14:ligatures w14:val="none"/>
        </w:rPr>
        <w:t>.</w:t>
      </w:r>
    </w:p>
    <w:p w14:paraId="3CEBC0AD" w14:textId="6820F334" w:rsidR="00337C0A" w:rsidRDefault="00375E0A" w:rsidP="002309AB">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 xml:space="preserve"> </w:t>
      </w:r>
      <w:r w:rsidR="002C54DE">
        <w:rPr>
          <w:rFonts w:ascii="Book Antiqua" w:eastAsia="Times New Roman" w:hAnsi="Book Antiqua" w:cs="Times New Roman"/>
          <w:kern w:val="0"/>
          <w:sz w:val="24"/>
          <w:szCs w:val="24"/>
          <w:lang w:val="es-ES"/>
          <w14:ligatures w14:val="none"/>
        </w:rPr>
        <w:tab/>
      </w:r>
      <w:r w:rsidR="00337C0A">
        <w:rPr>
          <w:rFonts w:ascii="Book Antiqua" w:eastAsia="Times New Roman" w:hAnsi="Book Antiqua" w:cs="Times New Roman"/>
          <w:kern w:val="0"/>
          <w:sz w:val="24"/>
          <w:szCs w:val="24"/>
          <w:lang w:val="es-ES"/>
          <w14:ligatures w14:val="none"/>
        </w:rPr>
        <w:t xml:space="preserve">Sección </w:t>
      </w:r>
      <w:r w:rsidR="0081056C">
        <w:rPr>
          <w:rFonts w:ascii="Book Antiqua" w:eastAsia="Times New Roman" w:hAnsi="Book Antiqua" w:cs="Times New Roman"/>
          <w:kern w:val="0"/>
          <w:sz w:val="24"/>
          <w:szCs w:val="24"/>
          <w:lang w:val="es-ES"/>
          <w14:ligatures w14:val="none"/>
        </w:rPr>
        <w:t>7</w:t>
      </w:r>
      <w:r w:rsidR="00337C0A">
        <w:rPr>
          <w:rFonts w:ascii="Book Antiqua" w:eastAsia="Times New Roman" w:hAnsi="Book Antiqua" w:cs="Times New Roman"/>
          <w:kern w:val="0"/>
          <w:sz w:val="24"/>
          <w:szCs w:val="24"/>
          <w:lang w:val="es-ES"/>
          <w14:ligatures w14:val="none"/>
        </w:rPr>
        <w:t xml:space="preserve">.- </w:t>
      </w:r>
      <w:r w:rsidR="0081056C">
        <w:rPr>
          <w:rFonts w:ascii="Book Antiqua" w:eastAsia="Times New Roman" w:hAnsi="Book Antiqua" w:cs="Times New Roman"/>
          <w:kern w:val="0"/>
          <w:sz w:val="24"/>
          <w:szCs w:val="24"/>
          <w:lang w:val="es-ES"/>
          <w14:ligatures w14:val="none"/>
        </w:rPr>
        <w:t xml:space="preserve">Publicación de mecanismos para ejecución de esta Resolución Conjunta  </w:t>
      </w:r>
    </w:p>
    <w:p w14:paraId="31724550" w14:textId="6901309E" w:rsidR="00337C0A" w:rsidRDefault="00337C0A" w:rsidP="002309AB">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ab/>
      </w:r>
      <w:r w:rsidR="0081056C">
        <w:rPr>
          <w:rFonts w:ascii="Book Antiqua" w:eastAsia="Times New Roman" w:hAnsi="Book Antiqua" w:cs="Times New Roman"/>
          <w:kern w:val="0"/>
          <w:sz w:val="24"/>
          <w:szCs w:val="24"/>
          <w:lang w:val="es-ES"/>
          <w14:ligatures w14:val="none"/>
        </w:rPr>
        <w:t>E</w:t>
      </w:r>
      <w:r>
        <w:rPr>
          <w:rFonts w:ascii="Book Antiqua" w:eastAsia="Times New Roman" w:hAnsi="Book Antiqua" w:cs="Times New Roman"/>
          <w:kern w:val="0"/>
          <w:sz w:val="24"/>
          <w:szCs w:val="24"/>
          <w:lang w:val="es-ES"/>
          <w14:ligatures w14:val="none"/>
        </w:rPr>
        <w:t xml:space="preserve">l </w:t>
      </w:r>
      <w:r w:rsidR="00456E62">
        <w:rPr>
          <w:rFonts w:ascii="Book Antiqua" w:eastAsia="Times New Roman" w:hAnsi="Book Antiqua" w:cs="Times New Roman"/>
          <w:kern w:val="0"/>
          <w:sz w:val="24"/>
          <w:szCs w:val="24"/>
          <w:lang w:val="es-ES"/>
          <w14:ligatures w14:val="none"/>
        </w:rPr>
        <w:t>S</w:t>
      </w:r>
      <w:r>
        <w:rPr>
          <w:rFonts w:ascii="Book Antiqua" w:eastAsia="Times New Roman" w:hAnsi="Book Antiqua" w:cs="Times New Roman"/>
          <w:kern w:val="0"/>
          <w:sz w:val="24"/>
          <w:szCs w:val="24"/>
          <w:lang w:val="es-ES"/>
          <w14:ligatures w14:val="none"/>
        </w:rPr>
        <w:t xml:space="preserve">ecretario de Hacienda </w:t>
      </w:r>
      <w:r w:rsidR="0081056C">
        <w:rPr>
          <w:rFonts w:ascii="Book Antiqua" w:eastAsia="Times New Roman" w:hAnsi="Book Antiqua" w:cs="Times New Roman"/>
          <w:kern w:val="0"/>
          <w:sz w:val="24"/>
          <w:szCs w:val="24"/>
          <w:lang w:val="es-ES"/>
          <w14:ligatures w14:val="none"/>
        </w:rPr>
        <w:t>establecerá,</w:t>
      </w:r>
      <w:r>
        <w:rPr>
          <w:rFonts w:ascii="Book Antiqua" w:eastAsia="Times New Roman" w:hAnsi="Book Antiqua" w:cs="Times New Roman"/>
          <w:kern w:val="0"/>
          <w:sz w:val="24"/>
          <w:szCs w:val="24"/>
          <w:lang w:val="es-ES"/>
          <w14:ligatures w14:val="none"/>
        </w:rPr>
        <w:t xml:space="preserve"> mediante publicación de carácter general</w:t>
      </w:r>
      <w:r w:rsidR="0081056C">
        <w:rPr>
          <w:rFonts w:ascii="Book Antiqua" w:eastAsia="Times New Roman" w:hAnsi="Book Antiqua" w:cs="Times New Roman"/>
          <w:kern w:val="0"/>
          <w:sz w:val="24"/>
          <w:szCs w:val="24"/>
          <w:lang w:val="es-ES"/>
          <w14:ligatures w14:val="none"/>
        </w:rPr>
        <w:t>,</w:t>
      </w:r>
      <w:r>
        <w:rPr>
          <w:rFonts w:ascii="Book Antiqua" w:eastAsia="Times New Roman" w:hAnsi="Book Antiqua" w:cs="Times New Roman"/>
          <w:kern w:val="0"/>
          <w:sz w:val="24"/>
          <w:szCs w:val="24"/>
          <w:lang w:val="es-ES"/>
          <w14:ligatures w14:val="none"/>
        </w:rPr>
        <w:t xml:space="preserve"> los mecanismos necesarios para implementar las disposiciones de esta Resolución Conjunta</w:t>
      </w:r>
      <w:r w:rsidR="0081056C">
        <w:rPr>
          <w:rFonts w:ascii="Book Antiqua" w:eastAsia="Times New Roman" w:hAnsi="Book Antiqua" w:cs="Times New Roman"/>
          <w:kern w:val="0"/>
          <w:sz w:val="24"/>
          <w:szCs w:val="24"/>
          <w:lang w:val="es-ES"/>
          <w14:ligatures w14:val="none"/>
        </w:rPr>
        <w:t xml:space="preserve">. La referida publicación incluirá, sin que ello constituya una limitación, lo siguiente: el establecimiento de un método de implementación que asegure la distribución equitativa de la suspensión temporal de este arbitrio para </w:t>
      </w:r>
      <w:r w:rsidR="00322645">
        <w:rPr>
          <w:rFonts w:ascii="Book Antiqua" w:eastAsia="Times New Roman" w:hAnsi="Book Antiqua" w:cs="Times New Roman"/>
          <w:kern w:val="0"/>
          <w:sz w:val="24"/>
          <w:szCs w:val="24"/>
          <w:lang w:val="es-ES"/>
          <w14:ligatures w14:val="none"/>
        </w:rPr>
        <w:t>toda persona correspondiente</w:t>
      </w:r>
      <w:r w:rsidR="0081056C">
        <w:rPr>
          <w:rFonts w:ascii="Book Antiqua" w:eastAsia="Times New Roman" w:hAnsi="Book Antiqua" w:cs="Times New Roman"/>
          <w:kern w:val="0"/>
          <w:sz w:val="24"/>
          <w:szCs w:val="24"/>
          <w:lang w:val="es-ES"/>
          <w14:ligatures w14:val="none"/>
        </w:rPr>
        <w:t xml:space="preserve">; la regulación de la transferencia de esta moratoria a través de las </w:t>
      </w:r>
      <w:r w:rsidR="0081056C">
        <w:rPr>
          <w:rFonts w:ascii="Book Antiqua" w:eastAsia="Times New Roman" w:hAnsi="Book Antiqua" w:cs="Times New Roman"/>
          <w:kern w:val="0"/>
          <w:sz w:val="24"/>
          <w:szCs w:val="24"/>
          <w:lang w:val="es-ES"/>
          <w14:ligatures w14:val="none"/>
        </w:rPr>
        <w:lastRenderedPageBreak/>
        <w:t>distintas etapas de la cadena de suplido hasta llegar al consumidor; y el correspondiente proceso de tasación a implementarse; entre otras disposiciones, con el objetivo de evitar cualquier competencia desleal entre mayoristas y minoristas</w:t>
      </w:r>
      <w:r w:rsidR="00456E62">
        <w:rPr>
          <w:rFonts w:ascii="Book Antiqua" w:eastAsia="Times New Roman" w:hAnsi="Book Antiqua" w:cs="Times New Roman"/>
          <w:kern w:val="0"/>
          <w:sz w:val="24"/>
          <w:szCs w:val="24"/>
          <w:lang w:val="es-ES"/>
          <w14:ligatures w14:val="none"/>
        </w:rPr>
        <w:t>,</w:t>
      </w:r>
      <w:r w:rsidR="0081056C">
        <w:rPr>
          <w:rFonts w:ascii="Book Antiqua" w:eastAsia="Times New Roman" w:hAnsi="Book Antiqua" w:cs="Times New Roman"/>
          <w:kern w:val="0"/>
          <w:sz w:val="24"/>
          <w:szCs w:val="24"/>
          <w:lang w:val="es-ES"/>
          <w14:ligatures w14:val="none"/>
        </w:rPr>
        <w:t xml:space="preserve"> y que la reducción de este arbitrio se refleje en el precio final que paga el consumidor.</w:t>
      </w:r>
    </w:p>
    <w:p w14:paraId="21F65C1D" w14:textId="2E853AE2" w:rsidR="0081056C" w:rsidRDefault="00337C0A" w:rsidP="0081056C">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ab/>
      </w:r>
      <w:r w:rsidR="0081056C">
        <w:rPr>
          <w:rFonts w:ascii="Book Antiqua" w:eastAsia="Times New Roman" w:hAnsi="Book Antiqua" w:cs="Times New Roman"/>
          <w:kern w:val="0"/>
          <w:sz w:val="24"/>
          <w:szCs w:val="24"/>
          <w:lang w:val="es-ES"/>
          <w14:ligatures w14:val="none"/>
        </w:rPr>
        <w:t xml:space="preserve">Sección 8.- Informe de gestiones del </w:t>
      </w:r>
      <w:r w:rsidR="00456E62">
        <w:rPr>
          <w:rFonts w:ascii="Book Antiqua" w:eastAsia="Times New Roman" w:hAnsi="Book Antiqua" w:cs="Times New Roman"/>
          <w:kern w:val="0"/>
          <w:sz w:val="24"/>
          <w:szCs w:val="24"/>
          <w:lang w:val="es-ES"/>
          <w14:ligatures w14:val="none"/>
        </w:rPr>
        <w:t>S</w:t>
      </w:r>
      <w:r w:rsidR="0081056C">
        <w:rPr>
          <w:rFonts w:ascii="Book Antiqua" w:eastAsia="Times New Roman" w:hAnsi="Book Antiqua" w:cs="Times New Roman"/>
          <w:kern w:val="0"/>
          <w:sz w:val="24"/>
          <w:szCs w:val="24"/>
          <w:lang w:val="es-ES"/>
          <w14:ligatures w14:val="none"/>
        </w:rPr>
        <w:t>ecretario de Hacienda</w:t>
      </w:r>
    </w:p>
    <w:p w14:paraId="1FD2FDFC" w14:textId="24D59789" w:rsidR="00650D12" w:rsidRPr="00426D26" w:rsidRDefault="0081056C" w:rsidP="002309AB">
      <w:p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ab/>
        <w:t xml:space="preserve">Se ordena al </w:t>
      </w:r>
      <w:r w:rsidR="00456E62">
        <w:rPr>
          <w:rFonts w:ascii="Book Antiqua" w:eastAsia="Times New Roman" w:hAnsi="Book Antiqua" w:cs="Times New Roman"/>
          <w:kern w:val="0"/>
          <w:sz w:val="24"/>
          <w:szCs w:val="24"/>
          <w:lang w:val="es-ES"/>
          <w14:ligatures w14:val="none"/>
        </w:rPr>
        <w:t>S</w:t>
      </w:r>
      <w:r>
        <w:rPr>
          <w:rFonts w:ascii="Book Antiqua" w:eastAsia="Times New Roman" w:hAnsi="Book Antiqua" w:cs="Times New Roman"/>
          <w:kern w:val="0"/>
          <w:sz w:val="24"/>
          <w:szCs w:val="24"/>
          <w:lang w:val="es-ES"/>
          <w14:ligatures w14:val="none"/>
        </w:rPr>
        <w:t>ecretario de Hacienda, a no más tarde de quince (15) días luego de la aprobación de la presente Resolución Conjunta, presentar un informe a la Asamblea Legislativa, a través de la respectiva Secretaría de cada Cuerpo, sobre las gestiones llevadas a cabo para cumplir con los propósitos de esta Resolución Conjunta.</w:t>
      </w:r>
    </w:p>
    <w:p w14:paraId="75AD3B50" w14:textId="00305477" w:rsidR="00B72CAE" w:rsidRDefault="00B72CAE" w:rsidP="002309AB">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ab/>
      </w:r>
      <w:r w:rsidRPr="00426D26">
        <w:rPr>
          <w:rFonts w:ascii="Book Antiqua" w:eastAsia="Times New Roman" w:hAnsi="Book Antiqua" w:cs="Times New Roman"/>
          <w:kern w:val="0"/>
          <w:sz w:val="24"/>
          <w:szCs w:val="24"/>
          <w14:ligatures w14:val="none"/>
        </w:rPr>
        <w:t xml:space="preserve">Sección </w:t>
      </w:r>
      <w:r w:rsidR="00426D26" w:rsidRPr="00426D26">
        <w:rPr>
          <w:rFonts w:ascii="Book Antiqua" w:eastAsia="Times New Roman" w:hAnsi="Book Antiqua" w:cs="Times New Roman"/>
          <w:kern w:val="0"/>
          <w:sz w:val="24"/>
          <w:szCs w:val="24"/>
          <w14:ligatures w14:val="none"/>
        </w:rPr>
        <w:t>9</w:t>
      </w:r>
      <w:r w:rsidRPr="00426D26">
        <w:rPr>
          <w:rFonts w:ascii="Book Antiqua" w:eastAsia="Times New Roman" w:hAnsi="Book Antiqua" w:cs="Times New Roman"/>
          <w:kern w:val="0"/>
          <w:sz w:val="24"/>
          <w:szCs w:val="24"/>
          <w14:ligatures w14:val="none"/>
        </w:rPr>
        <w:t>.-</w:t>
      </w:r>
      <w:r w:rsidR="00426D26" w:rsidRPr="00426D26">
        <w:rPr>
          <w:rFonts w:ascii="Book Antiqua" w:eastAsia="Times New Roman" w:hAnsi="Book Antiqua" w:cs="Times New Roman"/>
          <w:kern w:val="0"/>
          <w:sz w:val="24"/>
          <w:szCs w:val="24"/>
          <w14:ligatures w14:val="none"/>
        </w:rPr>
        <w:t xml:space="preserve"> </w:t>
      </w:r>
      <w:r w:rsidRPr="00426D26">
        <w:rPr>
          <w:rFonts w:ascii="Book Antiqua" w:eastAsia="Times New Roman" w:hAnsi="Book Antiqua" w:cs="Times New Roman"/>
          <w:kern w:val="0"/>
          <w:sz w:val="24"/>
          <w:szCs w:val="24"/>
          <w14:ligatures w14:val="none"/>
        </w:rPr>
        <w:t>Evaluación económica</w:t>
      </w:r>
    </w:p>
    <w:p w14:paraId="2E922C7E" w14:textId="3240918E" w:rsidR="00B72CAE" w:rsidRPr="00426D26" w:rsidRDefault="00B72CAE" w:rsidP="002309AB">
      <w:pPr>
        <w:tabs>
          <w:tab w:val="left" w:pos="720"/>
          <w:tab w:val="left" w:pos="2160"/>
        </w:tabs>
        <w:spacing w:after="0" w:line="480" w:lineRule="auto"/>
        <w:jc w:val="both"/>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ab/>
        <w:t>El Departamento de Hacienda, en coordinación con la Oficina de Gerencia y Presupuesto, deberá presentar a la Asamblea Legislativa un informe</w:t>
      </w:r>
      <w:r w:rsidRPr="00426D26">
        <w:rPr>
          <w:rFonts w:ascii="Book Antiqua" w:eastAsia="Times New Roman" w:hAnsi="Book Antiqua" w:cs="Times New Roman"/>
          <w:kern w:val="0"/>
          <w:sz w:val="24"/>
          <w:szCs w:val="24"/>
          <w14:ligatures w14:val="none"/>
        </w:rPr>
        <w:t>, no más tarde de los noventa (90) días a partir de la aprobación de la presente Resolución Conjunta, que contenga un análisis de</w:t>
      </w:r>
      <w:r w:rsidR="00AB1418" w:rsidRPr="00426D26">
        <w:rPr>
          <w:rFonts w:ascii="Book Antiqua" w:eastAsia="Times New Roman" w:hAnsi="Book Antiqua" w:cs="Times New Roman"/>
          <w:kern w:val="0"/>
          <w:sz w:val="24"/>
          <w:szCs w:val="24"/>
          <w14:ligatures w14:val="none"/>
        </w:rPr>
        <w:t xml:space="preserve"> lo siguiente</w:t>
      </w:r>
      <w:r w:rsidRPr="00426D26">
        <w:rPr>
          <w:rFonts w:ascii="Book Antiqua" w:eastAsia="Times New Roman" w:hAnsi="Book Antiqua" w:cs="Times New Roman"/>
          <w:kern w:val="0"/>
          <w:sz w:val="24"/>
          <w:szCs w:val="24"/>
          <w14:ligatures w14:val="none"/>
        </w:rPr>
        <w:t>:</w:t>
      </w:r>
    </w:p>
    <w:p w14:paraId="1D428F49" w14:textId="7EC9BD63" w:rsidR="00B72CAE" w:rsidRPr="00426D26" w:rsidRDefault="00B72CAE" w:rsidP="00B72CAE">
      <w:pPr>
        <w:pStyle w:val="Prrafodelista"/>
        <w:numPr>
          <w:ilvl w:val="0"/>
          <w:numId w:val="9"/>
        </w:num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sidRPr="00426D26">
        <w:rPr>
          <w:rFonts w:ascii="Book Antiqua" w:eastAsia="Times New Roman" w:hAnsi="Book Antiqua" w:cs="Times New Roman"/>
          <w:kern w:val="0"/>
          <w:sz w:val="24"/>
          <w:szCs w:val="24"/>
          <w:lang w:val="es-ES"/>
          <w14:ligatures w14:val="none"/>
        </w:rPr>
        <w:t xml:space="preserve">el impacto económico de la suspensión del </w:t>
      </w:r>
      <w:r w:rsidR="00426D26">
        <w:rPr>
          <w:rFonts w:ascii="Book Antiqua" w:eastAsia="Times New Roman" w:hAnsi="Book Antiqua" w:cs="Times New Roman"/>
          <w:kern w:val="0"/>
          <w:sz w:val="24"/>
          <w:szCs w:val="24"/>
          <w:lang w:val="es-ES"/>
          <w14:ligatures w14:val="none"/>
        </w:rPr>
        <w:t>a</w:t>
      </w:r>
      <w:r w:rsidRPr="00426D26">
        <w:rPr>
          <w:rFonts w:ascii="Book Antiqua" w:eastAsia="Times New Roman" w:hAnsi="Book Antiqua" w:cs="Times New Roman"/>
          <w:kern w:val="0"/>
          <w:sz w:val="24"/>
          <w:szCs w:val="24"/>
          <w:lang w:val="es-ES"/>
          <w14:ligatures w14:val="none"/>
        </w:rPr>
        <w:t>rbitrio “la crudita”</w:t>
      </w:r>
      <w:r w:rsidR="00AB1418" w:rsidRPr="00426D26">
        <w:rPr>
          <w:rFonts w:ascii="Book Antiqua" w:eastAsia="Times New Roman" w:hAnsi="Book Antiqua" w:cs="Times New Roman"/>
          <w:kern w:val="0"/>
          <w:sz w:val="24"/>
          <w:szCs w:val="24"/>
          <w:lang w:val="es-ES"/>
          <w14:ligatures w14:val="none"/>
        </w:rPr>
        <w:t>;</w:t>
      </w:r>
    </w:p>
    <w:p w14:paraId="63003967" w14:textId="3DC90827" w:rsidR="00AB1418" w:rsidRPr="00426D26" w:rsidRDefault="00AB1418" w:rsidP="00B72CAE">
      <w:pPr>
        <w:pStyle w:val="Prrafodelista"/>
        <w:numPr>
          <w:ilvl w:val="0"/>
          <w:numId w:val="9"/>
        </w:num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sidRPr="00426D26">
        <w:rPr>
          <w:rFonts w:ascii="Book Antiqua" w:eastAsia="Times New Roman" w:hAnsi="Book Antiqua" w:cs="Times New Roman"/>
          <w:kern w:val="0"/>
          <w:sz w:val="24"/>
          <w:szCs w:val="24"/>
          <w:lang w:val="es-ES"/>
          <w14:ligatures w14:val="none"/>
        </w:rPr>
        <w:t>el efecto en el costo del combustible; y</w:t>
      </w:r>
    </w:p>
    <w:p w14:paraId="1C08FBA7" w14:textId="4C872017" w:rsidR="00AB1418" w:rsidRPr="00B72CAE" w:rsidRDefault="00AB1418" w:rsidP="00B72CAE">
      <w:pPr>
        <w:pStyle w:val="Prrafodelista"/>
        <w:numPr>
          <w:ilvl w:val="0"/>
          <w:numId w:val="9"/>
        </w:numPr>
        <w:tabs>
          <w:tab w:val="left" w:pos="720"/>
          <w:tab w:val="left" w:pos="2160"/>
        </w:tabs>
        <w:spacing w:after="0" w:line="480" w:lineRule="auto"/>
        <w:jc w:val="both"/>
        <w:rPr>
          <w:rFonts w:ascii="Book Antiqua" w:eastAsia="Times New Roman" w:hAnsi="Book Antiqua" w:cs="Times New Roman"/>
          <w:kern w:val="0"/>
          <w:sz w:val="24"/>
          <w:szCs w:val="24"/>
          <w:lang w:val="es-ES"/>
          <w14:ligatures w14:val="none"/>
        </w:rPr>
      </w:pPr>
      <w:r w:rsidRPr="00426D26">
        <w:rPr>
          <w:rFonts w:ascii="Book Antiqua" w:eastAsia="Times New Roman" w:hAnsi="Book Antiqua" w:cs="Times New Roman"/>
          <w:kern w:val="0"/>
          <w:sz w:val="24"/>
          <w:szCs w:val="24"/>
          <w:lang w:val="es-ES"/>
          <w14:ligatures w14:val="none"/>
        </w:rPr>
        <w:t>alt</w:t>
      </w:r>
      <w:r>
        <w:rPr>
          <w:rFonts w:ascii="Book Antiqua" w:eastAsia="Times New Roman" w:hAnsi="Book Antiqua" w:cs="Times New Roman"/>
          <w:kern w:val="0"/>
          <w:sz w:val="24"/>
          <w:szCs w:val="24"/>
          <w:lang w:val="es-ES"/>
          <w14:ligatures w14:val="none"/>
        </w:rPr>
        <w:t>ernativas para proteger a los consumidores ante futuras crisis energéticas.</w:t>
      </w:r>
    </w:p>
    <w:p w14:paraId="6B157D66" w14:textId="238B1E1A" w:rsidR="00741E26" w:rsidRPr="00426D26" w:rsidRDefault="00741E26" w:rsidP="00741E26">
      <w:pPr>
        <w:spacing w:after="0" w:line="480" w:lineRule="auto"/>
        <w:ind w:firstLine="720"/>
        <w:jc w:val="both"/>
        <w:rPr>
          <w:rFonts w:ascii="Book Antiqua" w:eastAsia="Times New Roman" w:hAnsi="Book Antiqua" w:cs="Times New Roman"/>
          <w:kern w:val="0"/>
          <w:sz w:val="24"/>
          <w:szCs w:val="24"/>
          <w:lang w:val="es-ES"/>
          <w14:ligatures w14:val="none"/>
        </w:rPr>
      </w:pPr>
      <w:r w:rsidRPr="00426D26">
        <w:rPr>
          <w:rFonts w:ascii="Book Antiqua" w:eastAsia="Times New Roman" w:hAnsi="Book Antiqua" w:cs="Times New Roman"/>
          <w:kern w:val="0"/>
          <w:sz w:val="24"/>
          <w:szCs w:val="24"/>
          <w:lang w:val="es-ES"/>
          <w14:ligatures w14:val="none"/>
        </w:rPr>
        <w:t xml:space="preserve">Sección </w:t>
      </w:r>
      <w:r w:rsidR="00426D26" w:rsidRPr="00426D26">
        <w:rPr>
          <w:rFonts w:ascii="Book Antiqua" w:eastAsia="Times New Roman" w:hAnsi="Book Antiqua" w:cs="Times New Roman"/>
          <w:kern w:val="0"/>
          <w:sz w:val="24"/>
          <w:szCs w:val="24"/>
          <w:lang w:val="es-ES"/>
          <w14:ligatures w14:val="none"/>
        </w:rPr>
        <w:t>10</w:t>
      </w:r>
      <w:r w:rsidRPr="00426D26">
        <w:rPr>
          <w:rFonts w:ascii="Book Antiqua" w:eastAsia="Times New Roman" w:hAnsi="Book Antiqua" w:cs="Times New Roman"/>
          <w:kern w:val="0"/>
          <w:sz w:val="24"/>
          <w:szCs w:val="24"/>
          <w:lang w:val="es-ES"/>
          <w14:ligatures w14:val="none"/>
        </w:rPr>
        <w:t>.- Cláusula de separabilidad</w:t>
      </w:r>
    </w:p>
    <w:p w14:paraId="32789BDB" w14:textId="779B3EE1" w:rsidR="00741E26" w:rsidRPr="00741E26" w:rsidRDefault="00741E26" w:rsidP="00741E26">
      <w:pPr>
        <w:spacing w:after="0" w:line="480" w:lineRule="auto"/>
        <w:ind w:firstLine="720"/>
        <w:jc w:val="both"/>
        <w:rPr>
          <w:rFonts w:ascii="Book Antiqua" w:eastAsia="Times New Roman" w:hAnsi="Book Antiqua" w:cs="Times New Roman"/>
          <w:kern w:val="0"/>
          <w:sz w:val="24"/>
          <w:szCs w:val="24"/>
          <w:lang w:val="es-ES"/>
          <w14:ligatures w14:val="none"/>
        </w:rPr>
      </w:pPr>
      <w:r w:rsidRPr="00426D26">
        <w:rPr>
          <w:rFonts w:ascii="Book Antiqua" w:eastAsia="Times New Roman" w:hAnsi="Book Antiqua" w:cs="Times New Roman"/>
          <w:kern w:val="0"/>
          <w:sz w:val="24"/>
          <w:szCs w:val="24"/>
          <w:lang w:val="es-ES"/>
          <w14:ligatures w14:val="none"/>
        </w:rPr>
        <w:t xml:space="preserve">Si cualquier cláusula, párrafo, sección, título, aplicación o efecto sobre una persona o parte de esta </w:t>
      </w:r>
      <w:r w:rsidR="00AB1418" w:rsidRPr="00426D26">
        <w:rPr>
          <w:rFonts w:ascii="Book Antiqua" w:eastAsia="Times New Roman" w:hAnsi="Book Antiqua" w:cs="Times New Roman"/>
          <w:kern w:val="0"/>
          <w:sz w:val="24"/>
          <w:szCs w:val="24"/>
          <w:lang w:val="es-ES"/>
          <w14:ligatures w14:val="none"/>
        </w:rPr>
        <w:t>Resolución Conjunta</w:t>
      </w:r>
      <w:r w:rsidRPr="00426D26">
        <w:rPr>
          <w:rFonts w:ascii="Book Antiqua" w:eastAsia="Times New Roman" w:hAnsi="Book Antiqua" w:cs="Times New Roman"/>
          <w:kern w:val="0"/>
          <w:sz w:val="24"/>
          <w:szCs w:val="24"/>
          <w:lang w:val="es-ES"/>
          <w14:ligatures w14:val="none"/>
        </w:rPr>
        <w:t xml:space="preserve"> fuere declarada inconstitucional por un tribunal con jurisdicción, la sentencia a tal efecto dictada no afectará, perjudicará, ni invalidará el resto de esta </w:t>
      </w:r>
      <w:r w:rsidR="00AB1418" w:rsidRPr="00426D26">
        <w:rPr>
          <w:rFonts w:ascii="Book Antiqua" w:eastAsia="Times New Roman" w:hAnsi="Book Antiqua" w:cs="Times New Roman"/>
          <w:kern w:val="0"/>
          <w:sz w:val="24"/>
          <w:szCs w:val="24"/>
          <w:lang w:val="es-ES"/>
          <w14:ligatures w14:val="none"/>
        </w:rPr>
        <w:t>Resolución Conjunta</w:t>
      </w:r>
      <w:r w:rsidRPr="00426D26">
        <w:rPr>
          <w:rFonts w:ascii="Book Antiqua" w:eastAsia="Times New Roman" w:hAnsi="Book Antiqua" w:cs="Times New Roman"/>
          <w:kern w:val="0"/>
          <w:sz w:val="24"/>
          <w:szCs w:val="24"/>
          <w:lang w:val="es-ES"/>
          <w14:ligatures w14:val="none"/>
        </w:rPr>
        <w:t xml:space="preserve">. El efecto de dicha sentencia quedará limitado a la cláusula, </w:t>
      </w:r>
      <w:r w:rsidRPr="00426D26">
        <w:rPr>
          <w:rFonts w:ascii="Book Antiqua" w:eastAsia="Times New Roman" w:hAnsi="Book Antiqua" w:cs="Times New Roman"/>
          <w:kern w:val="0"/>
          <w:sz w:val="24"/>
          <w:szCs w:val="24"/>
          <w:lang w:val="es-ES"/>
          <w14:ligatures w14:val="none"/>
        </w:rPr>
        <w:lastRenderedPageBreak/>
        <w:t>párrafo, sección, título, aplicación o efecto sobre una persona o parte de la misma que así hubiera sido declarada inconstitucional.</w:t>
      </w:r>
    </w:p>
    <w:p w14:paraId="57FFE651" w14:textId="1F50DB20" w:rsidR="00741E26" w:rsidRPr="00741E26" w:rsidRDefault="00AB1418" w:rsidP="00741E26">
      <w:pPr>
        <w:spacing w:after="0" w:line="480" w:lineRule="auto"/>
        <w:ind w:firstLine="720"/>
        <w:jc w:val="both"/>
        <w:rPr>
          <w:rFonts w:ascii="Book Antiqua" w:eastAsia="Times New Roman" w:hAnsi="Book Antiqua" w:cs="Times New Roman"/>
          <w:kern w:val="0"/>
          <w:sz w:val="24"/>
          <w:szCs w:val="24"/>
          <w:lang w:val="es-ES"/>
          <w14:ligatures w14:val="none"/>
        </w:rPr>
      </w:pPr>
      <w:r>
        <w:rPr>
          <w:rFonts w:ascii="Book Antiqua" w:eastAsia="Times New Roman" w:hAnsi="Book Antiqua" w:cs="Times New Roman"/>
          <w:kern w:val="0"/>
          <w:sz w:val="24"/>
          <w:szCs w:val="24"/>
          <w:lang w:val="es-ES"/>
          <w14:ligatures w14:val="none"/>
        </w:rPr>
        <w:t xml:space="preserve">Sección </w:t>
      </w:r>
      <w:r w:rsidR="00426D26">
        <w:rPr>
          <w:rFonts w:ascii="Book Antiqua" w:eastAsia="Times New Roman" w:hAnsi="Book Antiqua" w:cs="Times New Roman"/>
          <w:kern w:val="0"/>
          <w:sz w:val="24"/>
          <w:szCs w:val="24"/>
          <w:lang w:val="es-ES"/>
          <w14:ligatures w14:val="none"/>
        </w:rPr>
        <w:t>11</w:t>
      </w:r>
      <w:r w:rsidR="00741E26" w:rsidRPr="00741E26">
        <w:rPr>
          <w:rFonts w:ascii="Book Antiqua" w:eastAsia="Times New Roman" w:hAnsi="Book Antiqua" w:cs="Times New Roman"/>
          <w:kern w:val="0"/>
          <w:sz w:val="24"/>
          <w:szCs w:val="24"/>
          <w:lang w:val="es-ES"/>
          <w14:ligatures w14:val="none"/>
        </w:rPr>
        <w:t>.- Vigencia</w:t>
      </w:r>
    </w:p>
    <w:p w14:paraId="3E59B466" w14:textId="412CD214" w:rsidR="009D6BA1" w:rsidRPr="00741E26" w:rsidRDefault="00741E26" w:rsidP="00426D26">
      <w:pPr>
        <w:tabs>
          <w:tab w:val="left" w:pos="720"/>
        </w:tabs>
        <w:spacing w:after="0" w:line="480" w:lineRule="auto"/>
        <w:ind w:firstLine="720"/>
        <w:jc w:val="both"/>
        <w:rPr>
          <w:rFonts w:ascii="Book Antiqua" w:eastAsia="Times New Roman" w:hAnsi="Book Antiqua" w:cs="Times New Roman"/>
          <w:kern w:val="0"/>
          <w:sz w:val="24"/>
          <w:szCs w:val="24"/>
          <w:lang w:val="es-ES"/>
          <w14:ligatures w14:val="none"/>
        </w:rPr>
      </w:pPr>
      <w:r w:rsidRPr="00741E26">
        <w:rPr>
          <w:rFonts w:ascii="Book Antiqua" w:eastAsia="Times New Roman" w:hAnsi="Book Antiqua" w:cs="Times New Roman"/>
          <w:kern w:val="0"/>
          <w:sz w:val="24"/>
          <w:szCs w:val="24"/>
          <w:lang w:val="es-ES"/>
          <w14:ligatures w14:val="none"/>
        </w:rPr>
        <w:t xml:space="preserve">Esta </w:t>
      </w:r>
      <w:r w:rsidR="00AB1418" w:rsidRPr="00426D26">
        <w:rPr>
          <w:rFonts w:ascii="Book Antiqua" w:eastAsia="Times New Roman" w:hAnsi="Book Antiqua" w:cs="Times New Roman"/>
          <w:kern w:val="0"/>
          <w:sz w:val="24"/>
          <w:szCs w:val="24"/>
          <w:lang w:val="es-ES"/>
          <w14:ligatures w14:val="none"/>
        </w:rPr>
        <w:t>Resolución Conjunta</w:t>
      </w:r>
      <w:r w:rsidRPr="00426D26">
        <w:rPr>
          <w:rFonts w:ascii="Book Antiqua" w:eastAsia="Times New Roman" w:hAnsi="Book Antiqua" w:cs="Times New Roman"/>
          <w:kern w:val="0"/>
          <w:sz w:val="24"/>
          <w:szCs w:val="24"/>
          <w:lang w:val="es-ES"/>
          <w14:ligatures w14:val="none"/>
        </w:rPr>
        <w:t xml:space="preserve"> comenzará</w:t>
      </w:r>
      <w:r w:rsidRPr="00741E26">
        <w:rPr>
          <w:rFonts w:ascii="Book Antiqua" w:eastAsia="Times New Roman" w:hAnsi="Book Antiqua" w:cs="Times New Roman"/>
          <w:kern w:val="0"/>
          <w:sz w:val="24"/>
          <w:szCs w:val="24"/>
          <w:lang w:val="es-ES"/>
          <w14:ligatures w14:val="none"/>
        </w:rPr>
        <w:t xml:space="preserve"> a regir </w:t>
      </w:r>
      <w:r w:rsidR="00AB1418">
        <w:rPr>
          <w:rFonts w:ascii="Book Antiqua" w:eastAsia="Times New Roman" w:hAnsi="Book Antiqua" w:cs="Times New Roman"/>
          <w:kern w:val="0"/>
          <w:sz w:val="24"/>
          <w:szCs w:val="24"/>
          <w:lang w:val="es-ES"/>
          <w14:ligatures w14:val="none"/>
        </w:rPr>
        <w:t>inmediatamente después de su aprobación.</w:t>
      </w:r>
    </w:p>
    <w:sectPr w:rsidR="009D6BA1" w:rsidRPr="00741E26" w:rsidSect="0055576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AAC20" w14:textId="77777777" w:rsidR="00326CB3" w:rsidRDefault="00326CB3">
      <w:pPr>
        <w:spacing w:after="0" w:line="240" w:lineRule="auto"/>
      </w:pPr>
      <w:r>
        <w:separator/>
      </w:r>
    </w:p>
  </w:endnote>
  <w:endnote w:type="continuationSeparator" w:id="0">
    <w:p w14:paraId="39C5013E" w14:textId="77777777" w:rsidR="00326CB3" w:rsidRDefault="00326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90907" w14:textId="77777777" w:rsidR="003976A9" w:rsidRDefault="003976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7D81" w14:textId="77777777" w:rsidR="003976A9" w:rsidRDefault="003976A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05E1" w14:textId="77777777" w:rsidR="003976A9" w:rsidRDefault="003976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86DC2" w14:textId="77777777" w:rsidR="00326CB3" w:rsidRDefault="00326CB3">
      <w:pPr>
        <w:spacing w:after="0" w:line="240" w:lineRule="auto"/>
      </w:pPr>
      <w:r>
        <w:separator/>
      </w:r>
    </w:p>
  </w:footnote>
  <w:footnote w:type="continuationSeparator" w:id="0">
    <w:p w14:paraId="22769508" w14:textId="77777777" w:rsidR="00326CB3" w:rsidRDefault="00326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C66A4" w14:textId="0C6F172A" w:rsidR="003976A9" w:rsidRDefault="003976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D940" w14:textId="1CD8687F" w:rsidR="00741E26" w:rsidRPr="001F0AC6" w:rsidRDefault="00326CB3">
    <w:pPr>
      <w:pStyle w:val="Encabezado"/>
      <w:jc w:val="center"/>
      <w:rPr>
        <w:rFonts w:ascii="Book Antiqua" w:hAnsi="Book Antiqua"/>
      </w:rPr>
    </w:pPr>
    <w:sdt>
      <w:sdtPr>
        <w:id w:val="-500034658"/>
        <w:docPartObj>
          <w:docPartGallery w:val="Page Numbers (Top of Page)"/>
          <w:docPartUnique/>
        </w:docPartObj>
      </w:sdtPr>
      <w:sdtEndPr>
        <w:rPr>
          <w:rFonts w:ascii="Book Antiqua" w:hAnsi="Book Antiqua"/>
          <w:noProof/>
        </w:rPr>
      </w:sdtEndPr>
      <w:sdtContent>
        <w:r w:rsidR="00741E26" w:rsidRPr="001F0AC6">
          <w:rPr>
            <w:rFonts w:ascii="Book Antiqua" w:hAnsi="Book Antiqua"/>
          </w:rPr>
          <w:fldChar w:fldCharType="begin"/>
        </w:r>
        <w:r w:rsidR="00741E26" w:rsidRPr="001F0AC6">
          <w:rPr>
            <w:rFonts w:ascii="Book Antiqua" w:hAnsi="Book Antiqua"/>
          </w:rPr>
          <w:instrText xml:space="preserve"> PAGE   \* MERGEFORMAT </w:instrText>
        </w:r>
        <w:r w:rsidR="00741E26" w:rsidRPr="001F0AC6">
          <w:rPr>
            <w:rFonts w:ascii="Book Antiqua" w:hAnsi="Book Antiqua"/>
          </w:rPr>
          <w:fldChar w:fldCharType="separate"/>
        </w:r>
        <w:r w:rsidR="00741E26" w:rsidRPr="001F0AC6">
          <w:rPr>
            <w:rFonts w:ascii="Book Antiqua" w:hAnsi="Book Antiqua"/>
            <w:noProof/>
          </w:rPr>
          <w:t>2</w:t>
        </w:r>
        <w:r w:rsidR="00741E26" w:rsidRPr="001F0AC6">
          <w:rPr>
            <w:rFonts w:ascii="Book Antiqua" w:hAnsi="Book Antiqua"/>
            <w:noProof/>
          </w:rPr>
          <w:fldChar w:fldCharType="end"/>
        </w:r>
      </w:sdtContent>
    </w:sdt>
  </w:p>
  <w:p w14:paraId="156D4F15" w14:textId="77777777" w:rsidR="00741E26" w:rsidRDefault="00741E2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D6B0" w14:textId="55287721" w:rsidR="003976A9" w:rsidRDefault="003976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696"/>
    <w:multiLevelType w:val="hybridMultilevel"/>
    <w:tmpl w:val="3DDC8C54"/>
    <w:lvl w:ilvl="0" w:tplc="9D068FD4">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 w15:restartNumberingAfterBreak="0">
    <w:nsid w:val="00921F6B"/>
    <w:multiLevelType w:val="hybridMultilevel"/>
    <w:tmpl w:val="4B488D3A"/>
    <w:lvl w:ilvl="0" w:tplc="2216287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5037D32"/>
    <w:multiLevelType w:val="hybridMultilevel"/>
    <w:tmpl w:val="C8526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C24375D"/>
    <w:multiLevelType w:val="hybridMultilevel"/>
    <w:tmpl w:val="4B488D3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24185AE2"/>
    <w:multiLevelType w:val="hybridMultilevel"/>
    <w:tmpl w:val="1C985AFE"/>
    <w:lvl w:ilvl="0" w:tplc="8E7EFB3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A97F16"/>
    <w:multiLevelType w:val="hybridMultilevel"/>
    <w:tmpl w:val="28B65058"/>
    <w:lvl w:ilvl="0" w:tplc="42CCDD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0FF4392"/>
    <w:multiLevelType w:val="hybridMultilevel"/>
    <w:tmpl w:val="C8526A72"/>
    <w:lvl w:ilvl="0" w:tplc="37FE73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1756262"/>
    <w:multiLevelType w:val="hybridMultilevel"/>
    <w:tmpl w:val="AF024E94"/>
    <w:lvl w:ilvl="0" w:tplc="3FD425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B556DA"/>
    <w:multiLevelType w:val="hybridMultilevel"/>
    <w:tmpl w:val="CD6E6D20"/>
    <w:lvl w:ilvl="0" w:tplc="9F6EA5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0036464">
    <w:abstractNumId w:val="1"/>
  </w:num>
  <w:num w:numId="2" w16cid:durableId="2073389377">
    <w:abstractNumId w:val="5"/>
  </w:num>
  <w:num w:numId="3" w16cid:durableId="1913154013">
    <w:abstractNumId w:val="6"/>
  </w:num>
  <w:num w:numId="4" w16cid:durableId="1155997442">
    <w:abstractNumId w:val="2"/>
  </w:num>
  <w:num w:numId="5" w16cid:durableId="1175415606">
    <w:abstractNumId w:val="4"/>
  </w:num>
  <w:num w:numId="6" w16cid:durableId="925072720">
    <w:abstractNumId w:val="3"/>
  </w:num>
  <w:num w:numId="7" w16cid:durableId="1038431200">
    <w:abstractNumId w:val="0"/>
  </w:num>
  <w:num w:numId="8" w16cid:durableId="278462999">
    <w:abstractNumId w:val="8"/>
  </w:num>
  <w:num w:numId="9" w16cid:durableId="11299781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E26"/>
    <w:rsid w:val="000141AF"/>
    <w:rsid w:val="00016A18"/>
    <w:rsid w:val="00025792"/>
    <w:rsid w:val="000336C5"/>
    <w:rsid w:val="00054C2B"/>
    <w:rsid w:val="00063A17"/>
    <w:rsid w:val="0008632A"/>
    <w:rsid w:val="000931E6"/>
    <w:rsid w:val="000B7D78"/>
    <w:rsid w:val="000E3566"/>
    <w:rsid w:val="000F1FEA"/>
    <w:rsid w:val="0017196B"/>
    <w:rsid w:val="001F5DD2"/>
    <w:rsid w:val="002036B8"/>
    <w:rsid w:val="002257C1"/>
    <w:rsid w:val="002309AB"/>
    <w:rsid w:val="002744A2"/>
    <w:rsid w:val="002C54DE"/>
    <w:rsid w:val="002D5D15"/>
    <w:rsid w:val="00322645"/>
    <w:rsid w:val="00326CB3"/>
    <w:rsid w:val="00337C0A"/>
    <w:rsid w:val="00343619"/>
    <w:rsid w:val="00375E0A"/>
    <w:rsid w:val="003976A9"/>
    <w:rsid w:val="00426D26"/>
    <w:rsid w:val="00456E62"/>
    <w:rsid w:val="004A041F"/>
    <w:rsid w:val="004D7643"/>
    <w:rsid w:val="00555760"/>
    <w:rsid w:val="00572AD8"/>
    <w:rsid w:val="005D0AC9"/>
    <w:rsid w:val="005F3117"/>
    <w:rsid w:val="00650D12"/>
    <w:rsid w:val="006B7A6C"/>
    <w:rsid w:val="006F6358"/>
    <w:rsid w:val="00730901"/>
    <w:rsid w:val="00741E26"/>
    <w:rsid w:val="00754D85"/>
    <w:rsid w:val="00756225"/>
    <w:rsid w:val="0077477A"/>
    <w:rsid w:val="0081056C"/>
    <w:rsid w:val="00826479"/>
    <w:rsid w:val="00847C84"/>
    <w:rsid w:val="00856D2E"/>
    <w:rsid w:val="008A11A0"/>
    <w:rsid w:val="008D0A83"/>
    <w:rsid w:val="00913F9C"/>
    <w:rsid w:val="009D6BA1"/>
    <w:rsid w:val="009E40B1"/>
    <w:rsid w:val="00A00964"/>
    <w:rsid w:val="00A03FAF"/>
    <w:rsid w:val="00A47DD4"/>
    <w:rsid w:val="00A57EEA"/>
    <w:rsid w:val="00A907CC"/>
    <w:rsid w:val="00A91017"/>
    <w:rsid w:val="00AB1418"/>
    <w:rsid w:val="00B0479A"/>
    <w:rsid w:val="00B20865"/>
    <w:rsid w:val="00B22561"/>
    <w:rsid w:val="00B72CAE"/>
    <w:rsid w:val="00B96351"/>
    <w:rsid w:val="00C0609C"/>
    <w:rsid w:val="00C1741E"/>
    <w:rsid w:val="00C5636A"/>
    <w:rsid w:val="00C651E8"/>
    <w:rsid w:val="00C839A7"/>
    <w:rsid w:val="00CD6F58"/>
    <w:rsid w:val="00CE4321"/>
    <w:rsid w:val="00CF6DA6"/>
    <w:rsid w:val="00D32568"/>
    <w:rsid w:val="00D50B66"/>
    <w:rsid w:val="00E100D1"/>
    <w:rsid w:val="00E14652"/>
    <w:rsid w:val="00E66F03"/>
    <w:rsid w:val="00E91372"/>
    <w:rsid w:val="00EC30E8"/>
    <w:rsid w:val="00EE1111"/>
    <w:rsid w:val="00EE4856"/>
    <w:rsid w:val="00EE655B"/>
    <w:rsid w:val="00F16715"/>
    <w:rsid w:val="00F56D40"/>
    <w:rsid w:val="00F723F4"/>
    <w:rsid w:val="00FB6413"/>
    <w:rsid w:val="00FF25F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7060E"/>
  <w15:chartTrackingRefBased/>
  <w15:docId w15:val="{6C6B28E4-23AD-41BF-B120-90618CD18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41E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41E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41E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41E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41E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41E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41E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1E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1E2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1E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41E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41E2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41E2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41E2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41E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41E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41E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41E26"/>
    <w:rPr>
      <w:rFonts w:eastAsiaTheme="majorEastAsia" w:cstheme="majorBidi"/>
      <w:color w:val="272727" w:themeColor="text1" w:themeTint="D8"/>
    </w:rPr>
  </w:style>
  <w:style w:type="paragraph" w:styleId="Ttulo">
    <w:name w:val="Title"/>
    <w:basedOn w:val="Normal"/>
    <w:next w:val="Normal"/>
    <w:link w:val="TtuloCar"/>
    <w:uiPriority w:val="10"/>
    <w:qFormat/>
    <w:rsid w:val="00741E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41E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41E2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41E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41E26"/>
    <w:pPr>
      <w:spacing w:before="160"/>
      <w:jc w:val="center"/>
    </w:pPr>
    <w:rPr>
      <w:i/>
      <w:iCs/>
      <w:color w:val="404040" w:themeColor="text1" w:themeTint="BF"/>
    </w:rPr>
  </w:style>
  <w:style w:type="character" w:customStyle="1" w:styleId="CitaCar">
    <w:name w:val="Cita Car"/>
    <w:basedOn w:val="Fuentedeprrafopredeter"/>
    <w:link w:val="Cita"/>
    <w:uiPriority w:val="29"/>
    <w:rsid w:val="00741E26"/>
    <w:rPr>
      <w:i/>
      <w:iCs/>
      <w:color w:val="404040" w:themeColor="text1" w:themeTint="BF"/>
    </w:rPr>
  </w:style>
  <w:style w:type="paragraph" w:styleId="Prrafodelista">
    <w:name w:val="List Paragraph"/>
    <w:basedOn w:val="Normal"/>
    <w:uiPriority w:val="34"/>
    <w:qFormat/>
    <w:rsid w:val="00741E26"/>
    <w:pPr>
      <w:ind w:left="720"/>
      <w:contextualSpacing/>
    </w:pPr>
  </w:style>
  <w:style w:type="character" w:styleId="nfasisintenso">
    <w:name w:val="Intense Emphasis"/>
    <w:basedOn w:val="Fuentedeprrafopredeter"/>
    <w:uiPriority w:val="21"/>
    <w:qFormat/>
    <w:rsid w:val="00741E26"/>
    <w:rPr>
      <w:i/>
      <w:iCs/>
      <w:color w:val="0F4761" w:themeColor="accent1" w:themeShade="BF"/>
    </w:rPr>
  </w:style>
  <w:style w:type="paragraph" w:styleId="Citadestacada">
    <w:name w:val="Intense Quote"/>
    <w:basedOn w:val="Normal"/>
    <w:next w:val="Normal"/>
    <w:link w:val="CitadestacadaCar"/>
    <w:uiPriority w:val="30"/>
    <w:qFormat/>
    <w:rsid w:val="00741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41E26"/>
    <w:rPr>
      <w:i/>
      <w:iCs/>
      <w:color w:val="0F4761" w:themeColor="accent1" w:themeShade="BF"/>
    </w:rPr>
  </w:style>
  <w:style w:type="character" w:styleId="Referenciaintensa">
    <w:name w:val="Intense Reference"/>
    <w:basedOn w:val="Fuentedeprrafopredeter"/>
    <w:uiPriority w:val="32"/>
    <w:qFormat/>
    <w:rsid w:val="00741E26"/>
    <w:rPr>
      <w:b/>
      <w:bCs/>
      <w:smallCaps/>
      <w:color w:val="0F4761" w:themeColor="accent1" w:themeShade="BF"/>
      <w:spacing w:val="5"/>
    </w:rPr>
  </w:style>
  <w:style w:type="paragraph" w:styleId="Encabezado">
    <w:name w:val="header"/>
    <w:basedOn w:val="Normal"/>
    <w:link w:val="EncabezadoCar"/>
    <w:uiPriority w:val="99"/>
    <w:unhideWhenUsed/>
    <w:rsid w:val="00741E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741E26"/>
  </w:style>
  <w:style w:type="character" w:styleId="Nmerodelnea">
    <w:name w:val="line number"/>
    <w:basedOn w:val="Fuentedeprrafopredeter"/>
    <w:uiPriority w:val="99"/>
    <w:semiHidden/>
    <w:unhideWhenUsed/>
    <w:rsid w:val="00555760"/>
  </w:style>
  <w:style w:type="paragraph" w:styleId="Piedepgina">
    <w:name w:val="footer"/>
    <w:basedOn w:val="Normal"/>
    <w:link w:val="PiedepginaCar"/>
    <w:uiPriority w:val="99"/>
    <w:unhideWhenUsed/>
    <w:rsid w:val="0082647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26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1449</Words>
  <Characters>8142</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Rocío Alayón Morell</cp:lastModifiedBy>
  <cp:revision>5</cp:revision>
  <cp:lastPrinted>2026-03-13T20:14:00Z</cp:lastPrinted>
  <dcterms:created xsi:type="dcterms:W3CDTF">2026-03-18T14:45:00Z</dcterms:created>
  <dcterms:modified xsi:type="dcterms:W3CDTF">2026-03-18T18:07:00Z</dcterms:modified>
</cp:coreProperties>
</file>