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906F6F1"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DB2C23">
        <w:rPr>
          <w:rFonts w:ascii="Book Antiqua" w:hAnsi="Book Antiqua"/>
          <w:lang w:val="es-ES_tradnl"/>
        </w:rPr>
        <w:t>3</w:t>
      </w:r>
      <w:r w:rsidR="00DB2C23">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657E6346"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1D2182">
        <w:rPr>
          <w:rFonts w:ascii="Book Antiqua" w:hAnsi="Book Antiqua"/>
          <w:b/>
          <w:sz w:val="52"/>
          <w:szCs w:val="52"/>
          <w:lang w:val="es-ES_tradnl"/>
        </w:rPr>
        <w:t>1</w:t>
      </w:r>
      <w:r w:rsidR="003A4974">
        <w:rPr>
          <w:rFonts w:ascii="Book Antiqua" w:hAnsi="Book Antiqua"/>
          <w:b/>
          <w:sz w:val="52"/>
          <w:szCs w:val="52"/>
          <w:lang w:val="es-ES_tradnl"/>
        </w:rPr>
        <w:t>192</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2572EF41" w:rsidR="006705DD" w:rsidRPr="00B95434" w:rsidRDefault="00434244" w:rsidP="006705DD">
      <w:pPr>
        <w:jc w:val="center"/>
        <w:rPr>
          <w:rFonts w:ascii="Book Antiqua" w:hAnsi="Book Antiqua"/>
          <w:szCs w:val="24"/>
          <w:lang w:val="es-ES_tradnl"/>
        </w:rPr>
      </w:pPr>
      <w:r>
        <w:rPr>
          <w:rFonts w:ascii="Book Antiqua" w:hAnsi="Book Antiqua"/>
          <w:szCs w:val="24"/>
          <w:lang w:val="es-ES_tradnl"/>
        </w:rPr>
        <w:t>18</w:t>
      </w:r>
      <w:r w:rsidR="006705DD" w:rsidRPr="00FC11CC">
        <w:rPr>
          <w:rFonts w:ascii="Book Antiqua" w:hAnsi="Book Antiqua"/>
          <w:szCs w:val="24"/>
          <w:lang w:val="es-ES_tradnl"/>
        </w:rPr>
        <w:t xml:space="preserve"> de</w:t>
      </w:r>
      <w:r w:rsidR="00022BDE">
        <w:rPr>
          <w:rFonts w:ascii="Book Antiqua" w:hAnsi="Book Antiqua"/>
          <w:szCs w:val="24"/>
          <w:lang w:val="es-ES_tradnl"/>
        </w:rPr>
        <w:t xml:space="preserve"> junio </w:t>
      </w:r>
      <w:r w:rsidR="005E345A">
        <w:rPr>
          <w:rFonts w:ascii="Book Antiqua" w:hAnsi="Book Antiqua"/>
          <w:szCs w:val="24"/>
          <w:lang w:val="es-ES_tradnl"/>
        </w:rPr>
        <w:t>de 202</w:t>
      </w:r>
      <w:r w:rsidR="0012106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3AA56132"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3A4974">
        <w:rPr>
          <w:rFonts w:ascii="Book Antiqua" w:hAnsi="Book Antiqua" w:cs="Arial"/>
          <w:lang w:val="es-ES"/>
        </w:rPr>
        <w:t>1192</w:t>
      </w:r>
      <w:r w:rsidR="0087700A">
        <w:rPr>
          <w:rFonts w:ascii="Book Antiqua" w:hAnsi="Book Antiqua" w:cs="Arial"/>
          <w:lang w:val="es-ES"/>
        </w:rPr>
        <w:t xml:space="preserve">, tiene el honor de recomendar a este Alto Cuerpo su </w:t>
      </w:r>
      <w:r w:rsidR="00A927E0">
        <w:rPr>
          <w:rFonts w:ascii="Book Antiqua" w:hAnsi="Book Antiqua" w:cs="Arial"/>
          <w:lang w:val="es-ES"/>
        </w:rPr>
        <w:t>aprobación,</w:t>
      </w:r>
      <w:r w:rsidR="00BC7B4A">
        <w:rPr>
          <w:rFonts w:ascii="Book Antiqua" w:hAnsi="Book Antiqua" w:cs="Arial"/>
          <w:lang w:val="es-ES"/>
        </w:rPr>
        <w:t xml:space="preserve"> </w:t>
      </w:r>
      <w:r w:rsidR="003A4974" w:rsidRPr="003A4974">
        <w:rPr>
          <w:rFonts w:ascii="Book Antiqua" w:hAnsi="Book Antiqua" w:cs="Arial"/>
          <w:lang w:val="es-ES"/>
        </w:rPr>
        <w:t xml:space="preserve">con las enmiendas que se incluyen en el </w:t>
      </w:r>
      <w:proofErr w:type="spellStart"/>
      <w:r w:rsidR="003A4974" w:rsidRPr="003A4974">
        <w:rPr>
          <w:rFonts w:ascii="Book Antiqua" w:hAnsi="Book Antiqua" w:cs="Arial"/>
          <w:lang w:val="es-ES"/>
        </w:rPr>
        <w:t>entirillado</w:t>
      </w:r>
      <w:proofErr w:type="spellEnd"/>
      <w:r w:rsidR="003A4974" w:rsidRPr="003A4974">
        <w:rPr>
          <w:rFonts w:ascii="Book Antiqua" w:hAnsi="Book Antiqua" w:cs="Arial"/>
          <w:lang w:val="es-ES"/>
        </w:rPr>
        <w:t xml:space="preserve"> electrónico que acompaña este informe. </w:t>
      </w:r>
      <w:r w:rsidR="00BC7B4A">
        <w:rPr>
          <w:rFonts w:ascii="Book Antiqua" w:hAnsi="Book Antiqua" w:cs="Arial"/>
          <w:lang w:val="es-ES"/>
        </w:rPr>
        <w:t xml:space="preserve"> </w:t>
      </w:r>
    </w:p>
    <w:p w14:paraId="0C8A8066" w14:textId="77777777" w:rsidR="00276C3E" w:rsidRDefault="00276C3E" w:rsidP="002E0754">
      <w:pPr>
        <w:rPr>
          <w:rFonts w:ascii="Book Antiqua" w:hAnsi="Book Antiqua"/>
          <w:b/>
          <w:i/>
          <w:smallCaps/>
          <w:szCs w:val="24"/>
          <w:lang w:val="es-ES_tradnl"/>
        </w:rPr>
      </w:pP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bookmarkEnd w:id="0"/>
    <w:p w14:paraId="68D9994E" w14:textId="77777777" w:rsidR="00AC0B45" w:rsidRPr="00AC0B45" w:rsidRDefault="00AC0B45" w:rsidP="002E0754">
      <w:pPr>
        <w:rPr>
          <w:rFonts w:ascii="Book Antiqua" w:hAnsi="Book Antiqua" w:cs="Arial"/>
          <w:lang w:val="es-ES"/>
        </w:rPr>
      </w:pPr>
    </w:p>
    <w:p w14:paraId="3F6D663B" w14:textId="5468AE14" w:rsidR="00A76B51" w:rsidRPr="009C764D"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3A4974">
        <w:rPr>
          <w:rFonts w:ascii="Book Antiqua" w:hAnsi="Book Antiqua" w:cs="Arial"/>
          <w:lang w:val="es-ES"/>
        </w:rPr>
        <w:t>1192</w:t>
      </w:r>
      <w:r w:rsidR="00A927E0">
        <w:rPr>
          <w:rFonts w:ascii="Book Antiqua" w:hAnsi="Book Antiqua" w:cs="Arial"/>
          <w:lang w:val="es-ES"/>
        </w:rPr>
        <w:t>,</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n radicado,</w:t>
      </w:r>
      <w:r w:rsidR="000412D4">
        <w:rPr>
          <w:rFonts w:ascii="Book Antiqua" w:hAnsi="Book Antiqua" w:cs="Arial"/>
          <w:lang w:val="es-ES"/>
        </w:rPr>
        <w:t xml:space="preserve"> busca</w:t>
      </w:r>
      <w:r w:rsidR="005661BC" w:rsidRPr="005661BC">
        <w:rPr>
          <w:rFonts w:ascii="Book Antiqua" w:hAnsi="Book Antiqua" w:cs="Arial"/>
          <w:lang w:val="es-ES"/>
        </w:rPr>
        <w:t xml:space="preserve"> </w:t>
      </w:r>
      <w:r w:rsidR="003A4974" w:rsidRPr="003A4974">
        <w:rPr>
          <w:rFonts w:ascii="Book Antiqua" w:hAnsi="Book Antiqua" w:cs="Arial"/>
          <w:lang w:val="es-ES"/>
        </w:rPr>
        <w:t>añadir un Capítulo IX al Libro III de la Ley Núm. 107-2020, según enmendada, conocida como “Código Municipal de Puerto Rico”, a fin de autorizar a los gobiernos municipales establecer el modelo de Oficinas Municipales para la Protección Animal y Control de la Sobrepoblación (OPACOS); determinar su financiamiento; y disponer reglamentación.</w:t>
      </w:r>
    </w:p>
    <w:p w14:paraId="192467E6" w14:textId="77777777" w:rsidR="003A4974" w:rsidRDefault="003A4974" w:rsidP="003A4974">
      <w:pPr>
        <w:jc w:val="both"/>
        <w:rPr>
          <w:rFonts w:ascii="Book Antiqua" w:hAnsi="Book Antiqua" w:cs="Arial"/>
          <w:lang w:val="es-ES"/>
        </w:rPr>
      </w:pPr>
    </w:p>
    <w:p w14:paraId="53CCC39E" w14:textId="727A5F58" w:rsidR="003A4974" w:rsidRPr="006E7AB2" w:rsidRDefault="00182ED3" w:rsidP="003A4974">
      <w:pPr>
        <w:jc w:val="both"/>
        <w:rPr>
          <w:rFonts w:ascii="Book Antiqua" w:hAnsi="Book Antiqua"/>
          <w:lang w:val="es-ES"/>
        </w:rPr>
      </w:pPr>
      <w:r w:rsidRPr="000245A3">
        <w:rPr>
          <w:rFonts w:ascii="Book Antiqua" w:hAnsi="Book Antiqua" w:cs="Arial"/>
          <w:lang w:val="es-ES"/>
        </w:rPr>
        <w:t>Según establece la Exposición de Motivos</w:t>
      </w:r>
      <w:r w:rsidR="00A927E0">
        <w:rPr>
          <w:rFonts w:ascii="Book Antiqua" w:hAnsi="Book Antiqua" w:cs="Arial"/>
          <w:lang w:val="es-ES"/>
        </w:rPr>
        <w:t>,</w:t>
      </w:r>
      <w:r w:rsidRPr="000245A3">
        <w:rPr>
          <w:rFonts w:ascii="Book Antiqua" w:hAnsi="Book Antiqua" w:cs="Arial"/>
          <w:lang w:val="es-ES"/>
        </w:rPr>
        <w:t xml:space="preserve"> </w:t>
      </w:r>
      <w:r w:rsidR="003A4974">
        <w:rPr>
          <w:rFonts w:ascii="Book Antiqua" w:hAnsi="Book Antiqua"/>
          <w:lang w:val="es-ES"/>
        </w:rPr>
        <w:t>e</w:t>
      </w:r>
      <w:r w:rsidR="003A4974" w:rsidRPr="006E7AB2">
        <w:rPr>
          <w:rFonts w:ascii="Book Antiqua" w:hAnsi="Book Antiqua"/>
          <w:lang w:val="es-ES"/>
        </w:rPr>
        <w:t xml:space="preserve">l bienestar animal constituye un asunto de alto interés público con implicaciones directas </w:t>
      </w:r>
      <w:r w:rsidR="003A4974">
        <w:rPr>
          <w:rFonts w:ascii="Book Antiqua" w:hAnsi="Book Antiqua"/>
          <w:lang w:val="es-ES"/>
        </w:rPr>
        <w:t>sobre</w:t>
      </w:r>
      <w:r w:rsidR="003A4974" w:rsidRPr="006E7AB2">
        <w:rPr>
          <w:rFonts w:ascii="Book Antiqua" w:hAnsi="Book Antiqua"/>
          <w:lang w:val="es-ES"/>
        </w:rPr>
        <w:t xml:space="preserve"> la salud pública, la seguridad comunitaria, el desarrollo social y la sana convivencia en las comunidades. Desde la perspectiva del enfoque internacional</w:t>
      </w:r>
      <w:r w:rsidR="003A4974">
        <w:rPr>
          <w:rFonts w:ascii="Book Antiqua" w:hAnsi="Book Antiqua"/>
          <w:lang w:val="es-ES"/>
        </w:rPr>
        <w:t>,</w:t>
      </w:r>
      <w:r w:rsidR="003A4974" w:rsidRPr="006E7AB2">
        <w:rPr>
          <w:rFonts w:ascii="Book Antiqua" w:hAnsi="Book Antiqua"/>
          <w:lang w:val="es-ES"/>
        </w:rPr>
        <w:t xml:space="preserve"> conocido como </w:t>
      </w:r>
      <w:r w:rsidR="003A4974" w:rsidRPr="00620408">
        <w:rPr>
          <w:rFonts w:ascii="Book Antiqua" w:hAnsi="Book Antiqua"/>
          <w:i/>
          <w:iCs/>
          <w:lang w:val="es-ES"/>
        </w:rPr>
        <w:t>One Health</w:t>
      </w:r>
      <w:r w:rsidR="003A4974" w:rsidRPr="006E7AB2">
        <w:rPr>
          <w:rFonts w:ascii="Book Antiqua" w:hAnsi="Book Antiqua"/>
          <w:lang w:val="es-ES"/>
        </w:rPr>
        <w:t xml:space="preserve"> (Una Sola Salud), la salud humana, la salud animal y la salud </w:t>
      </w:r>
      <w:r w:rsidR="003A4974">
        <w:rPr>
          <w:rFonts w:ascii="Book Antiqua" w:hAnsi="Book Antiqua"/>
          <w:lang w:val="es-ES"/>
        </w:rPr>
        <w:t>de los ecosistemas</w:t>
      </w:r>
      <w:r w:rsidR="003A4974" w:rsidRPr="006E7AB2">
        <w:rPr>
          <w:rFonts w:ascii="Book Antiqua" w:hAnsi="Book Antiqua"/>
          <w:lang w:val="es-ES"/>
        </w:rPr>
        <w:t xml:space="preserve"> se encuentran estrechamente interconectadas, por lo que las políticas públicas deben atender estos componentes de manera integrada y preventiva.</w:t>
      </w:r>
      <w:r w:rsidR="003A4974">
        <w:rPr>
          <w:rFonts w:ascii="Book Antiqua" w:hAnsi="Book Antiqua"/>
          <w:lang w:val="es-ES"/>
        </w:rPr>
        <w:t xml:space="preserve"> </w:t>
      </w:r>
    </w:p>
    <w:p w14:paraId="71796AF9" w14:textId="77777777" w:rsidR="003A4974" w:rsidRPr="006E7AB2" w:rsidRDefault="003A4974" w:rsidP="003A4974">
      <w:pPr>
        <w:jc w:val="both"/>
        <w:rPr>
          <w:rFonts w:ascii="Book Antiqua" w:hAnsi="Book Antiqua"/>
          <w:lang w:val="es-ES"/>
        </w:rPr>
      </w:pPr>
    </w:p>
    <w:p w14:paraId="5A09C5D8" w14:textId="77777777" w:rsidR="003A4974" w:rsidRPr="006E7AB2" w:rsidRDefault="003A4974" w:rsidP="003A4974">
      <w:pPr>
        <w:jc w:val="both"/>
        <w:rPr>
          <w:rFonts w:ascii="Book Antiqua" w:hAnsi="Book Antiqua"/>
          <w:lang w:val="es-ES"/>
        </w:rPr>
      </w:pPr>
      <w:r>
        <w:rPr>
          <w:rFonts w:ascii="Book Antiqua" w:hAnsi="Book Antiqua"/>
          <w:lang w:val="es-ES"/>
        </w:rPr>
        <w:t>Por otro lado, e</w:t>
      </w:r>
      <w:r w:rsidRPr="006E7AB2">
        <w:rPr>
          <w:rFonts w:ascii="Book Antiqua" w:hAnsi="Book Antiqua"/>
          <w:lang w:val="es-ES"/>
        </w:rPr>
        <w:t>l abandono, el maltrato y la sobrepoblación de animales domésticos generan impactos económicos, sanitarios y sociales significativos tanto para los municipios como para el Estado</w:t>
      </w:r>
      <w:r>
        <w:rPr>
          <w:rFonts w:ascii="Book Antiqua" w:hAnsi="Book Antiqua"/>
          <w:lang w:val="es-ES"/>
        </w:rPr>
        <w:t xml:space="preserve">, por lo que conviene adoptar medidas para atender esta </w:t>
      </w:r>
      <w:r>
        <w:rPr>
          <w:rFonts w:ascii="Book Antiqua" w:hAnsi="Book Antiqua"/>
          <w:lang w:val="es-ES"/>
        </w:rPr>
        <w:lastRenderedPageBreak/>
        <w:t>problemática. Sin embargo, a</w:t>
      </w:r>
      <w:r w:rsidRPr="006E7AB2">
        <w:rPr>
          <w:rFonts w:ascii="Book Antiqua" w:hAnsi="Book Antiqua"/>
          <w:lang w:val="es-ES"/>
        </w:rPr>
        <w:t xml:space="preserve">ctualmente, </w:t>
      </w:r>
      <w:r>
        <w:rPr>
          <w:rFonts w:ascii="Book Antiqua" w:hAnsi="Book Antiqua"/>
          <w:lang w:val="es-ES"/>
        </w:rPr>
        <w:t>la mayoría de los</w:t>
      </w:r>
      <w:r w:rsidRPr="006E7AB2">
        <w:rPr>
          <w:rFonts w:ascii="Book Antiqua" w:hAnsi="Book Antiqua"/>
          <w:lang w:val="es-ES"/>
        </w:rPr>
        <w:t xml:space="preserve"> </w:t>
      </w:r>
      <w:r>
        <w:rPr>
          <w:rFonts w:ascii="Book Antiqua" w:hAnsi="Book Antiqua"/>
          <w:lang w:val="es-ES"/>
        </w:rPr>
        <w:t>ayuntamientos</w:t>
      </w:r>
      <w:r w:rsidRPr="006E7AB2">
        <w:rPr>
          <w:rFonts w:ascii="Book Antiqua" w:hAnsi="Book Antiqua"/>
          <w:lang w:val="es-ES"/>
        </w:rPr>
        <w:t xml:space="preserve"> carecen de una estructura institucional formal que atienda de manera integral y preventiva los asuntos relacionados al bienestar animal. Esta ausencia provoca respuestas fragmentadas, reactivas y dependientes de esfuerzos voluntarios o de organizaciones sin fines de lucro que, aunque fundamentales, no pueden ni deben sustituir la responsabilidad gubernamental.</w:t>
      </w:r>
      <w:r w:rsidRPr="006E7AB2">
        <w:rPr>
          <w:rFonts w:ascii="Book Antiqua" w:hAnsi="Book Antiqua"/>
          <w:lang w:val="es-ES"/>
        </w:rPr>
        <w:tab/>
      </w:r>
    </w:p>
    <w:p w14:paraId="43F7E52E" w14:textId="77777777" w:rsidR="003A4974" w:rsidRPr="006E7AB2" w:rsidRDefault="003A4974" w:rsidP="003A4974">
      <w:pPr>
        <w:jc w:val="both"/>
        <w:rPr>
          <w:rFonts w:ascii="Book Antiqua" w:hAnsi="Book Antiqua"/>
          <w:lang w:val="es-ES"/>
        </w:rPr>
      </w:pPr>
    </w:p>
    <w:p w14:paraId="181FFD44" w14:textId="77777777" w:rsidR="003A4974" w:rsidRPr="006E7AB2" w:rsidRDefault="003A4974" w:rsidP="003A4974">
      <w:pPr>
        <w:jc w:val="both"/>
        <w:rPr>
          <w:rFonts w:ascii="Book Antiqua" w:hAnsi="Book Antiqua"/>
          <w:lang w:val="es-ES"/>
        </w:rPr>
      </w:pPr>
      <w:r w:rsidRPr="006E7AB2">
        <w:rPr>
          <w:rFonts w:ascii="Book Antiqua" w:hAnsi="Book Antiqua"/>
          <w:lang w:val="es-ES"/>
        </w:rPr>
        <w:t xml:space="preserve">La experiencia demuestra que las estrategias preventivas </w:t>
      </w:r>
      <w:r>
        <w:rPr>
          <w:rFonts w:ascii="Book Antiqua" w:hAnsi="Book Antiqua"/>
          <w:lang w:val="es-ES"/>
        </w:rPr>
        <w:t>-p</w:t>
      </w:r>
      <w:r w:rsidRPr="006E7AB2">
        <w:rPr>
          <w:rFonts w:ascii="Book Antiqua" w:hAnsi="Book Antiqua"/>
          <w:lang w:val="es-ES"/>
        </w:rPr>
        <w:t>articularmente la educación</w:t>
      </w:r>
      <w:r>
        <w:rPr>
          <w:rFonts w:ascii="Book Antiqua" w:hAnsi="Book Antiqua"/>
          <w:lang w:val="es-ES"/>
        </w:rPr>
        <w:t xml:space="preserve"> </w:t>
      </w:r>
      <w:r w:rsidRPr="006E7AB2">
        <w:rPr>
          <w:rFonts w:ascii="Book Antiqua" w:hAnsi="Book Antiqua"/>
          <w:lang w:val="es-ES"/>
        </w:rPr>
        <w:t>comunitaria y el control ético de la sobrepoblación mediante la esterilización</w:t>
      </w:r>
      <w:r>
        <w:rPr>
          <w:rFonts w:ascii="Book Antiqua" w:hAnsi="Book Antiqua"/>
          <w:lang w:val="es-ES"/>
        </w:rPr>
        <w:t>-</w:t>
      </w:r>
      <w:r w:rsidRPr="006E7AB2">
        <w:rPr>
          <w:rFonts w:ascii="Book Antiqua" w:hAnsi="Book Antiqua"/>
          <w:lang w:val="es-ES"/>
        </w:rPr>
        <w:t xml:space="preserve"> resultan más costo</w:t>
      </w:r>
      <w:r>
        <w:rPr>
          <w:rFonts w:ascii="Book Antiqua" w:hAnsi="Book Antiqua"/>
          <w:lang w:val="es-ES"/>
        </w:rPr>
        <w:t>-</w:t>
      </w:r>
      <w:r w:rsidRPr="006E7AB2">
        <w:rPr>
          <w:rFonts w:ascii="Book Antiqua" w:hAnsi="Book Antiqua"/>
          <w:lang w:val="es-ES"/>
        </w:rPr>
        <w:t>efectivas que las intervenciones reactivas asociadas al abandono, las emergencias sanitarias y las querellas ciudadanas.</w:t>
      </w:r>
    </w:p>
    <w:p w14:paraId="1E43CE3B" w14:textId="77777777" w:rsidR="003A4974" w:rsidRPr="006E7AB2" w:rsidRDefault="003A4974" w:rsidP="003A4974">
      <w:pPr>
        <w:jc w:val="both"/>
        <w:rPr>
          <w:rFonts w:ascii="Book Antiqua" w:hAnsi="Book Antiqua"/>
          <w:lang w:val="es-ES"/>
        </w:rPr>
      </w:pPr>
    </w:p>
    <w:p w14:paraId="2A4B6D93" w14:textId="77777777" w:rsidR="003A4974" w:rsidRPr="006E7AB2" w:rsidRDefault="003A4974" w:rsidP="003A4974">
      <w:pPr>
        <w:jc w:val="both"/>
        <w:rPr>
          <w:rFonts w:ascii="Book Antiqua" w:hAnsi="Book Antiqua"/>
          <w:lang w:val="es-ES"/>
        </w:rPr>
      </w:pPr>
      <w:r w:rsidRPr="006E7AB2">
        <w:rPr>
          <w:rFonts w:ascii="Book Antiqua" w:hAnsi="Book Antiqua"/>
          <w:lang w:val="es-ES"/>
        </w:rPr>
        <w:t>En este contexto, se propone el establecimiento del modelo de Oficinas Municipales para la Protección Animal y Control de la Sobrepoblación (OPACOS), como un mecanismo institucional municipal que fortale</w:t>
      </w:r>
      <w:r>
        <w:rPr>
          <w:rFonts w:ascii="Book Antiqua" w:hAnsi="Book Antiqua"/>
          <w:lang w:val="es-ES"/>
        </w:rPr>
        <w:t>zca</w:t>
      </w:r>
      <w:r w:rsidRPr="006E7AB2">
        <w:rPr>
          <w:rFonts w:ascii="Book Antiqua" w:hAnsi="Book Antiqua"/>
          <w:lang w:val="es-ES"/>
        </w:rPr>
        <w:t xml:space="preserve"> la capacidad local, foment</w:t>
      </w:r>
      <w:r>
        <w:rPr>
          <w:rFonts w:ascii="Book Antiqua" w:hAnsi="Book Antiqua"/>
          <w:lang w:val="es-ES"/>
        </w:rPr>
        <w:t>e</w:t>
      </w:r>
      <w:r w:rsidRPr="006E7AB2">
        <w:rPr>
          <w:rFonts w:ascii="Book Antiqua" w:hAnsi="Book Antiqua"/>
          <w:lang w:val="es-ES"/>
        </w:rPr>
        <w:t xml:space="preserve"> la coordinación </w:t>
      </w:r>
      <w:proofErr w:type="spellStart"/>
      <w:r w:rsidRPr="006E7AB2">
        <w:rPr>
          <w:rFonts w:ascii="Book Antiqua" w:hAnsi="Book Antiqua"/>
          <w:lang w:val="es-ES"/>
        </w:rPr>
        <w:t>interagencial</w:t>
      </w:r>
      <w:proofErr w:type="spellEnd"/>
      <w:r w:rsidRPr="006E7AB2">
        <w:rPr>
          <w:rFonts w:ascii="Book Antiqua" w:hAnsi="Book Antiqua"/>
          <w:lang w:val="es-ES"/>
        </w:rPr>
        <w:t xml:space="preserve"> y promuev</w:t>
      </w:r>
      <w:r>
        <w:rPr>
          <w:rFonts w:ascii="Book Antiqua" w:hAnsi="Book Antiqua"/>
          <w:lang w:val="es-ES"/>
        </w:rPr>
        <w:t>a</w:t>
      </w:r>
      <w:r w:rsidRPr="006E7AB2">
        <w:rPr>
          <w:rFonts w:ascii="Book Antiqua" w:hAnsi="Book Antiqua"/>
          <w:lang w:val="es-ES"/>
        </w:rPr>
        <w:t xml:space="preserve"> el cumplimiento de la política pública estatal vigente, sin duplicar ni invadir las funciones de las agencias reguladoras estatales.</w:t>
      </w:r>
    </w:p>
    <w:p w14:paraId="2AB76676" w14:textId="77777777" w:rsidR="003A4974" w:rsidRPr="006E7AB2" w:rsidRDefault="003A4974" w:rsidP="00B426BE">
      <w:pPr>
        <w:jc w:val="both"/>
        <w:rPr>
          <w:rFonts w:ascii="Book Antiqua" w:hAnsi="Book Antiqua"/>
          <w:lang w:val="es-ES"/>
        </w:rPr>
      </w:pPr>
    </w:p>
    <w:p w14:paraId="55A1479C" w14:textId="332FF3E7" w:rsidR="002169FB" w:rsidRDefault="004D7CDB" w:rsidP="00B426BE">
      <w:pPr>
        <w:pStyle w:val="NormalWeb"/>
        <w:spacing w:before="0" w:beforeAutospacing="0"/>
        <w:contextualSpacing/>
        <w:jc w:val="center"/>
        <w:rPr>
          <w:rFonts w:ascii="Book Antiqua" w:hAnsi="Book Antiqua"/>
          <w:b/>
          <w:i/>
          <w:smallCaps/>
          <w:lang w:val="es-ES_tradnl"/>
        </w:rPr>
      </w:pPr>
      <w:r>
        <w:rPr>
          <w:rFonts w:ascii="Book Antiqua" w:hAnsi="Book Antiqua"/>
          <w:b/>
          <w:i/>
          <w:smallCaps/>
          <w:lang w:val="es-ES_tradnl"/>
        </w:rPr>
        <w:t>Resumen de Memoriales</w:t>
      </w:r>
      <w:r w:rsidR="009E093A">
        <w:rPr>
          <w:rFonts w:ascii="Book Antiqua" w:hAnsi="Book Antiqua"/>
          <w:b/>
          <w:i/>
          <w:smallCaps/>
          <w:lang w:val="es-ES_tradnl"/>
        </w:rPr>
        <w:t xml:space="preserve"> y Trámite Legislativo</w:t>
      </w:r>
    </w:p>
    <w:p w14:paraId="24882CE5" w14:textId="77777777" w:rsidR="003A4974" w:rsidRDefault="003A4974" w:rsidP="003A4974">
      <w:pPr>
        <w:pStyle w:val="NormalWeb"/>
        <w:spacing w:before="0" w:beforeAutospacing="0" w:after="0" w:afterAutospacing="0"/>
        <w:contextualSpacing/>
        <w:jc w:val="both"/>
        <w:rPr>
          <w:rFonts w:ascii="Book Antiqua" w:hAnsi="Book Antiqua"/>
          <w:lang w:val="es-DO"/>
        </w:rPr>
      </w:pPr>
      <w:bookmarkStart w:id="1" w:name="_Hlk199336735"/>
    </w:p>
    <w:p w14:paraId="337FC84A" w14:textId="4576D224" w:rsidR="003A4974" w:rsidRDefault="003A4974" w:rsidP="003A4974">
      <w:pPr>
        <w:pStyle w:val="NormalWeb"/>
        <w:spacing w:before="0" w:beforeAutospacing="0" w:after="0" w:afterAutospacing="0"/>
        <w:contextualSpacing/>
        <w:jc w:val="both"/>
        <w:rPr>
          <w:rFonts w:ascii="Book Antiqua" w:hAnsi="Book Antiqua"/>
          <w:lang w:val="es-DO"/>
        </w:rPr>
      </w:pPr>
      <w:r>
        <w:rPr>
          <w:rFonts w:ascii="Book Antiqua" w:hAnsi="Book Antiqua"/>
          <w:lang w:val="es-DO"/>
        </w:rPr>
        <w:t xml:space="preserve">La medida de autoría de la </w:t>
      </w:r>
      <w:r w:rsidR="00B426BE">
        <w:rPr>
          <w:rFonts w:ascii="Book Antiqua" w:hAnsi="Book Antiqua"/>
          <w:lang w:val="es-DO"/>
        </w:rPr>
        <w:t>h</w:t>
      </w:r>
      <w:r>
        <w:rPr>
          <w:rFonts w:ascii="Book Antiqua" w:hAnsi="Book Antiqua"/>
          <w:lang w:val="es-DO"/>
        </w:rPr>
        <w:t xml:space="preserve">onorable González </w:t>
      </w:r>
      <w:r w:rsidR="00E67722">
        <w:rPr>
          <w:rFonts w:ascii="Book Antiqua" w:hAnsi="Book Antiqua"/>
          <w:lang w:val="es-DO"/>
        </w:rPr>
        <w:t>Aguayo</w:t>
      </w:r>
      <w:r>
        <w:rPr>
          <w:rFonts w:ascii="Book Antiqua" w:hAnsi="Book Antiqua"/>
          <w:lang w:val="es-DO"/>
        </w:rPr>
        <w:t xml:space="preserve"> fue presentada </w:t>
      </w:r>
      <w:r w:rsidR="00B4493C">
        <w:rPr>
          <w:rFonts w:ascii="Book Antiqua" w:hAnsi="Book Antiqua"/>
          <w:lang w:val="es-ES_tradnl"/>
        </w:rPr>
        <w:t>el 19 de marzo de 2026,</w:t>
      </w:r>
      <w:r w:rsidR="00B4493C">
        <w:rPr>
          <w:rFonts w:ascii="Book Antiqua" w:hAnsi="Book Antiqua"/>
          <w:lang w:val="es-DO"/>
        </w:rPr>
        <w:t xml:space="preserve"> </w:t>
      </w:r>
      <w:r>
        <w:rPr>
          <w:rFonts w:ascii="Book Antiqua" w:hAnsi="Book Antiqua"/>
          <w:lang w:val="es-DO"/>
        </w:rPr>
        <w:t xml:space="preserve">por petición del </w:t>
      </w:r>
      <w:r>
        <w:rPr>
          <w:rFonts w:ascii="Book Antiqua" w:hAnsi="Book Antiqua"/>
          <w:lang w:val="es-ES_tradnl"/>
        </w:rPr>
        <w:t>Movimiento Social Pro-Bienestar Animal</w:t>
      </w:r>
      <w:r w:rsidR="00B4493C">
        <w:rPr>
          <w:rFonts w:ascii="Book Antiqua" w:hAnsi="Book Antiqua"/>
          <w:lang w:val="es-ES_tradnl"/>
        </w:rPr>
        <w:t>.</w:t>
      </w:r>
      <w:r>
        <w:rPr>
          <w:rFonts w:ascii="Book Antiqua" w:hAnsi="Book Antiqua"/>
          <w:lang w:val="es-ES_tradnl"/>
        </w:rPr>
        <w:t xml:space="preserve"> </w:t>
      </w:r>
      <w:r>
        <w:rPr>
          <w:rFonts w:ascii="Book Antiqua" w:hAnsi="Book Antiqua"/>
          <w:lang w:val="es-DO"/>
        </w:rPr>
        <w:t>Durante el análisis de la medida, no se realizaron vistas públicas, y se utilizó la posición de las agencias e instrumentalidades por memorial. El pasado 6 de mayo de 2026, la Comisión de Asuntos Municipales, solicitó comentarios a las siguientes agencias:</w:t>
      </w:r>
    </w:p>
    <w:p w14:paraId="48338ADC" w14:textId="77777777" w:rsidR="003A4974" w:rsidRDefault="003A4974" w:rsidP="003A4974">
      <w:pPr>
        <w:pStyle w:val="NormalWeb"/>
        <w:spacing w:before="0" w:beforeAutospacing="0" w:after="0" w:afterAutospacing="0"/>
        <w:contextualSpacing/>
        <w:jc w:val="both"/>
        <w:rPr>
          <w:rFonts w:ascii="Book Antiqua" w:hAnsi="Book Antiqua"/>
          <w:lang w:val="es-DO"/>
        </w:rPr>
      </w:pPr>
    </w:p>
    <w:p w14:paraId="390E2EF3" w14:textId="77777777" w:rsidR="00E67722" w:rsidRDefault="00E67722"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Asociación de Abogados de Puerto Rico</w:t>
      </w:r>
    </w:p>
    <w:p w14:paraId="702BE37C" w14:textId="77777777" w:rsidR="00E67722" w:rsidRDefault="00E67722"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 xml:space="preserve">Asociación de </w:t>
      </w:r>
      <w:proofErr w:type="gramStart"/>
      <w:r>
        <w:rPr>
          <w:rFonts w:ascii="Book Antiqua" w:hAnsi="Book Antiqua"/>
          <w:lang w:val="es-DO"/>
        </w:rPr>
        <w:t>Alcaldes</w:t>
      </w:r>
      <w:proofErr w:type="gramEnd"/>
      <w:r>
        <w:rPr>
          <w:rFonts w:ascii="Book Antiqua" w:hAnsi="Book Antiqua"/>
          <w:lang w:val="es-DO"/>
        </w:rPr>
        <w:t xml:space="preserve"> de Puerto Rico </w:t>
      </w:r>
    </w:p>
    <w:p w14:paraId="5EC309A0" w14:textId="77777777" w:rsidR="00E67722" w:rsidRDefault="00E67722"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Colegio de Médicos Veterinarios</w:t>
      </w:r>
    </w:p>
    <w:p w14:paraId="7B552972" w14:textId="77777777" w:rsidR="00E67722" w:rsidRDefault="00E67722"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Departamento de Recursos Naturales y Ambientales</w:t>
      </w:r>
    </w:p>
    <w:p w14:paraId="0D23F0F4" w14:textId="6992FF72" w:rsidR="00E67722" w:rsidRDefault="00E67722"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 xml:space="preserve">Departamento de Seguridad </w:t>
      </w:r>
      <w:r w:rsidR="00B4493C">
        <w:rPr>
          <w:rFonts w:ascii="Book Antiqua" w:hAnsi="Book Antiqua"/>
          <w:lang w:val="es-DO"/>
        </w:rPr>
        <w:t>Pública</w:t>
      </w:r>
    </w:p>
    <w:p w14:paraId="36DF81E7" w14:textId="77777777" w:rsidR="00E67722" w:rsidRDefault="00E67722"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 xml:space="preserve">Federación de </w:t>
      </w:r>
      <w:proofErr w:type="gramStart"/>
      <w:r>
        <w:rPr>
          <w:rFonts w:ascii="Book Antiqua" w:hAnsi="Book Antiqua"/>
          <w:lang w:val="es-DO"/>
        </w:rPr>
        <w:t>Alcaldes</w:t>
      </w:r>
      <w:proofErr w:type="gramEnd"/>
      <w:r>
        <w:rPr>
          <w:rFonts w:ascii="Book Antiqua" w:hAnsi="Book Antiqua"/>
          <w:lang w:val="es-DO"/>
        </w:rPr>
        <w:t xml:space="preserve"> de Puerto Rico</w:t>
      </w:r>
    </w:p>
    <w:p w14:paraId="37875CC6" w14:textId="77777777" w:rsidR="00E67722" w:rsidRDefault="00E67722"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Movimiento Social Pro-Bienestar Animal</w:t>
      </w:r>
    </w:p>
    <w:p w14:paraId="5EFEFA4F" w14:textId="77777777" w:rsidR="00E67722" w:rsidRDefault="00E67722"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Oficina de Gerencia y Presupuesto</w:t>
      </w:r>
    </w:p>
    <w:p w14:paraId="76D5957E" w14:textId="77777777" w:rsidR="00E67722" w:rsidRPr="00E443A3" w:rsidRDefault="00E67722"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Policía de Puerto Rico</w:t>
      </w:r>
    </w:p>
    <w:p w14:paraId="7AD4F915" w14:textId="77777777" w:rsidR="00E67722" w:rsidRDefault="00E67722" w:rsidP="003A4974">
      <w:pPr>
        <w:pStyle w:val="NormalWeb"/>
        <w:numPr>
          <w:ilvl w:val="0"/>
          <w:numId w:val="50"/>
        </w:numPr>
        <w:spacing w:before="0" w:beforeAutospacing="0" w:after="0" w:afterAutospacing="0"/>
        <w:contextualSpacing/>
        <w:jc w:val="both"/>
        <w:rPr>
          <w:rFonts w:ascii="Book Antiqua" w:hAnsi="Book Antiqua"/>
          <w:lang w:val="es-DO"/>
        </w:rPr>
      </w:pPr>
      <w:r>
        <w:rPr>
          <w:rFonts w:ascii="Book Antiqua" w:hAnsi="Book Antiqua"/>
          <w:lang w:val="es-DO"/>
        </w:rPr>
        <w:t xml:space="preserve">Rabito </w:t>
      </w:r>
      <w:proofErr w:type="spellStart"/>
      <w:r>
        <w:rPr>
          <w:rFonts w:ascii="Book Antiqua" w:hAnsi="Book Antiqua"/>
          <w:lang w:val="es-DO"/>
        </w:rPr>
        <w:t>Kontento</w:t>
      </w:r>
      <w:proofErr w:type="spellEnd"/>
    </w:p>
    <w:p w14:paraId="7023E713" w14:textId="0672DD00" w:rsidR="00C615C8" w:rsidRPr="00C615C8" w:rsidRDefault="00C615C8" w:rsidP="00C615C8">
      <w:pPr>
        <w:pStyle w:val="NormalWeb"/>
        <w:jc w:val="both"/>
        <w:rPr>
          <w:rFonts w:ascii="Book Antiqua" w:hAnsi="Book Antiqua"/>
        </w:rPr>
      </w:pPr>
      <w:r w:rsidRPr="00C615C8">
        <w:rPr>
          <w:rFonts w:ascii="Book Antiqua" w:hAnsi="Book Antiqua"/>
        </w:rPr>
        <w:t>La</w:t>
      </w:r>
      <w:r w:rsidRPr="00C615C8">
        <w:rPr>
          <w:rFonts w:ascii="Book Antiqua" w:hAnsi="Book Antiqua"/>
          <w:b/>
          <w:bCs/>
          <w:i/>
          <w:iCs/>
        </w:rPr>
        <w:t xml:space="preserve"> Asociación de </w:t>
      </w:r>
      <w:proofErr w:type="gramStart"/>
      <w:r w:rsidRPr="00C615C8">
        <w:rPr>
          <w:rFonts w:ascii="Book Antiqua" w:hAnsi="Book Antiqua"/>
          <w:b/>
          <w:bCs/>
          <w:i/>
          <w:iCs/>
        </w:rPr>
        <w:t>Alcaldes</w:t>
      </w:r>
      <w:proofErr w:type="gramEnd"/>
      <w:r w:rsidRPr="00C615C8">
        <w:rPr>
          <w:rFonts w:ascii="Book Antiqua" w:hAnsi="Book Antiqua"/>
          <w:b/>
          <w:bCs/>
          <w:i/>
          <w:iCs/>
        </w:rPr>
        <w:t xml:space="preserve"> de Puerto Rico</w:t>
      </w:r>
      <w:r w:rsidR="00B426BE">
        <w:rPr>
          <w:rFonts w:ascii="Book Antiqua" w:hAnsi="Book Antiqua"/>
        </w:rPr>
        <w:t xml:space="preserve"> </w:t>
      </w:r>
      <w:r w:rsidR="00B426BE" w:rsidRPr="00B426BE">
        <w:rPr>
          <w:rFonts w:ascii="Book Antiqua" w:hAnsi="Book Antiqua"/>
          <w:b/>
          <w:bCs/>
          <w:i/>
          <w:iCs/>
        </w:rPr>
        <w:t>(AAPR)</w:t>
      </w:r>
      <w:r w:rsidR="00B426BE">
        <w:rPr>
          <w:rFonts w:ascii="Book Antiqua" w:hAnsi="Book Antiqua"/>
        </w:rPr>
        <w:t xml:space="preserve"> </w:t>
      </w:r>
      <w:r w:rsidRPr="00C615C8">
        <w:rPr>
          <w:rFonts w:ascii="Book Antiqua" w:hAnsi="Book Antiqua"/>
        </w:rPr>
        <w:t>presentó un memorial explicativo el 25 de marzo de 2026, suscrito por su directora ejecutiva, Verónica Rodríguez Irizarry, reconoci</w:t>
      </w:r>
      <w:r w:rsidR="00B426BE">
        <w:rPr>
          <w:rFonts w:ascii="Book Antiqua" w:hAnsi="Book Antiqua"/>
        </w:rPr>
        <w:t>endo</w:t>
      </w:r>
      <w:r w:rsidRPr="00C615C8">
        <w:rPr>
          <w:rFonts w:ascii="Book Antiqua" w:hAnsi="Book Antiqua"/>
        </w:rPr>
        <w:t xml:space="preserve"> que la medida persigue un objetivo legítimo al promover el bienestar animal, el control de la sobrepoblación y la adopción del enfoque de “Una Sola Salud” </w:t>
      </w:r>
      <w:r w:rsidRPr="00C615C8">
        <w:rPr>
          <w:rFonts w:ascii="Book Antiqua" w:hAnsi="Book Antiqua"/>
        </w:rPr>
        <w:lastRenderedPageBreak/>
        <w:t>(One Health), mediante la creación de las Oficinas Municipales para la Protección Animal y Control de la Sobrepoblación (OPACOS).</w:t>
      </w:r>
    </w:p>
    <w:p w14:paraId="2C64AE9A" w14:textId="3F205C58" w:rsidR="00C615C8" w:rsidRPr="00C615C8" w:rsidRDefault="00C615C8" w:rsidP="00C615C8">
      <w:pPr>
        <w:pStyle w:val="NormalWeb"/>
        <w:jc w:val="both"/>
        <w:rPr>
          <w:rFonts w:ascii="Book Antiqua" w:hAnsi="Book Antiqua"/>
        </w:rPr>
      </w:pPr>
      <w:r w:rsidRPr="00C615C8">
        <w:rPr>
          <w:rFonts w:ascii="Book Antiqua" w:hAnsi="Book Antiqua"/>
        </w:rPr>
        <w:t>La A</w:t>
      </w:r>
      <w:r w:rsidR="00B426BE">
        <w:rPr>
          <w:rFonts w:ascii="Book Antiqua" w:hAnsi="Book Antiqua"/>
        </w:rPr>
        <w:t>APR</w:t>
      </w:r>
      <w:r w:rsidRPr="00C615C8">
        <w:rPr>
          <w:rFonts w:ascii="Book Antiqua" w:hAnsi="Book Antiqua"/>
        </w:rPr>
        <w:t xml:space="preserve"> destacó que el modelo propuesto procura fortalecer la capacidad institucional de los municipios para atender asuntos relacionados con el bienestar animal, fomentar la coordinación </w:t>
      </w:r>
      <w:proofErr w:type="spellStart"/>
      <w:r w:rsidRPr="00C615C8">
        <w:rPr>
          <w:rFonts w:ascii="Book Antiqua" w:hAnsi="Book Antiqua"/>
        </w:rPr>
        <w:t>interagencial</w:t>
      </w:r>
      <w:proofErr w:type="spellEnd"/>
      <w:r w:rsidRPr="00C615C8">
        <w:rPr>
          <w:rFonts w:ascii="Book Antiqua" w:hAnsi="Book Antiqua"/>
        </w:rPr>
        <w:t xml:space="preserve"> y apoyar la implantación de la política pública estatal en esta materia. Asimismo, reconoció que la prevención del abandono, la sobrepoblación y el maltrato animal puede contribuir a reducir riesgos sanitarios y mejorar la convivencia comunitaria.</w:t>
      </w:r>
    </w:p>
    <w:p w14:paraId="2D8B1699" w14:textId="77777777" w:rsidR="00C615C8" w:rsidRPr="00C615C8" w:rsidRDefault="00C615C8" w:rsidP="00C615C8">
      <w:pPr>
        <w:pStyle w:val="NormalWeb"/>
        <w:jc w:val="both"/>
        <w:rPr>
          <w:rFonts w:ascii="Book Antiqua" w:hAnsi="Book Antiqua"/>
        </w:rPr>
      </w:pPr>
      <w:r w:rsidRPr="00C615C8">
        <w:rPr>
          <w:rFonts w:ascii="Book Antiqua" w:hAnsi="Book Antiqua"/>
        </w:rPr>
        <w:t>No obstante, la entidad expresó reservas sobre la necesidad de la medida, señalando que el Código Municipal ya reconoce amplias facultades a los municipios para diseñar, organizar y desarrollar programas de bienestar general, así como para crear las unidades administrativas que estimen necesarias mediante ordenanza municipal. A su juicio, la legislación vigente ya provee las herramientas necesarias para que los municipios establezcan iniciativas relacionadas con el bienestar animal sin requerir una legislación especial adicional.</w:t>
      </w:r>
    </w:p>
    <w:p w14:paraId="4BEEBE74" w14:textId="5CB7FE2C" w:rsidR="00C615C8" w:rsidRPr="00C615C8" w:rsidRDefault="00C615C8" w:rsidP="00C615C8">
      <w:pPr>
        <w:pStyle w:val="NormalWeb"/>
        <w:jc w:val="both"/>
        <w:rPr>
          <w:rFonts w:ascii="Book Antiqua" w:hAnsi="Book Antiqua"/>
        </w:rPr>
      </w:pPr>
      <w:r w:rsidRPr="00C615C8">
        <w:rPr>
          <w:rFonts w:ascii="Book Antiqua" w:hAnsi="Book Antiqua"/>
        </w:rPr>
        <w:t>La A</w:t>
      </w:r>
      <w:r w:rsidR="00B426BE">
        <w:rPr>
          <w:rFonts w:ascii="Book Antiqua" w:hAnsi="Book Antiqua"/>
        </w:rPr>
        <w:t>APR</w:t>
      </w:r>
      <w:r w:rsidRPr="00C615C8">
        <w:rPr>
          <w:rFonts w:ascii="Book Antiqua" w:hAnsi="Book Antiqua"/>
        </w:rPr>
        <w:t xml:space="preserve"> también manifestó preocupación por el impacto operacional y fiscal que podría generar la medida. Indicó que el proyecto delega responsabilidades significativas a los municipios sin establecer una participación obligatoria y estructurada del Gobierno Estatal, particularmente del Departamento de Salud. Según expuso, los municipios enfrentan limitaciones de recursos técnicos y fiscales, mientras que la implementación del modelo requeriría labores continuas de educación comunitaria, esterilización, coordinación </w:t>
      </w:r>
      <w:proofErr w:type="spellStart"/>
      <w:r w:rsidRPr="00C615C8">
        <w:rPr>
          <w:rFonts w:ascii="Book Antiqua" w:hAnsi="Book Antiqua"/>
        </w:rPr>
        <w:t>interagencial</w:t>
      </w:r>
      <w:proofErr w:type="spellEnd"/>
      <w:r w:rsidRPr="00C615C8">
        <w:rPr>
          <w:rFonts w:ascii="Book Antiqua" w:hAnsi="Book Antiqua"/>
        </w:rPr>
        <w:t>, recopilación de datos, manejo de querellas y preparación de informes.</w:t>
      </w:r>
    </w:p>
    <w:p w14:paraId="210D3DF0" w14:textId="77777777" w:rsidR="00C615C8" w:rsidRPr="00C615C8" w:rsidRDefault="00C615C8" w:rsidP="00C615C8">
      <w:pPr>
        <w:pStyle w:val="NormalWeb"/>
        <w:jc w:val="both"/>
        <w:rPr>
          <w:rFonts w:ascii="Book Antiqua" w:hAnsi="Book Antiqua"/>
        </w:rPr>
      </w:pPr>
      <w:r w:rsidRPr="00C615C8">
        <w:rPr>
          <w:rFonts w:ascii="Book Antiqua" w:hAnsi="Book Antiqua"/>
        </w:rPr>
        <w:t>De igual forma, señaló que las fuentes de financiamiento contempladas en la medida no son recurrentes ni garantizadas, pues dependerían en gran medida de la capacidad fiscal de cada municipio y de recursos variables, como los provenientes de la venta de estorbos públicos. La entidad sostuvo que este aspecto no se encuentra contemplado dentro del Plan Fiscal vigente aprobado para el Gobierno de Puerto Rico, por lo que podría representar un reto para la sostenibilidad del modelo.</w:t>
      </w:r>
    </w:p>
    <w:p w14:paraId="74EF8237" w14:textId="4F2AE388" w:rsidR="00C615C8" w:rsidRDefault="00C615C8" w:rsidP="00C615C8">
      <w:pPr>
        <w:pStyle w:val="NormalWeb"/>
        <w:jc w:val="both"/>
        <w:rPr>
          <w:rFonts w:ascii="Book Antiqua" w:hAnsi="Book Antiqua"/>
        </w:rPr>
      </w:pPr>
      <w:r w:rsidRPr="00C615C8">
        <w:rPr>
          <w:rFonts w:ascii="Book Antiqua" w:hAnsi="Book Antiqua"/>
        </w:rPr>
        <w:t>Finalmente, la A</w:t>
      </w:r>
      <w:r w:rsidR="00B426BE">
        <w:rPr>
          <w:rFonts w:ascii="Book Antiqua" w:hAnsi="Book Antiqua"/>
        </w:rPr>
        <w:t>APR</w:t>
      </w:r>
      <w:r w:rsidRPr="00C615C8">
        <w:rPr>
          <w:rFonts w:ascii="Book Antiqua" w:hAnsi="Book Antiqua"/>
        </w:rPr>
        <w:t xml:space="preserve"> expresó preocupación por posibles conflictos de jurisdicción y duplicidad de funciones entre los municipios y las agencias estatales con competencia en materia de bienestar animal y salud pública. </w:t>
      </w:r>
    </w:p>
    <w:p w14:paraId="4328EF4D" w14:textId="074ED3D8" w:rsidR="00B4493C" w:rsidRPr="00B4493C" w:rsidRDefault="00B4493C" w:rsidP="00C615C8">
      <w:pPr>
        <w:pStyle w:val="NormalWeb"/>
        <w:jc w:val="both"/>
        <w:rPr>
          <w:rFonts w:ascii="Book Antiqua" w:hAnsi="Book Antiqua"/>
        </w:rPr>
      </w:pPr>
      <w:r>
        <w:rPr>
          <w:rFonts w:ascii="Book Antiqua" w:hAnsi="Book Antiqua"/>
        </w:rPr>
        <w:t>L</w:t>
      </w:r>
      <w:r w:rsidRPr="00B4493C">
        <w:rPr>
          <w:rFonts w:ascii="Book Antiqua" w:hAnsi="Book Antiqua"/>
        </w:rPr>
        <w:t xml:space="preserve">a </w:t>
      </w:r>
      <w:r w:rsidRPr="00B4493C">
        <w:rPr>
          <w:rFonts w:ascii="Book Antiqua" w:hAnsi="Book Antiqua"/>
          <w:b/>
          <w:bCs/>
          <w:i/>
          <w:iCs/>
        </w:rPr>
        <w:t xml:space="preserve">Federación de </w:t>
      </w:r>
      <w:proofErr w:type="gramStart"/>
      <w:r w:rsidRPr="00B4493C">
        <w:rPr>
          <w:rFonts w:ascii="Book Antiqua" w:hAnsi="Book Antiqua"/>
          <w:b/>
          <w:bCs/>
          <w:i/>
          <w:iCs/>
        </w:rPr>
        <w:t>Alcaldes</w:t>
      </w:r>
      <w:proofErr w:type="gramEnd"/>
      <w:r w:rsidRPr="00B4493C">
        <w:rPr>
          <w:rFonts w:ascii="Book Antiqua" w:hAnsi="Book Antiqua"/>
          <w:b/>
          <w:bCs/>
          <w:i/>
          <w:iCs/>
        </w:rPr>
        <w:t xml:space="preserve"> de Puerto Rico </w:t>
      </w:r>
      <w:r w:rsidR="00A77EEE">
        <w:rPr>
          <w:rFonts w:ascii="Book Antiqua" w:hAnsi="Book Antiqua"/>
          <w:b/>
          <w:bCs/>
          <w:i/>
          <w:iCs/>
        </w:rPr>
        <w:t xml:space="preserve">(FAPR) </w:t>
      </w:r>
      <w:r>
        <w:rPr>
          <w:rFonts w:ascii="Book Antiqua" w:hAnsi="Book Antiqua"/>
        </w:rPr>
        <w:t>compareció</w:t>
      </w:r>
      <w:r w:rsidRPr="00B4493C">
        <w:rPr>
          <w:rFonts w:ascii="Book Antiqua" w:hAnsi="Book Antiqua"/>
        </w:rPr>
        <w:t xml:space="preserve"> el 11 de mayo de 2026</w:t>
      </w:r>
      <w:r>
        <w:rPr>
          <w:rFonts w:ascii="Book Antiqua" w:hAnsi="Book Antiqua"/>
        </w:rPr>
        <w:t>, en memorial</w:t>
      </w:r>
      <w:r w:rsidRPr="00B4493C">
        <w:rPr>
          <w:rFonts w:ascii="Book Antiqua" w:hAnsi="Book Antiqua"/>
        </w:rPr>
        <w:t xml:space="preserve"> suscrito por su director ejecutivo, Ángel M. Morales </w:t>
      </w:r>
      <w:r w:rsidR="00B426BE" w:rsidRPr="00B4493C">
        <w:rPr>
          <w:rFonts w:ascii="Book Antiqua" w:hAnsi="Book Antiqua"/>
        </w:rPr>
        <w:t>Vázquez, expresó</w:t>
      </w:r>
      <w:r w:rsidRPr="00B4493C">
        <w:rPr>
          <w:rFonts w:ascii="Book Antiqua" w:hAnsi="Book Antiqua"/>
        </w:rPr>
        <w:t xml:space="preserve"> su respaldo a</w:t>
      </w:r>
      <w:r>
        <w:rPr>
          <w:rFonts w:ascii="Book Antiqua" w:hAnsi="Book Antiqua"/>
        </w:rPr>
        <w:t xml:space="preserve"> la medida. </w:t>
      </w:r>
      <w:r w:rsidRPr="00B4493C">
        <w:rPr>
          <w:rFonts w:ascii="Book Antiqua" w:hAnsi="Book Antiqua"/>
        </w:rPr>
        <w:t>La F</w:t>
      </w:r>
      <w:r w:rsidR="00B426BE">
        <w:rPr>
          <w:rFonts w:ascii="Book Antiqua" w:hAnsi="Book Antiqua"/>
        </w:rPr>
        <w:t>APR</w:t>
      </w:r>
      <w:r w:rsidRPr="00B4493C">
        <w:rPr>
          <w:rFonts w:ascii="Book Antiqua" w:hAnsi="Book Antiqua"/>
        </w:rPr>
        <w:t xml:space="preserve"> reconoció que el abandono de animales y la sobrepoblación animal constituyen situaciones que impactan directamente la salud pública, la convivencia comunitaria y la calidad de vida de los residentes. En ese sentido, </w:t>
      </w:r>
      <w:r w:rsidRPr="00B4493C">
        <w:rPr>
          <w:rFonts w:ascii="Book Antiqua" w:hAnsi="Book Antiqua"/>
        </w:rPr>
        <w:lastRenderedPageBreak/>
        <w:t>favoreció la creación de mecanismos que permitan atender estas problemáticas mediante estrategias preventivas, educativas y de colaboración con diversos sectores de la comunidad.</w:t>
      </w:r>
    </w:p>
    <w:p w14:paraId="1471394A" w14:textId="6A7EE2E8" w:rsidR="00B4493C" w:rsidRPr="00B4493C" w:rsidRDefault="00B4493C" w:rsidP="00B4493C">
      <w:pPr>
        <w:pStyle w:val="isselectedend"/>
        <w:jc w:val="both"/>
        <w:rPr>
          <w:rFonts w:ascii="Book Antiqua" w:hAnsi="Book Antiqua"/>
          <w:lang w:val="es-PR"/>
        </w:rPr>
      </w:pPr>
      <w:r w:rsidRPr="00B4493C">
        <w:rPr>
          <w:rFonts w:ascii="Book Antiqua" w:hAnsi="Book Antiqua"/>
          <w:lang w:val="es-PR"/>
        </w:rPr>
        <w:t xml:space="preserve">Asimismo, destacó que uno de los principales méritos de la medida es su carácter flexible y voluntario, ya que permite que cada municipio determine si adopta o no el modelo OPACOS conforme a su capacidad fiscal, administrativa y operacional. A juicio de la </w:t>
      </w:r>
      <w:r>
        <w:rPr>
          <w:rFonts w:ascii="Book Antiqua" w:hAnsi="Book Antiqua"/>
          <w:lang w:val="es-PR"/>
        </w:rPr>
        <w:t>F</w:t>
      </w:r>
      <w:r w:rsidR="00B426BE">
        <w:rPr>
          <w:rFonts w:ascii="Book Antiqua" w:hAnsi="Book Antiqua"/>
          <w:lang w:val="es-PR"/>
        </w:rPr>
        <w:t>APR</w:t>
      </w:r>
      <w:r>
        <w:rPr>
          <w:rFonts w:ascii="Book Antiqua" w:hAnsi="Book Antiqua"/>
          <w:lang w:val="es-PR"/>
        </w:rPr>
        <w:t>,</w:t>
      </w:r>
      <w:r w:rsidRPr="00B4493C">
        <w:rPr>
          <w:rFonts w:ascii="Book Antiqua" w:hAnsi="Book Antiqua"/>
          <w:lang w:val="es-PR"/>
        </w:rPr>
        <w:t xml:space="preserve"> dicho enfoque es consistente con los principios de autonomía municipal reconocidos en el Código Municipal de Puerto Rico y permite que cada ayuntamiento establezca sus prioridades de acuerdo con las necesidades particulares de su jurisdicción.</w:t>
      </w:r>
    </w:p>
    <w:p w14:paraId="56AF76F7" w14:textId="446BA3DF" w:rsidR="00B4493C" w:rsidRPr="00B4493C" w:rsidRDefault="00B4493C" w:rsidP="00B4493C">
      <w:pPr>
        <w:pStyle w:val="isselectedend"/>
        <w:jc w:val="both"/>
        <w:rPr>
          <w:rFonts w:ascii="Book Antiqua" w:hAnsi="Book Antiqua"/>
          <w:lang w:val="es-PR"/>
        </w:rPr>
      </w:pPr>
      <w:r w:rsidRPr="00B4493C">
        <w:rPr>
          <w:rFonts w:ascii="Book Antiqua" w:hAnsi="Book Antiqua"/>
          <w:lang w:val="es-PR"/>
        </w:rPr>
        <w:t>La F</w:t>
      </w:r>
      <w:r w:rsidR="00B426BE">
        <w:rPr>
          <w:rFonts w:ascii="Book Antiqua" w:hAnsi="Book Antiqua"/>
          <w:lang w:val="es-PR"/>
        </w:rPr>
        <w:t>APR</w:t>
      </w:r>
      <w:r w:rsidRPr="00B4493C">
        <w:rPr>
          <w:rFonts w:ascii="Book Antiqua" w:hAnsi="Book Antiqua"/>
          <w:lang w:val="es-PR"/>
        </w:rPr>
        <w:t xml:space="preserve"> también favoreció las disposiciones que promueven la colaboración entre los municipios, organizaciones sin fines de lucro, médicos veterinarios, rescatistas y grupos comunitarios, entendiendo que la atención de los asuntos relacionados con el bienestar animal requiere un esfuerzo coordinado entre los sectores público y privado.</w:t>
      </w:r>
    </w:p>
    <w:p w14:paraId="2473CC95" w14:textId="77777777" w:rsidR="00B4493C" w:rsidRPr="00B4493C" w:rsidRDefault="00B4493C" w:rsidP="00B4493C">
      <w:pPr>
        <w:pStyle w:val="isselectedend"/>
        <w:jc w:val="both"/>
        <w:rPr>
          <w:rFonts w:ascii="Book Antiqua" w:hAnsi="Book Antiqua"/>
          <w:lang w:val="es-PR"/>
        </w:rPr>
      </w:pPr>
      <w:r w:rsidRPr="00B4493C">
        <w:rPr>
          <w:rFonts w:ascii="Book Antiqua" w:hAnsi="Book Antiqua"/>
          <w:lang w:val="es-PR"/>
        </w:rPr>
        <w:t>No obstante, la entidad manifestó preocupación ante la posibilidad de que, en el futuro, una legislación de esta naturaleza pueda dar paso a nuevas obligaciones operacionales o presiones presupuestarias sobre municipios que enfrentan limitaciones fiscales significativas. Por tal razón, recomendó que se preserve expresamente el carácter voluntario y discrecional del modelo propuesto, evitando interpretaciones que puedan convertir esta autorización legislativa en un mandato uniforme para todos los municipios.</w:t>
      </w:r>
    </w:p>
    <w:p w14:paraId="097C245C" w14:textId="70FC55DF" w:rsidR="00B4493C" w:rsidRDefault="00B4493C" w:rsidP="00B4493C">
      <w:pPr>
        <w:pStyle w:val="NormalWeb"/>
        <w:jc w:val="both"/>
        <w:rPr>
          <w:rFonts w:ascii="Book Antiqua" w:hAnsi="Book Antiqua"/>
        </w:rPr>
      </w:pPr>
      <w:r w:rsidRPr="00B4493C">
        <w:rPr>
          <w:rFonts w:ascii="Book Antiqua" w:hAnsi="Book Antiqua"/>
        </w:rPr>
        <w:t>De igual forma, señaló que debe evitarse que la medida se convierta en un mecanismo para transferir responsabilidades del gobierno central a los municipios sin la correspondiente asignación de recursos recurrentes que permitan asumir dichas funciones de manera adecuada. En consecuencia, la F</w:t>
      </w:r>
      <w:r w:rsidR="00B426BE">
        <w:rPr>
          <w:rFonts w:ascii="Book Antiqua" w:hAnsi="Book Antiqua"/>
        </w:rPr>
        <w:t>APR</w:t>
      </w:r>
      <w:r w:rsidRPr="00B4493C">
        <w:rPr>
          <w:rFonts w:ascii="Book Antiqua" w:hAnsi="Book Antiqua"/>
        </w:rPr>
        <w:t xml:space="preserve"> expresó su respaldo a</w:t>
      </w:r>
      <w:r>
        <w:rPr>
          <w:rFonts w:ascii="Book Antiqua" w:hAnsi="Book Antiqua"/>
        </w:rPr>
        <w:t xml:space="preserve"> la medida</w:t>
      </w:r>
      <w:r w:rsidRPr="00B4493C">
        <w:rPr>
          <w:rFonts w:ascii="Book Antiqua" w:hAnsi="Book Antiqua"/>
        </w:rPr>
        <w:t xml:space="preserve"> y recomendó su aprobación, siempre que se mantenga claramente protegido el carácter voluntario del modelo y se respete la autonomía municipal.</w:t>
      </w:r>
    </w:p>
    <w:p w14:paraId="39B87059" w14:textId="413A2196" w:rsidR="00B4493C" w:rsidRPr="00B4493C" w:rsidRDefault="00A77EEE" w:rsidP="00A77EEE">
      <w:pPr>
        <w:pStyle w:val="isselectedend"/>
        <w:jc w:val="both"/>
        <w:rPr>
          <w:rFonts w:ascii="Book Antiqua" w:hAnsi="Book Antiqua"/>
          <w:lang w:val="es-DO"/>
        </w:rPr>
      </w:pPr>
      <w:r w:rsidRPr="00B426BE">
        <w:rPr>
          <w:rFonts w:ascii="Book Antiqua" w:hAnsi="Book Antiqua"/>
          <w:lang w:val="es-DO"/>
        </w:rPr>
        <w:t>El</w:t>
      </w:r>
      <w:r>
        <w:rPr>
          <w:rFonts w:ascii="Book Antiqua" w:hAnsi="Book Antiqua"/>
          <w:b/>
          <w:bCs/>
          <w:i/>
          <w:iCs/>
          <w:lang w:val="es-DO"/>
        </w:rPr>
        <w:t xml:space="preserve"> </w:t>
      </w:r>
      <w:r w:rsidRPr="00A77EEE">
        <w:rPr>
          <w:rFonts w:ascii="Book Antiqua" w:hAnsi="Book Antiqua"/>
          <w:b/>
          <w:bCs/>
          <w:i/>
          <w:iCs/>
          <w:lang w:val="es-DO"/>
        </w:rPr>
        <w:t>Movimiento Social Pro-Bienestar Animal (MOSPBA)</w:t>
      </w:r>
      <w:r>
        <w:rPr>
          <w:rFonts w:ascii="Book Antiqua" w:hAnsi="Book Antiqua"/>
          <w:b/>
          <w:bCs/>
          <w:i/>
          <w:iCs/>
          <w:lang w:val="es-DO"/>
        </w:rPr>
        <w:t xml:space="preserve"> </w:t>
      </w:r>
      <w:r>
        <w:rPr>
          <w:rFonts w:ascii="Book Antiqua" w:hAnsi="Book Antiqua"/>
          <w:lang w:val="es-DO"/>
        </w:rPr>
        <w:t>presentó</w:t>
      </w:r>
      <w:r w:rsidRPr="00A77EEE">
        <w:rPr>
          <w:rFonts w:ascii="Book Antiqua" w:hAnsi="Book Antiqua"/>
          <w:lang w:val="es-DO"/>
        </w:rPr>
        <w:t xml:space="preserve"> </w:t>
      </w:r>
      <w:r w:rsidR="00B426BE" w:rsidRPr="00A77EEE">
        <w:rPr>
          <w:rFonts w:ascii="Book Antiqua" w:hAnsi="Book Antiqua"/>
          <w:lang w:val="es-DO"/>
        </w:rPr>
        <w:t>su</w:t>
      </w:r>
      <w:r w:rsidR="00B426BE">
        <w:rPr>
          <w:rFonts w:ascii="Book Antiqua" w:hAnsi="Book Antiqua"/>
          <w:b/>
          <w:bCs/>
          <w:i/>
          <w:iCs/>
          <w:lang w:val="es-DO"/>
        </w:rPr>
        <w:t xml:space="preserve"> </w:t>
      </w:r>
      <w:r w:rsidR="00B426BE" w:rsidRPr="00B4493C">
        <w:rPr>
          <w:rFonts w:ascii="Book Antiqua" w:hAnsi="Book Antiqua"/>
          <w:lang w:val="es-DO"/>
        </w:rPr>
        <w:t>memorial</w:t>
      </w:r>
      <w:r>
        <w:rPr>
          <w:rFonts w:ascii="Book Antiqua" w:hAnsi="Book Antiqua"/>
          <w:lang w:val="es-DO"/>
        </w:rPr>
        <w:t xml:space="preserve"> </w:t>
      </w:r>
      <w:r w:rsidR="00B4493C" w:rsidRPr="00B4493C">
        <w:rPr>
          <w:rFonts w:ascii="Book Antiqua" w:hAnsi="Book Antiqua"/>
          <w:lang w:val="es-DO"/>
        </w:rPr>
        <w:t xml:space="preserve">el 23 de marzo de 2026, </w:t>
      </w:r>
      <w:r>
        <w:rPr>
          <w:rFonts w:ascii="Book Antiqua" w:hAnsi="Book Antiqua"/>
          <w:lang w:val="es-DO"/>
        </w:rPr>
        <w:t>firmado por su presidenta,</w:t>
      </w:r>
      <w:r w:rsidR="00B4493C" w:rsidRPr="00B4493C">
        <w:rPr>
          <w:rFonts w:ascii="Book Antiqua" w:hAnsi="Book Antiqua"/>
          <w:lang w:val="es-DO"/>
        </w:rPr>
        <w:t xml:space="preserve"> la señora Lillian García Navedo, para expresar el respaldo total de dicha organización.</w:t>
      </w:r>
      <w:r>
        <w:rPr>
          <w:rFonts w:ascii="Book Antiqua" w:hAnsi="Book Antiqua"/>
          <w:lang w:val="es-DO"/>
        </w:rPr>
        <w:t xml:space="preserve"> </w:t>
      </w:r>
      <w:r w:rsidR="00B4493C" w:rsidRPr="00B4493C">
        <w:rPr>
          <w:rFonts w:ascii="Book Antiqua" w:hAnsi="Book Antiqua"/>
          <w:lang w:val="es-DO"/>
        </w:rPr>
        <w:t>MOSPBA sostuvo que Puerto Rico enfrenta una crisis de sobrepoblación y abandono de animales domésticos que impacta directamente la salud pública, la seguridad comunitaria y la calidad de vida de las comunidades. En ese sentido, destacó que la medida reconoce la interrelación existente entre la salud humana, animal y ambiental bajo el concepto de “One Health” o “Una Sola Salud”, promoviendo estrategias dirigidas a atender de forma integral esta problemática.</w:t>
      </w:r>
    </w:p>
    <w:p w14:paraId="73BAE244" w14:textId="4B1DE321" w:rsidR="00B4493C" w:rsidRPr="00B4493C" w:rsidRDefault="00B4493C" w:rsidP="00A77EEE">
      <w:pPr>
        <w:pStyle w:val="isselectedend"/>
        <w:jc w:val="both"/>
        <w:rPr>
          <w:rFonts w:ascii="Book Antiqua" w:hAnsi="Book Antiqua"/>
          <w:lang w:val="es-DO"/>
        </w:rPr>
      </w:pPr>
      <w:r w:rsidRPr="00B4493C">
        <w:rPr>
          <w:rFonts w:ascii="Book Antiqua" w:hAnsi="Book Antiqua"/>
          <w:lang w:val="es-DO"/>
        </w:rPr>
        <w:t xml:space="preserve">Asimismo, la organización señaló que el abandono y maltrato de animales </w:t>
      </w:r>
      <w:r w:rsidR="00A77EEE">
        <w:rPr>
          <w:rFonts w:ascii="Book Antiqua" w:hAnsi="Book Antiqua"/>
          <w:lang w:val="es-DO"/>
        </w:rPr>
        <w:t>generan</w:t>
      </w:r>
      <w:r w:rsidRPr="00B4493C">
        <w:rPr>
          <w:rFonts w:ascii="Book Antiqua" w:hAnsi="Book Antiqua"/>
          <w:lang w:val="es-DO"/>
        </w:rPr>
        <w:t xml:space="preserve"> costos significativos para el Estado y los municipios, por lo que resulta necesario adoptar un enfoque preventivo basado en la educación, la esterilización y el control responsable de </w:t>
      </w:r>
      <w:r w:rsidRPr="00B4493C">
        <w:rPr>
          <w:rFonts w:ascii="Book Antiqua" w:hAnsi="Book Antiqua"/>
          <w:lang w:val="es-DO"/>
        </w:rPr>
        <w:lastRenderedPageBreak/>
        <w:t>la población animal. A su juicio, la creación de las OPACOS permitirá a los municipios desarrollar iniciativas dirigidas a atender estas situaciones antes de que se conviertan en problemas mayores de salud pública y seguridad.</w:t>
      </w:r>
    </w:p>
    <w:p w14:paraId="63874609" w14:textId="77777777" w:rsidR="00B4493C" w:rsidRPr="00B4493C" w:rsidRDefault="00B4493C" w:rsidP="00A77EEE">
      <w:pPr>
        <w:pStyle w:val="isselectedend"/>
        <w:jc w:val="both"/>
        <w:rPr>
          <w:rFonts w:ascii="Book Antiqua" w:hAnsi="Book Antiqua"/>
          <w:lang w:val="es-DO"/>
        </w:rPr>
      </w:pPr>
      <w:r w:rsidRPr="00B4493C">
        <w:rPr>
          <w:rFonts w:ascii="Book Antiqua" w:hAnsi="Book Antiqua"/>
          <w:lang w:val="es-DO"/>
        </w:rPr>
        <w:t>De igual forma, MOSPBA favoreció el modelo propuesto por entender que brinda a los municipios la facultad de desarrollar programas adaptados a las necesidades particulares de sus respectivas comunidades. Además, destacó que la medida fomenta la colaboración entre municipios, agencias gubernamentales, policías municipales, organizaciones sin fines de lucro, rescatistas y otros sectores comunitarios, promoviendo un esfuerzo coordinado para atender la problemática del bienestar animal.</w:t>
      </w:r>
    </w:p>
    <w:p w14:paraId="5796A082" w14:textId="77777777" w:rsidR="00B4493C" w:rsidRPr="00B4493C" w:rsidRDefault="00B4493C" w:rsidP="00A77EEE">
      <w:pPr>
        <w:pStyle w:val="isselectedend"/>
        <w:jc w:val="both"/>
        <w:rPr>
          <w:rFonts w:ascii="Book Antiqua" w:hAnsi="Book Antiqua"/>
          <w:lang w:val="es-DO"/>
        </w:rPr>
      </w:pPr>
      <w:r w:rsidRPr="00B4493C">
        <w:rPr>
          <w:rFonts w:ascii="Book Antiqua" w:hAnsi="Book Antiqua"/>
          <w:lang w:val="es-DO"/>
        </w:rPr>
        <w:t>La organización también resaltó las disposiciones relacionadas con las fuentes de financiamiento contempladas en la medida, particularmente aquellas que permitirían utilizar recursos provenientes de la venta de estorbos públicos expropiados y otras alternativas autorizadas por ley. Según expuso, estas herramientas podrían facilitar la implantación de las OPACOS y reducir las limitaciones presupuestarias que frecuentemente enfrentan los municipios.</w:t>
      </w:r>
    </w:p>
    <w:p w14:paraId="489881E1" w14:textId="71EA587C" w:rsidR="00B4493C" w:rsidRPr="00B4493C" w:rsidRDefault="00B4493C" w:rsidP="00A77EEE">
      <w:pPr>
        <w:pStyle w:val="NormalWeb"/>
        <w:jc w:val="both"/>
        <w:rPr>
          <w:rFonts w:ascii="Book Antiqua" w:hAnsi="Book Antiqua"/>
          <w:lang w:val="es-DO"/>
        </w:rPr>
      </w:pPr>
      <w:r w:rsidRPr="00B4493C">
        <w:rPr>
          <w:rFonts w:ascii="Book Antiqua" w:hAnsi="Book Antiqua"/>
          <w:lang w:val="es-DO"/>
        </w:rPr>
        <w:t xml:space="preserve">Finalmente, MOSPBA concluyó que </w:t>
      </w:r>
      <w:r w:rsidR="00A77EEE">
        <w:rPr>
          <w:rFonts w:ascii="Book Antiqua" w:hAnsi="Book Antiqua"/>
          <w:lang w:val="es-DO"/>
        </w:rPr>
        <w:t xml:space="preserve">la medida </w:t>
      </w:r>
      <w:r w:rsidRPr="00B4493C">
        <w:rPr>
          <w:rFonts w:ascii="Book Antiqua" w:hAnsi="Book Antiqua"/>
          <w:lang w:val="es-DO"/>
        </w:rPr>
        <w:t>provee el marco legal necesario para que los municipios asuman un rol más activo en la protección animal y el control de la sobrepoblación, por lo que solicitó la aprobación de la medida mediante un informe positivo.</w:t>
      </w:r>
    </w:p>
    <w:p w14:paraId="24F8148D" w14:textId="5A1E9677" w:rsidR="00272761" w:rsidRPr="00272761" w:rsidRDefault="00272761" w:rsidP="00272761">
      <w:pPr>
        <w:pStyle w:val="NormalWeb"/>
        <w:jc w:val="both"/>
        <w:rPr>
          <w:rFonts w:ascii="Book Antiqua" w:hAnsi="Book Antiqua"/>
        </w:rPr>
      </w:pPr>
      <w:r w:rsidRPr="00272761">
        <w:rPr>
          <w:rFonts w:ascii="Book Antiqua" w:hAnsi="Book Antiqua"/>
        </w:rPr>
        <w:t>Posteriormente, mediante comunicación adicional remitida el 5 de junio de 2026, el MOSPB</w:t>
      </w:r>
      <w:r>
        <w:rPr>
          <w:rFonts w:ascii="Book Antiqua" w:hAnsi="Book Antiqua"/>
        </w:rPr>
        <w:t>A</w:t>
      </w:r>
      <w:r w:rsidRPr="00272761">
        <w:rPr>
          <w:rFonts w:ascii="Book Antiqua" w:hAnsi="Book Antiqua"/>
        </w:rPr>
        <w:t xml:space="preserve"> reiteró su respaldo al Proyecto de la Cámara 1192 y ofreció comentarios complementarios sobre la implementación del modelo OPACOS.</w:t>
      </w:r>
    </w:p>
    <w:p w14:paraId="172A490B" w14:textId="587A1678" w:rsidR="00272761" w:rsidRPr="00272761" w:rsidRDefault="00272761" w:rsidP="00272761">
      <w:pPr>
        <w:pStyle w:val="NormalWeb"/>
        <w:jc w:val="both"/>
        <w:rPr>
          <w:rFonts w:ascii="Book Antiqua" w:hAnsi="Book Antiqua"/>
        </w:rPr>
      </w:pPr>
      <w:r w:rsidRPr="00272761">
        <w:rPr>
          <w:rFonts w:ascii="Book Antiqua" w:hAnsi="Book Antiqua"/>
        </w:rPr>
        <w:t>En su comunicación, la organización sostuvo que las Oficinas Municipales para la Protección Animal y Control de la Sobrepoblación no duplican funciones estatales ni crean estructuras burocráticas innecesarias. Por el contrario, señaló que se trata de un modelo municipal flexible y adaptable a la realidad fiscal y operacional de cada municipio. Asimismo, destacó que las OPACOS tendrían la facultad de desarrollar planes de esterilización y vacunación, apoyar programas de captura, esterilización y retorno de gatos comunitarios (TNR), canalizar querellas relacionadas con bienestar animal y promover campañas educativas sobre tenencia responsable de mascotas.</w:t>
      </w:r>
    </w:p>
    <w:p w14:paraId="736F2DEA" w14:textId="65BD0092" w:rsidR="00272761" w:rsidRPr="00272761" w:rsidRDefault="00272761" w:rsidP="00272761">
      <w:pPr>
        <w:pStyle w:val="NormalWeb"/>
        <w:jc w:val="both"/>
        <w:rPr>
          <w:rFonts w:ascii="Book Antiqua" w:hAnsi="Book Antiqua"/>
        </w:rPr>
      </w:pPr>
      <w:r w:rsidRPr="00272761">
        <w:rPr>
          <w:rFonts w:ascii="Book Antiqua" w:hAnsi="Book Antiqua"/>
        </w:rPr>
        <w:t>De igual forma, MOSPBA enfatizó que la medida contempla mecanismos viables de financiamiento que podrían facilitar la operación de estas oficinas, incluyendo la facultad de los municipios para destinar recursos provenientes de la venta de estorbos públicos expropiados a programas relacionados con el bienestar animal y el control de la sobrepoblación.</w:t>
      </w:r>
    </w:p>
    <w:p w14:paraId="0A27BB74" w14:textId="1ECBD914" w:rsidR="00B4493C" w:rsidRPr="00B4493C" w:rsidRDefault="00272761" w:rsidP="00272761">
      <w:pPr>
        <w:pStyle w:val="NormalWeb"/>
        <w:jc w:val="both"/>
        <w:rPr>
          <w:rFonts w:ascii="Book Antiqua" w:hAnsi="Book Antiqua"/>
        </w:rPr>
      </w:pPr>
      <w:r w:rsidRPr="00272761">
        <w:rPr>
          <w:rFonts w:ascii="Book Antiqua" w:hAnsi="Book Antiqua"/>
        </w:rPr>
        <w:lastRenderedPageBreak/>
        <w:t xml:space="preserve">Finalmente, la organización reiteró que la aprobación de la medida representaría una herramienta importante para fortalecer la salud pública, promover una gestión municipal más efectiva en asuntos de bienestar animal y atender una problemática social que afecta a comunidades en toda la Isla. </w:t>
      </w:r>
    </w:p>
    <w:p w14:paraId="554A43E4" w14:textId="77777777" w:rsidR="00272761" w:rsidRPr="00272761" w:rsidRDefault="00272761" w:rsidP="00272761">
      <w:pPr>
        <w:pStyle w:val="isselectedend"/>
        <w:jc w:val="both"/>
        <w:rPr>
          <w:rFonts w:ascii="Book Antiqua" w:hAnsi="Book Antiqua"/>
          <w:lang w:val="es-DO"/>
        </w:rPr>
      </w:pPr>
      <w:r w:rsidRPr="00272761">
        <w:rPr>
          <w:rFonts w:ascii="Book Antiqua" w:hAnsi="Book Antiqua"/>
          <w:lang w:val="es-DO"/>
        </w:rPr>
        <w:t xml:space="preserve">El </w:t>
      </w:r>
      <w:r w:rsidRPr="00B426BE">
        <w:rPr>
          <w:rFonts w:ascii="Book Antiqua" w:hAnsi="Book Antiqua"/>
          <w:b/>
          <w:bCs/>
          <w:i/>
          <w:iCs/>
          <w:lang w:val="es-DO"/>
        </w:rPr>
        <w:t>Municipio Autónomo de Ponce</w:t>
      </w:r>
      <w:r w:rsidRPr="00272761">
        <w:rPr>
          <w:rFonts w:ascii="Book Antiqua" w:hAnsi="Book Antiqua"/>
          <w:lang w:val="es-DO"/>
        </w:rPr>
        <w:t xml:space="preserve"> presentó un memorial explicativo el 6 de abril de 2026, suscrito por la alcaldesa Marlese A. Sifre Rodríguez, mediante el cual expresó que reconoce el mérito y la importancia del propósito perseguido por el Proyecto de la Cámara 1192. En particular, destacó que la medida promueve el bienestar animal como un componente de la salud pública, fomenta estrategias preventivas como la esterilización y la educación comunitaria, y adopta el enfoque de “Una Sola Salud” (One Health), que reconoce la interrelación entre la salud humana, animal y ambiental.</w:t>
      </w:r>
    </w:p>
    <w:p w14:paraId="1D1B69C2" w14:textId="1EA027C6" w:rsidR="00272761" w:rsidRPr="00272761" w:rsidRDefault="00272761" w:rsidP="00272761">
      <w:pPr>
        <w:pStyle w:val="isselectedend"/>
        <w:jc w:val="both"/>
        <w:rPr>
          <w:rFonts w:ascii="Book Antiqua" w:hAnsi="Book Antiqua"/>
          <w:lang w:val="es-DO"/>
        </w:rPr>
      </w:pPr>
      <w:r w:rsidRPr="00272761">
        <w:rPr>
          <w:rFonts w:ascii="Book Antiqua" w:hAnsi="Book Antiqua"/>
          <w:lang w:val="es-DO"/>
        </w:rPr>
        <w:t>No obstante, el Municipio manifestó preocupación sobre varios aspectos relacionados con la implementación de las OPACOS. Entre sus principales señalamientos indicó que la medida delega en los municipios responsabilidades significativas sin establecer una participación obligatoria y estructurada del Gobierno Estatal, particularmente del Departamento de Salud. A su juicio, la ausencia de una corresponsabilidad estatal clara podría dificultar la ejecución efectiva del modelo, especialmente en municipios con recursos fiscales y técnicos limitados.</w:t>
      </w:r>
    </w:p>
    <w:p w14:paraId="3FB4E87B" w14:textId="77777777" w:rsidR="00272761" w:rsidRPr="00272761" w:rsidRDefault="00272761" w:rsidP="00272761">
      <w:pPr>
        <w:pStyle w:val="isselectedend"/>
        <w:jc w:val="both"/>
        <w:rPr>
          <w:rFonts w:ascii="Book Antiqua" w:hAnsi="Book Antiqua"/>
          <w:lang w:val="es-DO"/>
        </w:rPr>
      </w:pPr>
      <w:r w:rsidRPr="00272761">
        <w:rPr>
          <w:rFonts w:ascii="Book Antiqua" w:hAnsi="Book Antiqua"/>
          <w:lang w:val="es-DO"/>
        </w:rPr>
        <w:t xml:space="preserve">Asimismo, señaló que las fuentes de financiamiento contempladas en la medida no son necesariamente recurrentes ni garantizadas, por lo que podrían producir diferencias en la capacidad de implementación entre municipios. De igual forma, advirtió que el modelo OPACOS impone responsabilidades operacionales adicionales relacionadas con programas de esterilización y vacunación, manejo de querellas, educación comunitaria, recopilación de datos y coordinación </w:t>
      </w:r>
      <w:proofErr w:type="spellStart"/>
      <w:r w:rsidRPr="00272761">
        <w:rPr>
          <w:rFonts w:ascii="Book Antiqua" w:hAnsi="Book Antiqua"/>
          <w:lang w:val="es-DO"/>
        </w:rPr>
        <w:t>interagencial</w:t>
      </w:r>
      <w:proofErr w:type="spellEnd"/>
      <w:r w:rsidRPr="00272761">
        <w:rPr>
          <w:rFonts w:ascii="Book Antiqua" w:hAnsi="Book Antiqua"/>
          <w:lang w:val="es-DO"/>
        </w:rPr>
        <w:t>, sin que necesariamente se asignen recursos estatales adicionales para atender dichas funciones.</w:t>
      </w:r>
    </w:p>
    <w:p w14:paraId="1A478895" w14:textId="77777777" w:rsidR="00272761" w:rsidRPr="00272761" w:rsidRDefault="00272761" w:rsidP="00272761">
      <w:pPr>
        <w:pStyle w:val="isselectedend"/>
        <w:jc w:val="both"/>
        <w:rPr>
          <w:rFonts w:ascii="Book Antiqua" w:hAnsi="Book Antiqua"/>
          <w:lang w:val="es-DO"/>
        </w:rPr>
      </w:pPr>
      <w:r w:rsidRPr="00272761">
        <w:rPr>
          <w:rFonts w:ascii="Book Antiqua" w:hAnsi="Book Antiqua"/>
          <w:lang w:val="es-DO"/>
        </w:rPr>
        <w:t xml:space="preserve">El Municipio también expresó preocupación sobre la posibilidad de que algunas disposiciones de la medida puedan generar duplicidad de funciones o conflictos de jurisdicción entre entidades estatales y municipales si no se delimitan claramente las competencias de cada nivel de gobierno. Por tal razón, recomendó fortalecer el proyecto mediante la incorporación de mecanismos formales de coordinación </w:t>
      </w:r>
      <w:proofErr w:type="spellStart"/>
      <w:r w:rsidRPr="00272761">
        <w:rPr>
          <w:rFonts w:ascii="Book Antiqua" w:hAnsi="Book Antiqua"/>
          <w:lang w:val="es-DO"/>
        </w:rPr>
        <w:t>interagencial</w:t>
      </w:r>
      <w:proofErr w:type="spellEnd"/>
      <w:r w:rsidRPr="00272761">
        <w:rPr>
          <w:rFonts w:ascii="Book Antiqua" w:hAnsi="Book Antiqua"/>
          <w:lang w:val="es-DO"/>
        </w:rPr>
        <w:t>, la definición precisa de responsabilidades entre el Gobierno Estatal y los municipios, y la consideración de modelos regionales o consorcios municipales para optimizar recursos.</w:t>
      </w:r>
    </w:p>
    <w:p w14:paraId="6B0C8B95" w14:textId="07B2041F" w:rsidR="003A4974" w:rsidRPr="00272761" w:rsidRDefault="00272761" w:rsidP="00272761">
      <w:pPr>
        <w:tabs>
          <w:tab w:val="left" w:pos="1117"/>
        </w:tabs>
        <w:spacing w:before="100" w:beforeAutospacing="1" w:after="100" w:afterAutospacing="1"/>
        <w:jc w:val="both"/>
        <w:rPr>
          <w:rFonts w:ascii="Book Antiqua" w:hAnsi="Book Antiqua"/>
          <w:bCs/>
          <w:iCs/>
          <w:szCs w:val="24"/>
          <w:lang w:val="es-DO"/>
        </w:rPr>
      </w:pPr>
      <w:r w:rsidRPr="00272761">
        <w:rPr>
          <w:rFonts w:ascii="Book Antiqua" w:eastAsia="Times New Roman" w:hAnsi="Book Antiqua"/>
          <w:szCs w:val="24"/>
          <w:lang w:val="es-DO" w:eastAsia="es-PR"/>
        </w:rPr>
        <w:t>Finalmente, el Municipio de Ponce indicó que favorece iniciativas dirigidas al bienestar animal y reconoce la necesidad de atender la problemática de la sobrepoblación y el abandono de animales desde un enfoque preventivo. No obstante, recomendó evaluar ajustes adicionales a la medida para garantizar una implementación efectiva, equitativa y sostenible en todos los municipios de Puerto Rico.</w:t>
      </w:r>
    </w:p>
    <w:bookmarkEnd w:id="1"/>
    <w:p w14:paraId="35D93078" w14:textId="49B76BAE" w:rsidR="00C615C8" w:rsidRDefault="00C615C8" w:rsidP="00E715F9">
      <w:pPr>
        <w:jc w:val="center"/>
        <w:rPr>
          <w:rFonts w:ascii="Book Antiqua" w:hAnsi="Book Antiqua"/>
          <w:b/>
          <w:i/>
          <w:smallCaps/>
          <w:color w:val="000000" w:themeColor="text1"/>
          <w:szCs w:val="24"/>
          <w:lang w:val="es-ES_tradnl"/>
        </w:rPr>
      </w:pPr>
      <w:r>
        <w:rPr>
          <w:rFonts w:ascii="Book Antiqua" w:hAnsi="Book Antiqua"/>
          <w:b/>
          <w:i/>
          <w:smallCaps/>
          <w:color w:val="000000" w:themeColor="text1"/>
          <w:szCs w:val="24"/>
          <w:lang w:val="es-ES_tradnl"/>
        </w:rPr>
        <w:lastRenderedPageBreak/>
        <w:t>Enmiendas Recomendadas</w:t>
      </w:r>
    </w:p>
    <w:p w14:paraId="0BB7CF9C" w14:textId="344B85DF" w:rsidR="00C615C8" w:rsidRPr="00C615C8" w:rsidRDefault="00C615C8" w:rsidP="00C615C8">
      <w:pPr>
        <w:pStyle w:val="isselectedend"/>
        <w:jc w:val="both"/>
        <w:rPr>
          <w:rFonts w:ascii="Book Antiqua" w:hAnsi="Book Antiqua"/>
          <w:lang w:val="es-DO"/>
        </w:rPr>
      </w:pPr>
      <w:r w:rsidRPr="00C615C8">
        <w:rPr>
          <w:rFonts w:ascii="Book Antiqua" w:hAnsi="Book Antiqua"/>
          <w:lang w:val="es-DO"/>
        </w:rPr>
        <w:t>Como parte del proceso de evaluación de la medida, se incorporaron varias enmiendas técnicas dirigidas a corregir errores gramaticales, uniformar el lenguaje legislativo y mejorar la claridad de determinadas disposiciones.</w:t>
      </w:r>
    </w:p>
    <w:p w14:paraId="25A43EC2" w14:textId="04B6715D" w:rsidR="00C615C8" w:rsidRPr="00C615C8" w:rsidRDefault="00C615C8" w:rsidP="00C615C8">
      <w:pPr>
        <w:pStyle w:val="isselectedend"/>
        <w:jc w:val="both"/>
        <w:rPr>
          <w:rFonts w:ascii="Book Antiqua" w:hAnsi="Book Antiqua"/>
          <w:lang w:val="es-DO"/>
        </w:rPr>
      </w:pPr>
      <w:r w:rsidRPr="00C615C8">
        <w:rPr>
          <w:rFonts w:ascii="Book Antiqua" w:hAnsi="Book Antiqua"/>
          <w:lang w:val="es-DO"/>
        </w:rPr>
        <w:t xml:space="preserve">Asimismo, en el </w:t>
      </w:r>
      <w:proofErr w:type="spellStart"/>
      <w:r w:rsidRPr="00C615C8">
        <w:rPr>
          <w:rFonts w:ascii="Book Antiqua" w:hAnsi="Book Antiqua"/>
          <w:lang w:val="es-DO"/>
        </w:rPr>
        <w:t>Decrétase</w:t>
      </w:r>
      <w:proofErr w:type="spellEnd"/>
      <w:r w:rsidRPr="00C615C8">
        <w:rPr>
          <w:rFonts w:ascii="Book Antiqua" w:hAnsi="Book Antiqua"/>
          <w:lang w:val="es-DO"/>
        </w:rPr>
        <w:t xml:space="preserve"> de la medida se sustituyó la referencia a “Artículo” por “Sección”, conforme a las normas y técnicas de redacción legislativa</w:t>
      </w:r>
      <w:r>
        <w:rPr>
          <w:rFonts w:ascii="Book Antiqua" w:hAnsi="Book Antiqua"/>
          <w:lang w:val="es-DO"/>
        </w:rPr>
        <w:t xml:space="preserve">, con </w:t>
      </w:r>
      <w:r w:rsidRPr="00C615C8">
        <w:rPr>
          <w:rFonts w:ascii="Book Antiqua" w:hAnsi="Book Antiqua"/>
          <w:lang w:val="es-DO"/>
        </w:rPr>
        <w:t>el propósito de mantener uniformidad en la estructura de la ley y evitar posibles inconsistencias interpretativas.</w:t>
      </w:r>
    </w:p>
    <w:p w14:paraId="29085CF6" w14:textId="77777777" w:rsidR="00C615C8" w:rsidRPr="00C615C8" w:rsidRDefault="00C615C8" w:rsidP="00C615C8">
      <w:pPr>
        <w:pStyle w:val="isselectedend"/>
        <w:jc w:val="both"/>
        <w:rPr>
          <w:rFonts w:ascii="Book Antiqua" w:hAnsi="Book Antiqua"/>
          <w:lang w:val="es-DO"/>
        </w:rPr>
      </w:pPr>
      <w:r w:rsidRPr="00C615C8">
        <w:rPr>
          <w:rFonts w:ascii="Book Antiqua" w:hAnsi="Book Antiqua"/>
          <w:lang w:val="es-DO"/>
        </w:rPr>
        <w:t xml:space="preserve">De igual forma, se enmendaron varias disposiciones para aclarar que las referencias a la “sobrepoblación” corresponden específicamente a la </w:t>
      </w:r>
      <w:r w:rsidRPr="00C615C8">
        <w:rPr>
          <w:rStyle w:val="Strong"/>
          <w:rFonts w:ascii="Book Antiqua" w:hAnsi="Book Antiqua"/>
          <w:lang w:val="es-DO"/>
        </w:rPr>
        <w:t>sobrepoblación animal</w:t>
      </w:r>
      <w:r w:rsidRPr="00C615C8">
        <w:rPr>
          <w:rFonts w:ascii="Book Antiqua" w:hAnsi="Book Antiqua"/>
          <w:lang w:val="es-DO"/>
        </w:rPr>
        <w:t>, atendiendo así el objetivo principal de la medida y evitando cualquier ambigüedad respecto al alcance de la política pública que se pretende establecer.</w:t>
      </w:r>
    </w:p>
    <w:p w14:paraId="40E323F5" w14:textId="1987F0A6" w:rsidR="00C615C8" w:rsidRPr="00C615C8" w:rsidRDefault="00C615C8" w:rsidP="00C615C8">
      <w:pPr>
        <w:pStyle w:val="isselectedend"/>
        <w:jc w:val="both"/>
        <w:rPr>
          <w:rFonts w:ascii="Book Antiqua" w:hAnsi="Book Antiqua"/>
          <w:lang w:val="es-DO"/>
        </w:rPr>
      </w:pPr>
      <w:r w:rsidRPr="00C615C8">
        <w:rPr>
          <w:rFonts w:ascii="Book Antiqua" w:hAnsi="Book Antiqua"/>
          <w:lang w:val="es-DO"/>
        </w:rPr>
        <w:t xml:space="preserve">Finalmente, se incorporó lenguaje aclaratorio relacionado con la implementación de las OPACOS, a los fines de establecer expresamente que la adopción de dicho modelo será de carácter discrecional para los municipios. Esta enmienda atiende los planteamientos formulados por la Federación de </w:t>
      </w:r>
      <w:proofErr w:type="gramStart"/>
      <w:r w:rsidRPr="00C615C8">
        <w:rPr>
          <w:rFonts w:ascii="Book Antiqua" w:hAnsi="Book Antiqua"/>
          <w:lang w:val="es-DO"/>
        </w:rPr>
        <w:t>Alcaldes</w:t>
      </w:r>
      <w:proofErr w:type="gramEnd"/>
      <w:r w:rsidRPr="00C615C8">
        <w:rPr>
          <w:rFonts w:ascii="Book Antiqua" w:hAnsi="Book Antiqua"/>
          <w:lang w:val="es-DO"/>
        </w:rPr>
        <w:t xml:space="preserve"> de Puerto Rico respecto a la importancia de preservar la autonomía municipal y garantizar que cada ayuntamiento pueda determinar, conforme a sus necesidades, prioridades y recursos disponibles, si establece o no una oficina bajo este modelo.</w:t>
      </w:r>
    </w:p>
    <w:p w14:paraId="64E738A1" w14:textId="77777777" w:rsidR="00C615C8" w:rsidRPr="00C615C8" w:rsidRDefault="00C615C8" w:rsidP="00C615C8">
      <w:pPr>
        <w:pStyle w:val="NormalWeb"/>
        <w:jc w:val="both"/>
        <w:rPr>
          <w:rFonts w:ascii="Book Antiqua" w:hAnsi="Book Antiqua"/>
          <w:lang w:val="es-DO"/>
        </w:rPr>
      </w:pPr>
      <w:r w:rsidRPr="00C615C8">
        <w:rPr>
          <w:rFonts w:ascii="Book Antiqua" w:hAnsi="Book Antiqua"/>
          <w:lang w:val="es-DO"/>
        </w:rPr>
        <w:t>La Comisión entiende que esta aclaración fortalece la medida al reconocer las distintas realidades fiscales y administrativas existentes entre los municipios. Además, permite que la implantación de las OPACOS se realice de forma voluntaria y escalonada, evitando que consideraciones económicas se conviertan en un obstáculo para la aprobación de la medida, ya que cada municipio podrá evaluar su capacidad para implementar el modelo conforme a sus recursos y circunstancias particulares.</w:t>
      </w:r>
    </w:p>
    <w:p w14:paraId="5FF25C42" w14:textId="23635C50" w:rsidR="00E715F9" w:rsidRDefault="004000AE" w:rsidP="00E715F9">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21F1148E" w14:textId="1545AAAF" w:rsidR="00AD40D0" w:rsidRPr="00AD40D0" w:rsidRDefault="00AD40D0" w:rsidP="00AD40D0">
      <w:pPr>
        <w:pStyle w:val="isselectedend"/>
        <w:jc w:val="both"/>
        <w:rPr>
          <w:rFonts w:ascii="Book Antiqua" w:hAnsi="Book Antiqua"/>
          <w:lang w:val="es-DO"/>
        </w:rPr>
      </w:pPr>
      <w:r w:rsidRPr="00AD40D0">
        <w:rPr>
          <w:rFonts w:ascii="Book Antiqua" w:hAnsi="Book Antiqua"/>
          <w:lang w:val="es-DO"/>
        </w:rPr>
        <w:t>La medida persigue atender una problemática de interés público relacionada con el bienestar animal y el control de la sobrepoblación animal mediante un enfoque preventivo y colaborativo. Al autorizar la creación de OPACOS, se provee a los municipios una herramienta adicional para desarrollar iniciativas de educación, esterilización, vacunación y coordinación comunitaria dirigidas a reducir el abandono y el maltrato animal.</w:t>
      </w:r>
    </w:p>
    <w:p w14:paraId="38AE48CE" w14:textId="373F1B46" w:rsidR="00AD40D0" w:rsidRPr="00AD40D0" w:rsidRDefault="00AD40D0" w:rsidP="00AD40D0">
      <w:pPr>
        <w:pStyle w:val="isselectedend"/>
        <w:jc w:val="both"/>
        <w:rPr>
          <w:rFonts w:ascii="Book Antiqua" w:hAnsi="Book Antiqua"/>
          <w:lang w:val="es-DO"/>
        </w:rPr>
      </w:pPr>
      <w:r w:rsidRPr="00AD40D0">
        <w:rPr>
          <w:rFonts w:ascii="Book Antiqua" w:hAnsi="Book Antiqua"/>
          <w:lang w:val="es-DO"/>
        </w:rPr>
        <w:t xml:space="preserve">Asimismo, el proyecto promueve el modelo de “Una Sola Salud”, reconociendo la estrecha relación entre la salud humana, la salud animal y el ambiente. En ese sentido, la medida fomenta estrategias que pueden contribuir a mejorar la salud pública, fortalecer </w:t>
      </w:r>
      <w:r w:rsidRPr="00AD40D0">
        <w:rPr>
          <w:rFonts w:ascii="Book Antiqua" w:hAnsi="Book Antiqua"/>
          <w:lang w:val="es-DO"/>
        </w:rPr>
        <w:lastRenderedPageBreak/>
        <w:t>la convivencia comunitaria y atender de manera más efectiva los retos asociados a la presencia de animales abandonados en las comunidades.</w:t>
      </w:r>
    </w:p>
    <w:p w14:paraId="66672678" w14:textId="48BA2BE2" w:rsidR="00AD40D0" w:rsidRPr="00AD40D0" w:rsidRDefault="00AD40D0" w:rsidP="00AD40D0">
      <w:pPr>
        <w:pStyle w:val="NormalWeb"/>
        <w:jc w:val="both"/>
        <w:rPr>
          <w:rFonts w:ascii="Book Antiqua" w:hAnsi="Book Antiqua"/>
          <w:lang w:val="es-DO"/>
        </w:rPr>
      </w:pPr>
      <w:r w:rsidRPr="00AD40D0">
        <w:rPr>
          <w:rFonts w:ascii="Book Antiqua" w:hAnsi="Book Antiqua"/>
          <w:lang w:val="es-DO"/>
        </w:rPr>
        <w:t xml:space="preserve">Durante el proceso de evaluación legislativa, la medida recibió el respaldo expreso de sus principales proponentes. Tanto el MOSPBA, como la Federación de </w:t>
      </w:r>
      <w:proofErr w:type="gramStart"/>
      <w:r w:rsidRPr="00AD40D0">
        <w:rPr>
          <w:rFonts w:ascii="Book Antiqua" w:hAnsi="Book Antiqua"/>
          <w:lang w:val="es-DO"/>
        </w:rPr>
        <w:t>Alcaldes</w:t>
      </w:r>
      <w:proofErr w:type="gramEnd"/>
      <w:r w:rsidRPr="00AD40D0">
        <w:rPr>
          <w:rFonts w:ascii="Book Antiqua" w:hAnsi="Book Antiqua"/>
          <w:lang w:val="es-DO"/>
        </w:rPr>
        <w:t xml:space="preserve"> de Puerto Rico favorecieron su aprobación, destacando el valor del modelo OPACOS como una herramienta flexible para atender una problemática real que afecta a múltiples municipios. Aunque algunos deponentes formularon recomendaciones y reservas relacionadas con aspectos operacionales y fiscales, existe consenso en cuanto a la importancia de continuar fortaleciendo los esfuerzos dirigidos a promover el bienestar animal y el control responsable de la sobrepoblación animal en Puerto Rico.</w:t>
      </w:r>
    </w:p>
    <w:p w14:paraId="4E995367" w14:textId="2E6EA971" w:rsidR="00A76B51" w:rsidRDefault="00F04A9A" w:rsidP="00F34222">
      <w:pPr>
        <w:spacing w:before="100" w:beforeAutospacing="1" w:after="100" w:afterAutospacing="1"/>
        <w:jc w:val="center"/>
        <w:rPr>
          <w:rFonts w:ascii="Book Antiqua" w:hAnsi="Book Antiqua"/>
          <w:b/>
          <w:i/>
          <w:smallCaps/>
          <w:szCs w:val="24"/>
          <w:lang w:val="es-ES_tradnl"/>
        </w:rPr>
      </w:pPr>
      <w:r>
        <w:rPr>
          <w:rFonts w:ascii="Book Antiqua" w:hAnsi="Book Antiqua"/>
          <w:b/>
          <w:i/>
          <w:smallCaps/>
          <w:szCs w:val="24"/>
          <w:lang w:val="es-ES_tradnl"/>
        </w:rPr>
        <w:t>Impacto Fiscal</w:t>
      </w:r>
    </w:p>
    <w:p w14:paraId="32E90FA0" w14:textId="0D4BA974" w:rsidR="00476E5E" w:rsidRDefault="008E3F18" w:rsidP="00476E5E">
      <w:pPr>
        <w:jc w:val="both"/>
        <w:rPr>
          <w:rFonts w:ascii="Book Antiqua" w:hAnsi="Book Antiqua"/>
          <w:lang w:val="es-ES"/>
        </w:rPr>
      </w:pPr>
      <w:r w:rsidRPr="008E3F18">
        <w:rPr>
          <w:rFonts w:ascii="Book Antiqua" w:hAnsi="Book Antiqua"/>
          <w:lang w:val="es-ES"/>
        </w:rPr>
        <w:t xml:space="preserve">En cumplimiento </w:t>
      </w:r>
      <w:r w:rsidR="00555910">
        <w:rPr>
          <w:rFonts w:ascii="Book Antiqua" w:hAnsi="Book Antiqua"/>
          <w:lang w:val="es-ES"/>
        </w:rPr>
        <w:t>de</w:t>
      </w:r>
      <w:r w:rsidRPr="008E3F18">
        <w:rPr>
          <w:rFonts w:ascii="Book Antiqua" w:hAnsi="Book Antiqua"/>
          <w:lang w:val="es-ES"/>
        </w:rPr>
        <w:t xml:space="preserve">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xml:space="preserve">, la Comisión de Asuntos Municipales certifica que la medida legislativa bajo análisis no conlleva un impacto económico adverso sobre el presupuesto de los gobiernos municipales. </w:t>
      </w:r>
    </w:p>
    <w:p w14:paraId="27C3911D" w14:textId="77777777" w:rsidR="00476E5E" w:rsidRDefault="00476E5E" w:rsidP="00476E5E">
      <w:pPr>
        <w:jc w:val="both"/>
        <w:rPr>
          <w:rFonts w:ascii="Book Antiqua" w:hAnsi="Book Antiqua"/>
          <w:lang w:val="es-ES"/>
        </w:rPr>
      </w:pPr>
    </w:p>
    <w:p w14:paraId="7266900F" w14:textId="10053BC8" w:rsidR="003004EC" w:rsidRPr="007E1EA6" w:rsidRDefault="004000AE" w:rsidP="007E1EA6">
      <w:pPr>
        <w:jc w:val="center"/>
        <w:rPr>
          <w:rFonts w:ascii="Book Antiqua" w:hAnsi="Book Antiqua"/>
          <w:b/>
          <w:i/>
          <w:smallCaps/>
          <w:szCs w:val="24"/>
          <w:lang w:val="es-ES_tradnl"/>
        </w:rPr>
      </w:pPr>
      <w:r>
        <w:rPr>
          <w:rFonts w:ascii="Book Antiqua" w:hAnsi="Book Antiqua"/>
          <w:b/>
          <w:i/>
          <w:smallCaps/>
          <w:szCs w:val="24"/>
          <w:lang w:val="es-ES_tradnl"/>
        </w:rPr>
        <w:t>Conclusión</w:t>
      </w:r>
    </w:p>
    <w:p w14:paraId="03DE8CE6" w14:textId="77777777" w:rsidR="001D2182" w:rsidRPr="003A4974" w:rsidRDefault="001D2182" w:rsidP="004000AE">
      <w:pPr>
        <w:jc w:val="both"/>
        <w:rPr>
          <w:rFonts w:ascii="Book Antiqua" w:hAnsi="Book Antiqua" w:cs="Arial"/>
          <w:szCs w:val="24"/>
          <w:lang w:val="es-ES"/>
        </w:rPr>
      </w:pPr>
    </w:p>
    <w:p w14:paraId="6916C7E3" w14:textId="672FF475" w:rsidR="00BC7B4A" w:rsidRPr="00C615C8" w:rsidRDefault="00C615C8" w:rsidP="003A4974">
      <w:pPr>
        <w:jc w:val="both"/>
        <w:rPr>
          <w:rFonts w:ascii="Book Antiqua" w:eastAsia="Times New Roman" w:hAnsi="Book Antiqua"/>
          <w:color w:val="000000"/>
          <w:szCs w:val="24"/>
          <w:lang w:val="es-ES"/>
        </w:rPr>
      </w:pPr>
      <w:r w:rsidRPr="00C615C8">
        <w:rPr>
          <w:rFonts w:ascii="Book Antiqua" w:eastAsia="Times New Roman" w:hAnsi="Book Antiqua"/>
          <w:color w:val="000000"/>
          <w:szCs w:val="24"/>
          <w:lang w:val="es-ES"/>
        </w:rPr>
        <w:t>El</w:t>
      </w:r>
      <w:r w:rsidR="003A4974" w:rsidRPr="00C615C8">
        <w:rPr>
          <w:rFonts w:ascii="Book Antiqua" w:eastAsia="Times New Roman" w:hAnsi="Book Antiqua"/>
          <w:color w:val="000000"/>
          <w:szCs w:val="24"/>
          <w:lang w:val="es-ES"/>
        </w:rPr>
        <w:t xml:space="preserve"> modelo </w:t>
      </w:r>
      <w:r w:rsidR="00690344" w:rsidRPr="00C615C8">
        <w:rPr>
          <w:rFonts w:ascii="Book Antiqua" w:eastAsia="Times New Roman" w:hAnsi="Book Antiqua"/>
          <w:color w:val="000000"/>
          <w:szCs w:val="24"/>
          <w:lang w:val="es-ES"/>
        </w:rPr>
        <w:t>propuesto por</w:t>
      </w:r>
      <w:r w:rsidRPr="00C615C8">
        <w:rPr>
          <w:rFonts w:ascii="Book Antiqua" w:eastAsia="Times New Roman" w:hAnsi="Book Antiqua"/>
          <w:color w:val="000000"/>
          <w:szCs w:val="24"/>
          <w:lang w:val="es-ES"/>
        </w:rPr>
        <w:t xml:space="preserve"> esta legislación </w:t>
      </w:r>
      <w:r w:rsidR="003A4974" w:rsidRPr="00C615C8">
        <w:rPr>
          <w:rFonts w:ascii="Book Antiqua" w:eastAsia="Times New Roman" w:hAnsi="Book Antiqua"/>
          <w:color w:val="000000"/>
          <w:szCs w:val="24"/>
          <w:lang w:val="es-ES"/>
        </w:rPr>
        <w:t xml:space="preserve">es flexible, escalable y adaptable a la realidad fiscal y administrativa de cada municipio, y se fundamenta en el enfoque de “Una Sola Salud”, al reconocer que la prevención del abandono, la sobrepoblación y el maltrato animal </w:t>
      </w:r>
      <w:r>
        <w:rPr>
          <w:rFonts w:ascii="Book Antiqua" w:eastAsia="Times New Roman" w:hAnsi="Book Antiqua"/>
          <w:color w:val="000000"/>
          <w:szCs w:val="24"/>
          <w:lang w:val="es-ES"/>
        </w:rPr>
        <w:t>contribuyen</w:t>
      </w:r>
      <w:r w:rsidR="003A4974" w:rsidRPr="00C615C8">
        <w:rPr>
          <w:rFonts w:ascii="Book Antiqua" w:eastAsia="Times New Roman" w:hAnsi="Book Antiqua"/>
          <w:color w:val="000000"/>
          <w:szCs w:val="24"/>
          <w:lang w:val="es-ES"/>
        </w:rPr>
        <w:t xml:space="preserve"> directamente a reducir riesgos sanitarios, mejorar la convivencia comunitaria y proteger el entorno.</w:t>
      </w:r>
      <w:r w:rsidRPr="00C615C8">
        <w:rPr>
          <w:rFonts w:ascii="Book Antiqua" w:eastAsia="Times New Roman" w:hAnsi="Book Antiqua"/>
          <w:color w:val="000000"/>
          <w:szCs w:val="24"/>
          <w:lang w:val="es-ES"/>
        </w:rPr>
        <w:t xml:space="preserve"> Entendemos que se debe </w:t>
      </w:r>
      <w:r w:rsidR="003A4974" w:rsidRPr="00C615C8">
        <w:rPr>
          <w:rFonts w:ascii="Book Antiqua" w:eastAsia="Times New Roman" w:hAnsi="Book Antiqua"/>
          <w:color w:val="000000"/>
          <w:szCs w:val="24"/>
          <w:lang w:val="es-ES"/>
        </w:rPr>
        <w:t>considera</w:t>
      </w:r>
      <w:r w:rsidRPr="00C615C8">
        <w:rPr>
          <w:rFonts w:ascii="Book Antiqua" w:eastAsia="Times New Roman" w:hAnsi="Book Antiqua"/>
          <w:color w:val="000000"/>
          <w:szCs w:val="24"/>
          <w:lang w:val="es-ES"/>
        </w:rPr>
        <w:t>r</w:t>
      </w:r>
      <w:r w:rsidR="003A4974" w:rsidRPr="00C615C8">
        <w:rPr>
          <w:rFonts w:ascii="Book Antiqua" w:eastAsia="Times New Roman" w:hAnsi="Book Antiqua"/>
          <w:color w:val="000000"/>
          <w:szCs w:val="24"/>
          <w:lang w:val="es-ES"/>
        </w:rPr>
        <w:t xml:space="preserve"> como un asunto prioritario la aprobación de esta </w:t>
      </w:r>
      <w:r w:rsidRPr="00C615C8">
        <w:rPr>
          <w:rFonts w:ascii="Book Antiqua" w:eastAsia="Times New Roman" w:hAnsi="Book Antiqua"/>
          <w:color w:val="000000"/>
          <w:szCs w:val="24"/>
          <w:lang w:val="es-ES"/>
        </w:rPr>
        <w:t>medida</w:t>
      </w:r>
      <w:r w:rsidR="003A4974" w:rsidRPr="00C615C8">
        <w:rPr>
          <w:rFonts w:ascii="Book Antiqua" w:eastAsia="Times New Roman" w:hAnsi="Book Antiqua"/>
          <w:color w:val="000000"/>
          <w:szCs w:val="24"/>
          <w:lang w:val="es-ES"/>
        </w:rPr>
        <w:t>, pues no solo se trata de garantizar el bienestar de los animales, sino de salvaguardar la salud pública en general.</w:t>
      </w:r>
    </w:p>
    <w:p w14:paraId="1B069DAE" w14:textId="77777777" w:rsidR="00C615C8" w:rsidRPr="00C615C8" w:rsidRDefault="00C615C8" w:rsidP="003A4974">
      <w:pPr>
        <w:jc w:val="both"/>
        <w:rPr>
          <w:rFonts w:ascii="Book Antiqua" w:eastAsia="Times New Roman" w:hAnsi="Book Antiqua"/>
          <w:color w:val="000000"/>
          <w:szCs w:val="24"/>
          <w:lang w:val="es-ES"/>
        </w:rPr>
      </w:pPr>
    </w:p>
    <w:p w14:paraId="693ABEB6" w14:textId="6AA07BA3"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3A4974">
        <w:rPr>
          <w:rFonts w:ascii="Book Antiqua" w:hAnsi="Book Antiqua" w:cs="Arial"/>
          <w:lang w:val="es-ES"/>
        </w:rPr>
        <w:t>1192</w:t>
      </w:r>
      <w:r w:rsidR="00BC7B4A">
        <w:rPr>
          <w:rFonts w:ascii="Book Antiqua" w:hAnsi="Book Antiqua" w:cs="Arial"/>
          <w:lang w:val="es-ES"/>
        </w:rPr>
        <w:t xml:space="preserve">, </w:t>
      </w:r>
      <w:r w:rsidR="003A4974" w:rsidRPr="003A4974">
        <w:rPr>
          <w:rFonts w:ascii="Book Antiqua" w:hAnsi="Book Antiqua" w:cs="Arial"/>
          <w:lang w:val="es-ES"/>
        </w:rPr>
        <w:t xml:space="preserve">con las enmiendas que se incluyen en el </w:t>
      </w:r>
      <w:proofErr w:type="spellStart"/>
      <w:r w:rsidR="003A4974" w:rsidRPr="003A4974">
        <w:rPr>
          <w:rFonts w:ascii="Book Antiqua" w:hAnsi="Book Antiqua" w:cs="Arial"/>
          <w:lang w:val="es-ES"/>
        </w:rPr>
        <w:t>entirillado</w:t>
      </w:r>
      <w:proofErr w:type="spellEnd"/>
      <w:r w:rsidR="003A4974" w:rsidRPr="003A4974">
        <w:rPr>
          <w:rFonts w:ascii="Book Antiqua" w:hAnsi="Book Antiqua" w:cs="Arial"/>
          <w:lang w:val="es-ES"/>
        </w:rPr>
        <w:t xml:space="preserve"> electrónico que acompaña este informe. </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196F1" w14:textId="77777777" w:rsidR="003C6BBE" w:rsidRDefault="003C6BBE" w:rsidP="006705DD">
      <w:r>
        <w:separator/>
      </w:r>
    </w:p>
  </w:endnote>
  <w:endnote w:type="continuationSeparator" w:id="0">
    <w:p w14:paraId="0EBC3E73" w14:textId="77777777" w:rsidR="003C6BBE" w:rsidRDefault="003C6BBE"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05676" w14:textId="77777777" w:rsidR="003C6BBE" w:rsidRDefault="003C6BBE" w:rsidP="006705DD">
      <w:r>
        <w:separator/>
      </w:r>
    </w:p>
  </w:footnote>
  <w:footnote w:type="continuationSeparator" w:id="0">
    <w:p w14:paraId="758B5158" w14:textId="77777777" w:rsidR="003C6BBE" w:rsidRDefault="003C6BBE"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137F3930"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3A4974">
      <w:rPr>
        <w:rStyle w:val="PageNumber"/>
        <w:rFonts w:ascii="Book Antiqua" w:hAnsi="Book Antiqua"/>
        <w:i/>
        <w:sz w:val="22"/>
        <w:szCs w:val="22"/>
        <w:lang w:val="es-PR"/>
      </w:rPr>
      <w:t>1192</w:t>
    </w:r>
    <w:r w:rsidR="00BC7B4A">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B043D"/>
    <w:multiLevelType w:val="hybridMultilevel"/>
    <w:tmpl w:val="9460CA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7E2CC0"/>
    <w:multiLevelType w:val="hybridMultilevel"/>
    <w:tmpl w:val="04B28F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1632E35"/>
    <w:multiLevelType w:val="multilevel"/>
    <w:tmpl w:val="C8E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7576557"/>
    <w:multiLevelType w:val="multilevel"/>
    <w:tmpl w:val="F056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D3D2A"/>
    <w:multiLevelType w:val="hybridMultilevel"/>
    <w:tmpl w:val="71E0F8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5246B"/>
    <w:multiLevelType w:val="hybridMultilevel"/>
    <w:tmpl w:val="DCF418A6"/>
    <w:lvl w:ilvl="0" w:tplc="26B8A67E">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6A2469"/>
    <w:multiLevelType w:val="hybridMultilevel"/>
    <w:tmpl w:val="15D4D49E"/>
    <w:lvl w:ilvl="0" w:tplc="86DACA22">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6B1CD3"/>
    <w:multiLevelType w:val="hybridMultilevel"/>
    <w:tmpl w:val="A93E250E"/>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CA53925"/>
    <w:multiLevelType w:val="hybridMultilevel"/>
    <w:tmpl w:val="75886524"/>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DD95CAC"/>
    <w:multiLevelType w:val="multilevel"/>
    <w:tmpl w:val="E772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7E02E9B"/>
    <w:multiLevelType w:val="hybridMultilevel"/>
    <w:tmpl w:val="54280ACA"/>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49103E17"/>
    <w:multiLevelType w:val="multilevel"/>
    <w:tmpl w:val="5022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60263D"/>
    <w:multiLevelType w:val="hybridMultilevel"/>
    <w:tmpl w:val="EA64BB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6596732"/>
    <w:multiLevelType w:val="multilevel"/>
    <w:tmpl w:val="81C6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E725BA"/>
    <w:multiLevelType w:val="multilevel"/>
    <w:tmpl w:val="3A183E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0D15F1"/>
    <w:multiLevelType w:val="multilevel"/>
    <w:tmpl w:val="EFD6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712DBB"/>
    <w:multiLevelType w:val="hybridMultilevel"/>
    <w:tmpl w:val="2EDE88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E216019"/>
    <w:multiLevelType w:val="hybridMultilevel"/>
    <w:tmpl w:val="B2B424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3E48DF"/>
    <w:multiLevelType w:val="hybridMultilevel"/>
    <w:tmpl w:val="D23C097E"/>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3"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4"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1B6F11"/>
    <w:multiLevelType w:val="multilevel"/>
    <w:tmpl w:val="62D2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7C501D"/>
    <w:multiLevelType w:val="hybridMultilevel"/>
    <w:tmpl w:val="696256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8"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AF01ADC"/>
    <w:multiLevelType w:val="hybridMultilevel"/>
    <w:tmpl w:val="44C2155A"/>
    <w:lvl w:ilvl="0" w:tplc="20000001">
      <w:start w:val="1"/>
      <w:numFmt w:val="bullet"/>
      <w:lvlText w:val=""/>
      <w:lvlJc w:val="left"/>
      <w:pPr>
        <w:ind w:left="1837" w:hanging="360"/>
      </w:pPr>
      <w:rPr>
        <w:rFonts w:ascii="Symbol" w:hAnsi="Symbol" w:hint="default"/>
      </w:rPr>
    </w:lvl>
    <w:lvl w:ilvl="1" w:tplc="20000003" w:tentative="1">
      <w:start w:val="1"/>
      <w:numFmt w:val="bullet"/>
      <w:lvlText w:val="o"/>
      <w:lvlJc w:val="left"/>
      <w:pPr>
        <w:ind w:left="2557" w:hanging="360"/>
      </w:pPr>
      <w:rPr>
        <w:rFonts w:ascii="Courier New" w:hAnsi="Courier New" w:cs="Courier New" w:hint="default"/>
      </w:rPr>
    </w:lvl>
    <w:lvl w:ilvl="2" w:tplc="20000005" w:tentative="1">
      <w:start w:val="1"/>
      <w:numFmt w:val="bullet"/>
      <w:lvlText w:val=""/>
      <w:lvlJc w:val="left"/>
      <w:pPr>
        <w:ind w:left="3277" w:hanging="360"/>
      </w:pPr>
      <w:rPr>
        <w:rFonts w:ascii="Wingdings" w:hAnsi="Wingdings" w:hint="default"/>
      </w:rPr>
    </w:lvl>
    <w:lvl w:ilvl="3" w:tplc="20000001" w:tentative="1">
      <w:start w:val="1"/>
      <w:numFmt w:val="bullet"/>
      <w:lvlText w:val=""/>
      <w:lvlJc w:val="left"/>
      <w:pPr>
        <w:ind w:left="3997" w:hanging="360"/>
      </w:pPr>
      <w:rPr>
        <w:rFonts w:ascii="Symbol" w:hAnsi="Symbol" w:hint="default"/>
      </w:rPr>
    </w:lvl>
    <w:lvl w:ilvl="4" w:tplc="20000003" w:tentative="1">
      <w:start w:val="1"/>
      <w:numFmt w:val="bullet"/>
      <w:lvlText w:val="o"/>
      <w:lvlJc w:val="left"/>
      <w:pPr>
        <w:ind w:left="4717" w:hanging="360"/>
      </w:pPr>
      <w:rPr>
        <w:rFonts w:ascii="Courier New" w:hAnsi="Courier New" w:cs="Courier New" w:hint="default"/>
      </w:rPr>
    </w:lvl>
    <w:lvl w:ilvl="5" w:tplc="20000005" w:tentative="1">
      <w:start w:val="1"/>
      <w:numFmt w:val="bullet"/>
      <w:lvlText w:val=""/>
      <w:lvlJc w:val="left"/>
      <w:pPr>
        <w:ind w:left="5437" w:hanging="360"/>
      </w:pPr>
      <w:rPr>
        <w:rFonts w:ascii="Wingdings" w:hAnsi="Wingdings" w:hint="default"/>
      </w:rPr>
    </w:lvl>
    <w:lvl w:ilvl="6" w:tplc="20000001" w:tentative="1">
      <w:start w:val="1"/>
      <w:numFmt w:val="bullet"/>
      <w:lvlText w:val=""/>
      <w:lvlJc w:val="left"/>
      <w:pPr>
        <w:ind w:left="6157" w:hanging="360"/>
      </w:pPr>
      <w:rPr>
        <w:rFonts w:ascii="Symbol" w:hAnsi="Symbol" w:hint="default"/>
      </w:rPr>
    </w:lvl>
    <w:lvl w:ilvl="7" w:tplc="20000003" w:tentative="1">
      <w:start w:val="1"/>
      <w:numFmt w:val="bullet"/>
      <w:lvlText w:val="o"/>
      <w:lvlJc w:val="left"/>
      <w:pPr>
        <w:ind w:left="6877" w:hanging="360"/>
      </w:pPr>
      <w:rPr>
        <w:rFonts w:ascii="Courier New" w:hAnsi="Courier New" w:cs="Courier New" w:hint="default"/>
      </w:rPr>
    </w:lvl>
    <w:lvl w:ilvl="8" w:tplc="20000005" w:tentative="1">
      <w:start w:val="1"/>
      <w:numFmt w:val="bullet"/>
      <w:lvlText w:val=""/>
      <w:lvlJc w:val="left"/>
      <w:pPr>
        <w:ind w:left="7597" w:hanging="360"/>
      </w:pPr>
      <w:rPr>
        <w:rFonts w:ascii="Wingdings" w:hAnsi="Wingdings" w:hint="default"/>
      </w:rPr>
    </w:lvl>
  </w:abstractNum>
  <w:num w:numId="1" w16cid:durableId="1611621562">
    <w:abstractNumId w:val="1"/>
  </w:num>
  <w:num w:numId="2" w16cid:durableId="12457928">
    <w:abstractNumId w:val="36"/>
  </w:num>
  <w:num w:numId="3" w16cid:durableId="150217024">
    <w:abstractNumId w:val="38"/>
  </w:num>
  <w:num w:numId="4" w16cid:durableId="1144077218">
    <w:abstractNumId w:val="23"/>
  </w:num>
  <w:num w:numId="5" w16cid:durableId="1391071492">
    <w:abstractNumId w:val="41"/>
  </w:num>
  <w:num w:numId="6" w16cid:durableId="1887521205">
    <w:abstractNumId w:val="40"/>
  </w:num>
  <w:num w:numId="7" w16cid:durableId="17200089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34"/>
  </w:num>
  <w:num w:numId="9" w16cid:durableId="978419079">
    <w:abstractNumId w:val="22"/>
  </w:num>
  <w:num w:numId="10" w16cid:durableId="1431662367">
    <w:abstractNumId w:val="14"/>
  </w:num>
  <w:num w:numId="11" w16cid:durableId="745687741">
    <w:abstractNumId w:val="21"/>
  </w:num>
  <w:num w:numId="12" w16cid:durableId="788547495">
    <w:abstractNumId w:val="44"/>
  </w:num>
  <w:num w:numId="13" w16cid:durableId="953445716">
    <w:abstractNumId w:val="43"/>
  </w:num>
  <w:num w:numId="14" w16cid:durableId="194583800">
    <w:abstractNumId w:val="16"/>
  </w:num>
  <w:num w:numId="15" w16cid:durableId="523634993">
    <w:abstractNumId w:val="9"/>
  </w:num>
  <w:num w:numId="16" w16cid:durableId="640503561">
    <w:abstractNumId w:val="24"/>
  </w:num>
  <w:num w:numId="17" w16cid:durableId="558250333">
    <w:abstractNumId w:val="20"/>
  </w:num>
  <w:num w:numId="18" w16cid:durableId="544635036">
    <w:abstractNumId w:val="48"/>
  </w:num>
  <w:num w:numId="19" w16cid:durableId="328294607">
    <w:abstractNumId w:val="46"/>
  </w:num>
  <w:num w:numId="20" w16cid:durableId="1746873194">
    <w:abstractNumId w:val="10"/>
  </w:num>
  <w:num w:numId="21" w16cid:durableId="796483149">
    <w:abstractNumId w:val="28"/>
  </w:num>
  <w:num w:numId="22" w16cid:durableId="2005666296">
    <w:abstractNumId w:val="6"/>
  </w:num>
  <w:num w:numId="23" w16cid:durableId="1935046073">
    <w:abstractNumId w:val="39"/>
  </w:num>
  <w:num w:numId="24" w16cid:durableId="1003436762">
    <w:abstractNumId w:val="3"/>
  </w:num>
  <w:num w:numId="25" w16cid:durableId="363680753">
    <w:abstractNumId w:val="12"/>
  </w:num>
  <w:num w:numId="26" w16cid:durableId="819734833">
    <w:abstractNumId w:val="37"/>
  </w:num>
  <w:num w:numId="27" w16cid:durableId="319966295">
    <w:abstractNumId w:val="0"/>
  </w:num>
  <w:num w:numId="28" w16cid:durableId="1320692743">
    <w:abstractNumId w:val="8"/>
  </w:num>
  <w:num w:numId="29" w16cid:durableId="1485123259">
    <w:abstractNumId w:val="26"/>
  </w:num>
  <w:num w:numId="30" w16cid:durableId="994458932">
    <w:abstractNumId w:val="45"/>
  </w:num>
  <w:num w:numId="31" w16cid:durableId="1152524602">
    <w:abstractNumId w:val="31"/>
  </w:num>
  <w:num w:numId="32" w16cid:durableId="2128505462">
    <w:abstractNumId w:val="2"/>
  </w:num>
  <w:num w:numId="33" w16cid:durableId="2058430843">
    <w:abstractNumId w:val="32"/>
  </w:num>
  <w:num w:numId="34" w16cid:durableId="1740865236">
    <w:abstractNumId w:val="42"/>
  </w:num>
  <w:num w:numId="35" w16cid:durableId="1029069065">
    <w:abstractNumId w:val="47"/>
  </w:num>
  <w:num w:numId="36" w16cid:durableId="297496150">
    <w:abstractNumId w:val="18"/>
  </w:num>
  <w:num w:numId="37" w16cid:durableId="2012371553">
    <w:abstractNumId w:val="13"/>
  </w:num>
  <w:num w:numId="38" w16cid:durableId="1867980670">
    <w:abstractNumId w:val="35"/>
  </w:num>
  <w:num w:numId="39" w16cid:durableId="325211694">
    <w:abstractNumId w:val="33"/>
  </w:num>
  <w:num w:numId="40" w16cid:durableId="1164323603">
    <w:abstractNumId w:val="11"/>
  </w:num>
  <w:num w:numId="41" w16cid:durableId="157304764">
    <w:abstractNumId w:val="15"/>
  </w:num>
  <w:num w:numId="42" w16cid:durableId="1902668225">
    <w:abstractNumId w:val="17"/>
  </w:num>
  <w:num w:numId="43" w16cid:durableId="1044866197">
    <w:abstractNumId w:val="7"/>
  </w:num>
  <w:num w:numId="44" w16cid:durableId="83573246">
    <w:abstractNumId w:val="19"/>
  </w:num>
  <w:num w:numId="45" w16cid:durableId="807359248">
    <w:abstractNumId w:val="5"/>
  </w:num>
  <w:num w:numId="46" w16cid:durableId="541477430">
    <w:abstractNumId w:val="27"/>
  </w:num>
  <w:num w:numId="47" w16cid:durableId="589511529">
    <w:abstractNumId w:val="49"/>
  </w:num>
  <w:num w:numId="48" w16cid:durableId="1634141599">
    <w:abstractNumId w:val="25"/>
  </w:num>
  <w:num w:numId="49" w16cid:durableId="857041502">
    <w:abstractNumId w:val="30"/>
  </w:num>
  <w:num w:numId="50" w16cid:durableId="9814284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2BDE"/>
    <w:rsid w:val="000245A3"/>
    <w:rsid w:val="0003506B"/>
    <w:rsid w:val="00040D4F"/>
    <w:rsid w:val="000412D4"/>
    <w:rsid w:val="0004232E"/>
    <w:rsid w:val="00046F97"/>
    <w:rsid w:val="000549AC"/>
    <w:rsid w:val="00055E65"/>
    <w:rsid w:val="00057481"/>
    <w:rsid w:val="0006127A"/>
    <w:rsid w:val="0006657A"/>
    <w:rsid w:val="00071193"/>
    <w:rsid w:val="000711C1"/>
    <w:rsid w:val="00075649"/>
    <w:rsid w:val="00076BE2"/>
    <w:rsid w:val="00084B35"/>
    <w:rsid w:val="000862D3"/>
    <w:rsid w:val="00093070"/>
    <w:rsid w:val="00093599"/>
    <w:rsid w:val="000A0DD0"/>
    <w:rsid w:val="000A1C03"/>
    <w:rsid w:val="000A3551"/>
    <w:rsid w:val="000A36B0"/>
    <w:rsid w:val="000A3926"/>
    <w:rsid w:val="000A3F06"/>
    <w:rsid w:val="000A55EE"/>
    <w:rsid w:val="000C7F38"/>
    <w:rsid w:val="000D4ACC"/>
    <w:rsid w:val="000E328C"/>
    <w:rsid w:val="000F2CC4"/>
    <w:rsid w:val="000F7B85"/>
    <w:rsid w:val="00103081"/>
    <w:rsid w:val="00103ADD"/>
    <w:rsid w:val="00104793"/>
    <w:rsid w:val="00113F55"/>
    <w:rsid w:val="00115CCE"/>
    <w:rsid w:val="00121062"/>
    <w:rsid w:val="00126B90"/>
    <w:rsid w:val="001319DA"/>
    <w:rsid w:val="00140FC1"/>
    <w:rsid w:val="0014633D"/>
    <w:rsid w:val="00147634"/>
    <w:rsid w:val="00155255"/>
    <w:rsid w:val="00157F39"/>
    <w:rsid w:val="00163B5C"/>
    <w:rsid w:val="00165840"/>
    <w:rsid w:val="0016665E"/>
    <w:rsid w:val="00167047"/>
    <w:rsid w:val="001735C4"/>
    <w:rsid w:val="0017614C"/>
    <w:rsid w:val="00176B06"/>
    <w:rsid w:val="00182ED3"/>
    <w:rsid w:val="0018793D"/>
    <w:rsid w:val="0019634E"/>
    <w:rsid w:val="001A2FCD"/>
    <w:rsid w:val="001A3733"/>
    <w:rsid w:val="001A6010"/>
    <w:rsid w:val="001B612F"/>
    <w:rsid w:val="001C6904"/>
    <w:rsid w:val="001D0ABB"/>
    <w:rsid w:val="001D2182"/>
    <w:rsid w:val="001D3CBC"/>
    <w:rsid w:val="001E2BBC"/>
    <w:rsid w:val="001E51A0"/>
    <w:rsid w:val="001E58FE"/>
    <w:rsid w:val="002128C3"/>
    <w:rsid w:val="00213D2F"/>
    <w:rsid w:val="00214189"/>
    <w:rsid w:val="002169FB"/>
    <w:rsid w:val="00222553"/>
    <w:rsid w:val="0022554E"/>
    <w:rsid w:val="0022643F"/>
    <w:rsid w:val="0023264E"/>
    <w:rsid w:val="002360B5"/>
    <w:rsid w:val="002370D3"/>
    <w:rsid w:val="00242B71"/>
    <w:rsid w:val="00244C04"/>
    <w:rsid w:val="00245609"/>
    <w:rsid w:val="00252693"/>
    <w:rsid w:val="002713C3"/>
    <w:rsid w:val="00272761"/>
    <w:rsid w:val="00276BDD"/>
    <w:rsid w:val="00276C3E"/>
    <w:rsid w:val="002808F0"/>
    <w:rsid w:val="00281A3B"/>
    <w:rsid w:val="00290C4B"/>
    <w:rsid w:val="00296D3F"/>
    <w:rsid w:val="002B3B61"/>
    <w:rsid w:val="002D1D70"/>
    <w:rsid w:val="002D4B38"/>
    <w:rsid w:val="002E0754"/>
    <w:rsid w:val="002F2860"/>
    <w:rsid w:val="002F58EB"/>
    <w:rsid w:val="002F60E4"/>
    <w:rsid w:val="002F615B"/>
    <w:rsid w:val="003004EC"/>
    <w:rsid w:val="00300512"/>
    <w:rsid w:val="003027D7"/>
    <w:rsid w:val="00304C16"/>
    <w:rsid w:val="00326892"/>
    <w:rsid w:val="00327EDE"/>
    <w:rsid w:val="00330D59"/>
    <w:rsid w:val="003403CB"/>
    <w:rsid w:val="003428AA"/>
    <w:rsid w:val="00352C61"/>
    <w:rsid w:val="00353DB9"/>
    <w:rsid w:val="003558C7"/>
    <w:rsid w:val="00361144"/>
    <w:rsid w:val="00364DCF"/>
    <w:rsid w:val="003700E9"/>
    <w:rsid w:val="003822D7"/>
    <w:rsid w:val="00396560"/>
    <w:rsid w:val="00397AC7"/>
    <w:rsid w:val="003A4974"/>
    <w:rsid w:val="003A69EF"/>
    <w:rsid w:val="003A6E4E"/>
    <w:rsid w:val="003B644B"/>
    <w:rsid w:val="003B766F"/>
    <w:rsid w:val="003C1FA6"/>
    <w:rsid w:val="003C6BBE"/>
    <w:rsid w:val="003D07D2"/>
    <w:rsid w:val="003E4264"/>
    <w:rsid w:val="003F0372"/>
    <w:rsid w:val="003F2DE1"/>
    <w:rsid w:val="003F46BE"/>
    <w:rsid w:val="003F4C87"/>
    <w:rsid w:val="003F7352"/>
    <w:rsid w:val="003F7F49"/>
    <w:rsid w:val="004000AE"/>
    <w:rsid w:val="0040062C"/>
    <w:rsid w:val="00403A15"/>
    <w:rsid w:val="00415E27"/>
    <w:rsid w:val="0042474F"/>
    <w:rsid w:val="00427A6D"/>
    <w:rsid w:val="004315C4"/>
    <w:rsid w:val="00434244"/>
    <w:rsid w:val="00437BDC"/>
    <w:rsid w:val="00440C62"/>
    <w:rsid w:val="00451E85"/>
    <w:rsid w:val="004538A3"/>
    <w:rsid w:val="00462A7C"/>
    <w:rsid w:val="004641B9"/>
    <w:rsid w:val="00465358"/>
    <w:rsid w:val="004663D5"/>
    <w:rsid w:val="004719B8"/>
    <w:rsid w:val="00473250"/>
    <w:rsid w:val="004733FF"/>
    <w:rsid w:val="0047602C"/>
    <w:rsid w:val="00476E5E"/>
    <w:rsid w:val="00487F38"/>
    <w:rsid w:val="0049701E"/>
    <w:rsid w:val="004A40A5"/>
    <w:rsid w:val="004A46A1"/>
    <w:rsid w:val="004B4D9C"/>
    <w:rsid w:val="004C0E27"/>
    <w:rsid w:val="004D44C1"/>
    <w:rsid w:val="004D66E8"/>
    <w:rsid w:val="004D7CDB"/>
    <w:rsid w:val="004F0D7E"/>
    <w:rsid w:val="0050015A"/>
    <w:rsid w:val="0050357A"/>
    <w:rsid w:val="005054AB"/>
    <w:rsid w:val="00513DA9"/>
    <w:rsid w:val="0052307A"/>
    <w:rsid w:val="0052341B"/>
    <w:rsid w:val="00531976"/>
    <w:rsid w:val="00540012"/>
    <w:rsid w:val="00540C4E"/>
    <w:rsid w:val="005453CE"/>
    <w:rsid w:val="00555910"/>
    <w:rsid w:val="005616B3"/>
    <w:rsid w:val="00565C58"/>
    <w:rsid w:val="005661BC"/>
    <w:rsid w:val="005670CC"/>
    <w:rsid w:val="00575591"/>
    <w:rsid w:val="00584F82"/>
    <w:rsid w:val="005852B6"/>
    <w:rsid w:val="005865D6"/>
    <w:rsid w:val="00592412"/>
    <w:rsid w:val="00592912"/>
    <w:rsid w:val="00593EDF"/>
    <w:rsid w:val="00594C0D"/>
    <w:rsid w:val="00597725"/>
    <w:rsid w:val="005C2A30"/>
    <w:rsid w:val="005C5D02"/>
    <w:rsid w:val="005C6005"/>
    <w:rsid w:val="005D4247"/>
    <w:rsid w:val="005E345A"/>
    <w:rsid w:val="005F2117"/>
    <w:rsid w:val="005F3B18"/>
    <w:rsid w:val="005F6AF9"/>
    <w:rsid w:val="00602E0C"/>
    <w:rsid w:val="00610D55"/>
    <w:rsid w:val="00611475"/>
    <w:rsid w:val="006116B8"/>
    <w:rsid w:val="0061277B"/>
    <w:rsid w:val="00613523"/>
    <w:rsid w:val="00620546"/>
    <w:rsid w:val="00623B5D"/>
    <w:rsid w:val="00624B6C"/>
    <w:rsid w:val="00625848"/>
    <w:rsid w:val="00633B31"/>
    <w:rsid w:val="0064216A"/>
    <w:rsid w:val="00642D73"/>
    <w:rsid w:val="00647E72"/>
    <w:rsid w:val="00650E7C"/>
    <w:rsid w:val="00651F6C"/>
    <w:rsid w:val="00661284"/>
    <w:rsid w:val="00663552"/>
    <w:rsid w:val="006679D2"/>
    <w:rsid w:val="006705DD"/>
    <w:rsid w:val="0067782C"/>
    <w:rsid w:val="00677ADE"/>
    <w:rsid w:val="00690344"/>
    <w:rsid w:val="006940EA"/>
    <w:rsid w:val="006A2E89"/>
    <w:rsid w:val="006A42A4"/>
    <w:rsid w:val="006A627D"/>
    <w:rsid w:val="006B0E23"/>
    <w:rsid w:val="006C503A"/>
    <w:rsid w:val="006C6F08"/>
    <w:rsid w:val="006D2DAD"/>
    <w:rsid w:val="006E01C3"/>
    <w:rsid w:val="00716C4C"/>
    <w:rsid w:val="00716D4F"/>
    <w:rsid w:val="007202AB"/>
    <w:rsid w:val="00721BCE"/>
    <w:rsid w:val="00726C66"/>
    <w:rsid w:val="0073521E"/>
    <w:rsid w:val="00744889"/>
    <w:rsid w:val="007526B6"/>
    <w:rsid w:val="007540B2"/>
    <w:rsid w:val="00757B0E"/>
    <w:rsid w:val="0076466B"/>
    <w:rsid w:val="0076672E"/>
    <w:rsid w:val="00766BC6"/>
    <w:rsid w:val="007751EF"/>
    <w:rsid w:val="007767FD"/>
    <w:rsid w:val="00787CC3"/>
    <w:rsid w:val="00796D86"/>
    <w:rsid w:val="007A3330"/>
    <w:rsid w:val="007A442F"/>
    <w:rsid w:val="007A52BD"/>
    <w:rsid w:val="007B1F4C"/>
    <w:rsid w:val="007B284B"/>
    <w:rsid w:val="007B6A57"/>
    <w:rsid w:val="007B737C"/>
    <w:rsid w:val="007B75B4"/>
    <w:rsid w:val="007C1FB4"/>
    <w:rsid w:val="007C5402"/>
    <w:rsid w:val="007D483B"/>
    <w:rsid w:val="007D502B"/>
    <w:rsid w:val="007E1EA6"/>
    <w:rsid w:val="007E3FE5"/>
    <w:rsid w:val="007E773D"/>
    <w:rsid w:val="007F6BCF"/>
    <w:rsid w:val="0080494A"/>
    <w:rsid w:val="00814719"/>
    <w:rsid w:val="0083160D"/>
    <w:rsid w:val="00832BE1"/>
    <w:rsid w:val="00835666"/>
    <w:rsid w:val="008516DF"/>
    <w:rsid w:val="00855DDC"/>
    <w:rsid w:val="008605D1"/>
    <w:rsid w:val="0086119E"/>
    <w:rsid w:val="00866623"/>
    <w:rsid w:val="00866FDE"/>
    <w:rsid w:val="00873014"/>
    <w:rsid w:val="00874229"/>
    <w:rsid w:val="0087700A"/>
    <w:rsid w:val="008945B2"/>
    <w:rsid w:val="008A1DDA"/>
    <w:rsid w:val="008A3BFF"/>
    <w:rsid w:val="008B131A"/>
    <w:rsid w:val="008B5837"/>
    <w:rsid w:val="008C4E1E"/>
    <w:rsid w:val="008D3AED"/>
    <w:rsid w:val="008E3F18"/>
    <w:rsid w:val="008E3FE1"/>
    <w:rsid w:val="008E4C98"/>
    <w:rsid w:val="008F2ADC"/>
    <w:rsid w:val="008F3240"/>
    <w:rsid w:val="00916851"/>
    <w:rsid w:val="0091696B"/>
    <w:rsid w:val="009170EF"/>
    <w:rsid w:val="00920655"/>
    <w:rsid w:val="00922DA1"/>
    <w:rsid w:val="009375FE"/>
    <w:rsid w:val="00944B6E"/>
    <w:rsid w:val="00950543"/>
    <w:rsid w:val="00953576"/>
    <w:rsid w:val="0095762D"/>
    <w:rsid w:val="0097041B"/>
    <w:rsid w:val="0098155A"/>
    <w:rsid w:val="00986544"/>
    <w:rsid w:val="00986838"/>
    <w:rsid w:val="009912EA"/>
    <w:rsid w:val="009915D8"/>
    <w:rsid w:val="00995340"/>
    <w:rsid w:val="009962C2"/>
    <w:rsid w:val="009A0D8D"/>
    <w:rsid w:val="009A24F9"/>
    <w:rsid w:val="009A375D"/>
    <w:rsid w:val="009B3675"/>
    <w:rsid w:val="009C04BD"/>
    <w:rsid w:val="009C5973"/>
    <w:rsid w:val="009C764D"/>
    <w:rsid w:val="009D7A6C"/>
    <w:rsid w:val="009D7AE4"/>
    <w:rsid w:val="009E093A"/>
    <w:rsid w:val="009E097D"/>
    <w:rsid w:val="009E291B"/>
    <w:rsid w:val="009F1CEE"/>
    <w:rsid w:val="00A00B79"/>
    <w:rsid w:val="00A06D24"/>
    <w:rsid w:val="00A2744F"/>
    <w:rsid w:val="00A30BC4"/>
    <w:rsid w:val="00A3336A"/>
    <w:rsid w:val="00A338D0"/>
    <w:rsid w:val="00A42BD2"/>
    <w:rsid w:val="00A51AED"/>
    <w:rsid w:val="00A56BC5"/>
    <w:rsid w:val="00A604CA"/>
    <w:rsid w:val="00A608EE"/>
    <w:rsid w:val="00A726BB"/>
    <w:rsid w:val="00A73459"/>
    <w:rsid w:val="00A76B51"/>
    <w:rsid w:val="00A77EEE"/>
    <w:rsid w:val="00A85717"/>
    <w:rsid w:val="00A927E0"/>
    <w:rsid w:val="00AA4EE8"/>
    <w:rsid w:val="00AC0B45"/>
    <w:rsid w:val="00AC3938"/>
    <w:rsid w:val="00AC6688"/>
    <w:rsid w:val="00AD40D0"/>
    <w:rsid w:val="00AD7C3F"/>
    <w:rsid w:val="00AD7CD3"/>
    <w:rsid w:val="00AE53C7"/>
    <w:rsid w:val="00AE7201"/>
    <w:rsid w:val="00AF630A"/>
    <w:rsid w:val="00B11907"/>
    <w:rsid w:val="00B24635"/>
    <w:rsid w:val="00B25CAC"/>
    <w:rsid w:val="00B34FF4"/>
    <w:rsid w:val="00B35636"/>
    <w:rsid w:val="00B41353"/>
    <w:rsid w:val="00B41EA0"/>
    <w:rsid w:val="00B426BE"/>
    <w:rsid w:val="00B4493C"/>
    <w:rsid w:val="00B64DBC"/>
    <w:rsid w:val="00B656A1"/>
    <w:rsid w:val="00B65D50"/>
    <w:rsid w:val="00B66415"/>
    <w:rsid w:val="00B67267"/>
    <w:rsid w:val="00B75683"/>
    <w:rsid w:val="00B76FC7"/>
    <w:rsid w:val="00B921EB"/>
    <w:rsid w:val="00B95434"/>
    <w:rsid w:val="00B958BB"/>
    <w:rsid w:val="00B97282"/>
    <w:rsid w:val="00BB04FE"/>
    <w:rsid w:val="00BB54F0"/>
    <w:rsid w:val="00BC1282"/>
    <w:rsid w:val="00BC4AEA"/>
    <w:rsid w:val="00BC7B4A"/>
    <w:rsid w:val="00BD740D"/>
    <w:rsid w:val="00BE62B2"/>
    <w:rsid w:val="00BF2933"/>
    <w:rsid w:val="00BF30CB"/>
    <w:rsid w:val="00BF3E46"/>
    <w:rsid w:val="00BF4C79"/>
    <w:rsid w:val="00BF76DF"/>
    <w:rsid w:val="00C0097E"/>
    <w:rsid w:val="00C030CA"/>
    <w:rsid w:val="00C0489D"/>
    <w:rsid w:val="00C04CC4"/>
    <w:rsid w:val="00C05074"/>
    <w:rsid w:val="00C06BB6"/>
    <w:rsid w:val="00C20727"/>
    <w:rsid w:val="00C23448"/>
    <w:rsid w:val="00C2466C"/>
    <w:rsid w:val="00C3342E"/>
    <w:rsid w:val="00C364C6"/>
    <w:rsid w:val="00C445E0"/>
    <w:rsid w:val="00C50A34"/>
    <w:rsid w:val="00C54F93"/>
    <w:rsid w:val="00C55349"/>
    <w:rsid w:val="00C615C8"/>
    <w:rsid w:val="00C646DB"/>
    <w:rsid w:val="00C70147"/>
    <w:rsid w:val="00C72ADD"/>
    <w:rsid w:val="00C72BDF"/>
    <w:rsid w:val="00C746E5"/>
    <w:rsid w:val="00C868AA"/>
    <w:rsid w:val="00C93A19"/>
    <w:rsid w:val="00C971D6"/>
    <w:rsid w:val="00CA25B9"/>
    <w:rsid w:val="00CA25DD"/>
    <w:rsid w:val="00CB3CC1"/>
    <w:rsid w:val="00CB506C"/>
    <w:rsid w:val="00CB59F2"/>
    <w:rsid w:val="00CB7443"/>
    <w:rsid w:val="00CB7CBF"/>
    <w:rsid w:val="00CC0AC2"/>
    <w:rsid w:val="00CC0ACA"/>
    <w:rsid w:val="00CC169F"/>
    <w:rsid w:val="00CD4524"/>
    <w:rsid w:val="00CD6F6C"/>
    <w:rsid w:val="00CD7998"/>
    <w:rsid w:val="00CD7C8F"/>
    <w:rsid w:val="00CE50B0"/>
    <w:rsid w:val="00CE6859"/>
    <w:rsid w:val="00CE732F"/>
    <w:rsid w:val="00CE7FD0"/>
    <w:rsid w:val="00CF3279"/>
    <w:rsid w:val="00CF40DD"/>
    <w:rsid w:val="00D07AF6"/>
    <w:rsid w:val="00D10164"/>
    <w:rsid w:val="00D33C52"/>
    <w:rsid w:val="00D36F4D"/>
    <w:rsid w:val="00D400B4"/>
    <w:rsid w:val="00D46E38"/>
    <w:rsid w:val="00D54D79"/>
    <w:rsid w:val="00D66F82"/>
    <w:rsid w:val="00D75329"/>
    <w:rsid w:val="00D83BC1"/>
    <w:rsid w:val="00D905F2"/>
    <w:rsid w:val="00DA02ED"/>
    <w:rsid w:val="00DA09E1"/>
    <w:rsid w:val="00DA7015"/>
    <w:rsid w:val="00DB2939"/>
    <w:rsid w:val="00DB2C23"/>
    <w:rsid w:val="00DB35F9"/>
    <w:rsid w:val="00DD3A6C"/>
    <w:rsid w:val="00DD419A"/>
    <w:rsid w:val="00DE2021"/>
    <w:rsid w:val="00DE6EF5"/>
    <w:rsid w:val="00E00404"/>
    <w:rsid w:val="00E104AB"/>
    <w:rsid w:val="00E1059A"/>
    <w:rsid w:val="00E227DF"/>
    <w:rsid w:val="00E27098"/>
    <w:rsid w:val="00E27A93"/>
    <w:rsid w:val="00E3046D"/>
    <w:rsid w:val="00E304DB"/>
    <w:rsid w:val="00E3239A"/>
    <w:rsid w:val="00E46361"/>
    <w:rsid w:val="00E47CDB"/>
    <w:rsid w:val="00E501A0"/>
    <w:rsid w:val="00E53603"/>
    <w:rsid w:val="00E61D3F"/>
    <w:rsid w:val="00E662B1"/>
    <w:rsid w:val="00E66D25"/>
    <w:rsid w:val="00E67722"/>
    <w:rsid w:val="00E70E1E"/>
    <w:rsid w:val="00E715F9"/>
    <w:rsid w:val="00E7435A"/>
    <w:rsid w:val="00E77106"/>
    <w:rsid w:val="00E8150B"/>
    <w:rsid w:val="00E87DFC"/>
    <w:rsid w:val="00E946CD"/>
    <w:rsid w:val="00EA0424"/>
    <w:rsid w:val="00EA1A07"/>
    <w:rsid w:val="00EA3EBA"/>
    <w:rsid w:val="00EA5C52"/>
    <w:rsid w:val="00EA7DC1"/>
    <w:rsid w:val="00EB166E"/>
    <w:rsid w:val="00EB1E3E"/>
    <w:rsid w:val="00EC506A"/>
    <w:rsid w:val="00EC6777"/>
    <w:rsid w:val="00EC745B"/>
    <w:rsid w:val="00ED418B"/>
    <w:rsid w:val="00ED6D04"/>
    <w:rsid w:val="00EE5D67"/>
    <w:rsid w:val="00EE6494"/>
    <w:rsid w:val="00EF07C1"/>
    <w:rsid w:val="00F043A8"/>
    <w:rsid w:val="00F04A9A"/>
    <w:rsid w:val="00F11058"/>
    <w:rsid w:val="00F173C8"/>
    <w:rsid w:val="00F179C6"/>
    <w:rsid w:val="00F21142"/>
    <w:rsid w:val="00F21769"/>
    <w:rsid w:val="00F24049"/>
    <w:rsid w:val="00F34222"/>
    <w:rsid w:val="00F36C5D"/>
    <w:rsid w:val="00F41A19"/>
    <w:rsid w:val="00F44081"/>
    <w:rsid w:val="00F46A5B"/>
    <w:rsid w:val="00F4737F"/>
    <w:rsid w:val="00F570AA"/>
    <w:rsid w:val="00F664B4"/>
    <w:rsid w:val="00F745F6"/>
    <w:rsid w:val="00F855AC"/>
    <w:rsid w:val="00F907CB"/>
    <w:rsid w:val="00FC11CC"/>
    <w:rsid w:val="00FC6CDB"/>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qFormat/>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qFormat/>
    <w:rsid w:val="0050357A"/>
    <w:rPr>
      <w:sz w:val="24"/>
      <w:szCs w:val="24"/>
      <w:lang w:val="es-PR"/>
    </w:rPr>
  </w:style>
  <w:style w:type="character" w:styleId="FootnoteReference">
    <w:name w:val="footnote reference"/>
    <w:basedOn w:val="DefaultParagraphFont"/>
    <w:uiPriority w:val="99"/>
    <w:unhideWhenUsed/>
    <w:qFormat/>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E3F18"/>
    <w:rPr>
      <w:rFonts w:asciiTheme="majorHAnsi" w:eastAsiaTheme="majorEastAsia" w:hAnsiTheme="majorHAnsi" w:cstheme="majorBidi"/>
      <w:color w:val="1F4D78" w:themeColor="accent1" w:themeShade="7F"/>
      <w:sz w:val="24"/>
      <w:szCs w:val="24"/>
    </w:rPr>
  </w:style>
  <w:style w:type="character" w:customStyle="1" w:styleId="whitespace-normal">
    <w:name w:val="whitespace-normal"/>
    <w:basedOn w:val="DefaultParagraphFont"/>
    <w:rsid w:val="002128C3"/>
  </w:style>
  <w:style w:type="paragraph" w:styleId="EndnoteText">
    <w:name w:val="endnote text"/>
    <w:basedOn w:val="Normal"/>
    <w:link w:val="EndnoteTextChar"/>
    <w:uiPriority w:val="99"/>
    <w:semiHidden/>
    <w:unhideWhenUsed/>
    <w:rsid w:val="00427A6D"/>
    <w:rPr>
      <w:rFonts w:asciiTheme="minorHAnsi" w:eastAsiaTheme="minorHAnsi" w:hAnsiTheme="minorHAnsi" w:cstheme="minorBidi"/>
      <w:kern w:val="2"/>
      <w:sz w:val="20"/>
      <w14:ligatures w14:val="standardContextual"/>
    </w:rPr>
  </w:style>
  <w:style w:type="character" w:customStyle="1" w:styleId="EndnoteTextChar">
    <w:name w:val="Endnote Text Char"/>
    <w:basedOn w:val="DefaultParagraphFont"/>
    <w:link w:val="EndnoteText"/>
    <w:uiPriority w:val="99"/>
    <w:semiHidden/>
    <w:rsid w:val="00427A6D"/>
    <w:rPr>
      <w:kern w:val="2"/>
      <w:sz w:val="20"/>
      <w:szCs w:val="20"/>
      <w14:ligatures w14:val="standardContextual"/>
    </w:rPr>
  </w:style>
  <w:style w:type="character" w:styleId="EndnoteReference">
    <w:name w:val="endnote reference"/>
    <w:basedOn w:val="DefaultParagraphFont"/>
    <w:uiPriority w:val="99"/>
    <w:semiHidden/>
    <w:unhideWhenUsed/>
    <w:rsid w:val="00427A6D"/>
    <w:rPr>
      <w:vertAlign w:val="superscript"/>
    </w:rPr>
  </w:style>
  <w:style w:type="paragraph" w:customStyle="1" w:styleId="isselectedend">
    <w:name w:val="isselectedend"/>
    <w:basedOn w:val="Normal"/>
    <w:rsid w:val="00B4493C"/>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175729554">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98613740">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29539304">
      <w:bodyDiv w:val="1"/>
      <w:marLeft w:val="0"/>
      <w:marRight w:val="0"/>
      <w:marTop w:val="0"/>
      <w:marBottom w:val="0"/>
      <w:divBdr>
        <w:top w:val="none" w:sz="0" w:space="0" w:color="auto"/>
        <w:left w:val="none" w:sz="0" w:space="0" w:color="auto"/>
        <w:bottom w:val="none" w:sz="0" w:space="0" w:color="auto"/>
        <w:right w:val="none" w:sz="0" w:space="0" w:color="auto"/>
      </w:divBdr>
      <w:divsChild>
        <w:div w:id="608586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37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06008042">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3001</Words>
  <Characters>17106</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2026-06-18T19:25:00Z</dcterms:created>
  <dcterms:modified xsi:type="dcterms:W3CDTF">2026-06-18T19:25:00Z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