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A4E65" w14:textId="77777777" w:rsidR="00300563" w:rsidRDefault="003A2D33">
      <w:pPr>
        <w:jc w:val="center"/>
      </w:pPr>
      <w:r>
        <w:rPr>
          <w:rFonts w:ascii="Book Antiqua" w:hAnsi="Book Antiqua" w:cs="Book Antiqua"/>
          <w:b/>
          <w:sz w:val="28"/>
          <w:szCs w:val="28"/>
        </w:rPr>
        <w:t>ENTIRILLADO ELECTRÓNICO</w:t>
      </w:r>
    </w:p>
    <w:p w14:paraId="681E639D" w14:textId="77777777" w:rsidR="00300563" w:rsidRDefault="00300563">
      <w:pPr>
        <w:jc w:val="center"/>
      </w:pPr>
    </w:p>
    <w:p w14:paraId="2A7651F0" w14:textId="251DE82D" w:rsidR="003845CA" w:rsidRPr="00A163C6" w:rsidRDefault="001B0904" w:rsidP="003845CA">
      <w:pPr>
        <w:suppressLineNumbers/>
        <w:jc w:val="center"/>
        <w:rPr>
          <w:rFonts w:ascii="Book Antiqua" w:hAnsi="Book Antiqua"/>
          <w:sz w:val="28"/>
          <w:lang w:val="es-ES_tradnl"/>
        </w:rPr>
      </w:pPr>
      <w:r>
        <w:rPr>
          <w:rFonts w:ascii="Book Antiqua" w:hAnsi="Book Antiqua"/>
          <w:sz w:val="28"/>
          <w:lang w:val="es-ES_tradnl"/>
        </w:rPr>
        <w:t>GOBIERNO DE PUERTO RICO</w:t>
      </w:r>
    </w:p>
    <w:p w14:paraId="183240CD" w14:textId="77777777" w:rsidR="003845CA" w:rsidRDefault="003845CA" w:rsidP="003845CA">
      <w:pPr>
        <w:suppressLineNumbers/>
        <w:jc w:val="center"/>
        <w:rPr>
          <w:rFonts w:ascii="Book Antiqua" w:hAnsi="Book Antiqua"/>
          <w:lang w:val="es-ES_tradnl"/>
        </w:rPr>
      </w:pPr>
    </w:p>
    <w:p w14:paraId="5AECBF6E" w14:textId="01CF6BB9" w:rsidR="003845CA" w:rsidRDefault="001B0904" w:rsidP="003845CA">
      <w:pPr>
        <w:suppressLineNumbers/>
        <w:jc w:val="both"/>
        <w:rPr>
          <w:rFonts w:ascii="Book Antiqua" w:hAnsi="Book Antiqua"/>
          <w:lang w:val="es-ES_tradnl"/>
        </w:rPr>
      </w:pPr>
      <w:r>
        <w:rPr>
          <w:rFonts w:ascii="Book Antiqua" w:hAnsi="Book Antiqua"/>
          <w:lang w:val="es-ES_tradnl"/>
        </w:rPr>
        <w:t>20m</w:t>
      </w:r>
      <w:r w:rsidR="003845CA">
        <w:rPr>
          <w:rFonts w:ascii="Book Antiqua" w:hAnsi="Book Antiqua"/>
          <w:lang w:val="es-ES_tradnl"/>
        </w:rPr>
        <w:t>a. Asamblea</w:t>
      </w:r>
      <w:r w:rsidR="003845CA">
        <w:rPr>
          <w:rFonts w:ascii="Book Antiqua" w:hAnsi="Book Antiqua"/>
          <w:lang w:val="es-ES_tradnl"/>
        </w:rPr>
        <w:tab/>
        <w:t xml:space="preserve">                                                                                              </w:t>
      </w:r>
      <w:r w:rsidR="003845CA">
        <w:rPr>
          <w:rFonts w:ascii="Book Antiqua" w:hAnsi="Book Antiqua"/>
          <w:lang w:val="es-ES_tradnl"/>
        </w:rPr>
        <w:tab/>
        <w:t xml:space="preserve"> </w:t>
      </w:r>
      <w:r w:rsidR="00C13055">
        <w:rPr>
          <w:rFonts w:ascii="Book Antiqua" w:hAnsi="Book Antiqua"/>
          <w:lang w:val="es-ES_tradnl"/>
        </w:rPr>
        <w:t>3</w:t>
      </w:r>
      <w:r w:rsidR="003845CA">
        <w:rPr>
          <w:rFonts w:ascii="Book Antiqua" w:hAnsi="Book Antiqua"/>
          <w:lang w:val="es-ES_tradnl"/>
        </w:rPr>
        <w:t>ra. Sesión</w:t>
      </w:r>
    </w:p>
    <w:p w14:paraId="62A9F648" w14:textId="77777777" w:rsidR="003845CA" w:rsidRDefault="003845CA" w:rsidP="003845CA">
      <w:pPr>
        <w:suppressLineNumbers/>
        <w:rPr>
          <w:rFonts w:ascii="Book Antiqua" w:hAnsi="Book Antiqua"/>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p>
    <w:p w14:paraId="548F1EE5" w14:textId="052E7778" w:rsidR="00B36FD7" w:rsidRPr="00852226" w:rsidRDefault="00B36FD7" w:rsidP="003845CA">
      <w:pPr>
        <w:suppressLineNumbers/>
        <w:rPr>
          <w:rFonts w:ascii="Book Antiqua" w:hAnsi="Book Antiqua"/>
        </w:rPr>
      </w:pPr>
      <w:r w:rsidRPr="00852226">
        <w:rPr>
          <w:rFonts w:ascii="Book Antiqua" w:hAnsi="Book Antiqua"/>
        </w:rPr>
        <w:t xml:space="preserve">       </w:t>
      </w:r>
    </w:p>
    <w:p w14:paraId="11A12A0F" w14:textId="77777777" w:rsidR="00B36FD7" w:rsidRPr="00852226" w:rsidRDefault="00B36FD7" w:rsidP="00B36FD7">
      <w:pPr>
        <w:pStyle w:val="NoSpacing"/>
        <w:suppressLineNumbers/>
        <w:jc w:val="center"/>
        <w:rPr>
          <w:rFonts w:ascii="Book Antiqua" w:hAnsi="Book Antiqua"/>
          <w:b/>
          <w:sz w:val="36"/>
          <w:szCs w:val="36"/>
        </w:rPr>
      </w:pPr>
      <w:r w:rsidRPr="00852226">
        <w:rPr>
          <w:rFonts w:ascii="Book Antiqua" w:hAnsi="Book Antiqua"/>
          <w:b/>
          <w:sz w:val="36"/>
          <w:szCs w:val="36"/>
        </w:rPr>
        <w:t>CÁMARA DE REPRESENTANTES</w:t>
      </w:r>
    </w:p>
    <w:p w14:paraId="6ED74661" w14:textId="77777777" w:rsidR="00B36FD7" w:rsidRPr="00C02E59" w:rsidRDefault="00B36FD7" w:rsidP="00B36FD7">
      <w:pPr>
        <w:pStyle w:val="NoSpacing"/>
        <w:suppressLineNumbers/>
        <w:jc w:val="center"/>
        <w:rPr>
          <w:rFonts w:ascii="Book Antiqua" w:hAnsi="Book Antiqua"/>
          <w:sz w:val="24"/>
          <w:szCs w:val="24"/>
        </w:rPr>
      </w:pPr>
    </w:p>
    <w:p w14:paraId="53B3FBA3" w14:textId="5F47EE52" w:rsidR="00B36FD7" w:rsidRPr="00852226" w:rsidRDefault="00930EB5" w:rsidP="00B36FD7">
      <w:pPr>
        <w:pStyle w:val="NoSpacing"/>
        <w:suppressLineNumbers/>
        <w:jc w:val="center"/>
        <w:rPr>
          <w:rFonts w:ascii="Book Antiqua" w:hAnsi="Book Antiqua"/>
          <w:b/>
          <w:sz w:val="52"/>
          <w:szCs w:val="52"/>
        </w:rPr>
      </w:pPr>
      <w:r w:rsidRPr="00852226">
        <w:rPr>
          <w:rFonts w:ascii="Book Antiqua" w:hAnsi="Book Antiqua"/>
          <w:b/>
          <w:sz w:val="52"/>
          <w:szCs w:val="52"/>
        </w:rPr>
        <w:t xml:space="preserve">P. de la C. </w:t>
      </w:r>
      <w:r w:rsidR="00696354">
        <w:rPr>
          <w:rFonts w:ascii="Book Antiqua" w:hAnsi="Book Antiqua"/>
          <w:b/>
          <w:sz w:val="52"/>
          <w:szCs w:val="52"/>
        </w:rPr>
        <w:t>1194</w:t>
      </w:r>
    </w:p>
    <w:p w14:paraId="3AC9748E" w14:textId="77777777" w:rsidR="00B36FD7" w:rsidRPr="00852226" w:rsidRDefault="00B36FD7" w:rsidP="00B36FD7">
      <w:pPr>
        <w:pStyle w:val="NoSpacing"/>
        <w:suppressLineNumbers/>
        <w:jc w:val="center"/>
        <w:rPr>
          <w:rFonts w:ascii="Book Antiqua" w:hAnsi="Book Antiqua"/>
          <w:sz w:val="24"/>
          <w:szCs w:val="24"/>
        </w:rPr>
      </w:pPr>
    </w:p>
    <w:p w14:paraId="5D894B58" w14:textId="5A5322B3" w:rsidR="00B36FD7" w:rsidRPr="00852226" w:rsidRDefault="00696354" w:rsidP="00B36FD7">
      <w:pPr>
        <w:pStyle w:val="NoSpacing"/>
        <w:suppressLineNumbers/>
        <w:jc w:val="center"/>
        <w:rPr>
          <w:rFonts w:ascii="Book Antiqua" w:hAnsi="Book Antiqua"/>
          <w:sz w:val="24"/>
          <w:szCs w:val="24"/>
        </w:rPr>
      </w:pPr>
      <w:r>
        <w:rPr>
          <w:rFonts w:ascii="Book Antiqua" w:hAnsi="Book Antiqua"/>
          <w:sz w:val="24"/>
          <w:szCs w:val="24"/>
        </w:rPr>
        <w:t>19</w:t>
      </w:r>
      <w:r w:rsidR="001B0904">
        <w:rPr>
          <w:rFonts w:ascii="Book Antiqua" w:hAnsi="Book Antiqua"/>
          <w:sz w:val="24"/>
          <w:szCs w:val="24"/>
        </w:rPr>
        <w:t xml:space="preserve"> DE </w:t>
      </w:r>
      <w:r w:rsidR="00C13055">
        <w:rPr>
          <w:rFonts w:ascii="Book Antiqua" w:hAnsi="Book Antiqua"/>
          <w:sz w:val="24"/>
          <w:szCs w:val="24"/>
        </w:rPr>
        <w:t>MARZO</w:t>
      </w:r>
      <w:r w:rsidR="001B0904">
        <w:rPr>
          <w:rFonts w:ascii="Book Antiqua" w:hAnsi="Book Antiqua"/>
          <w:sz w:val="24"/>
          <w:szCs w:val="24"/>
        </w:rPr>
        <w:t xml:space="preserve"> DE 202</w:t>
      </w:r>
      <w:r w:rsidR="009A6724">
        <w:rPr>
          <w:rFonts w:ascii="Book Antiqua" w:hAnsi="Book Antiqua"/>
          <w:sz w:val="24"/>
          <w:szCs w:val="24"/>
        </w:rPr>
        <w:t>6</w:t>
      </w:r>
    </w:p>
    <w:p w14:paraId="771C4E0D" w14:textId="77777777" w:rsidR="00B36FD7" w:rsidRPr="00852226" w:rsidRDefault="00B36FD7" w:rsidP="00B36FD7">
      <w:pPr>
        <w:pStyle w:val="NoSpacing"/>
        <w:suppressLineNumbers/>
        <w:jc w:val="center"/>
        <w:rPr>
          <w:rFonts w:ascii="Book Antiqua" w:hAnsi="Book Antiqua"/>
          <w:i/>
          <w:sz w:val="24"/>
          <w:szCs w:val="24"/>
        </w:rPr>
      </w:pPr>
    </w:p>
    <w:p w14:paraId="13EB35D2" w14:textId="77777777" w:rsidR="00B36FD7" w:rsidRPr="00852226" w:rsidRDefault="00B36FD7" w:rsidP="00B36FD7">
      <w:pPr>
        <w:pStyle w:val="NoSpacing"/>
        <w:suppressLineNumbers/>
        <w:ind w:left="720" w:hanging="720"/>
        <w:jc w:val="center"/>
        <w:rPr>
          <w:rFonts w:ascii="Book Antiqua" w:hAnsi="Book Antiqua"/>
          <w:i/>
          <w:sz w:val="24"/>
          <w:szCs w:val="24"/>
        </w:rPr>
      </w:pPr>
      <w:r w:rsidRPr="00852226">
        <w:rPr>
          <w:rFonts w:ascii="Book Antiqua" w:hAnsi="Book Antiqua"/>
          <w:sz w:val="24"/>
          <w:szCs w:val="24"/>
        </w:rPr>
        <w:t>Presentado por el representante</w:t>
      </w:r>
      <w:r w:rsidRPr="00852226">
        <w:rPr>
          <w:rFonts w:ascii="Book Antiqua" w:hAnsi="Book Antiqua"/>
          <w:i/>
          <w:sz w:val="24"/>
          <w:szCs w:val="24"/>
        </w:rPr>
        <w:t xml:space="preserve"> Torres Zamora</w:t>
      </w:r>
    </w:p>
    <w:p w14:paraId="417C7EBF" w14:textId="77777777" w:rsidR="00B36FD7" w:rsidRPr="00852226" w:rsidRDefault="00B36FD7" w:rsidP="00B36FD7">
      <w:pPr>
        <w:pStyle w:val="NoSpacing"/>
        <w:suppressLineNumbers/>
        <w:ind w:left="360" w:hanging="360"/>
        <w:jc w:val="both"/>
        <w:rPr>
          <w:rFonts w:ascii="Book Antiqua" w:hAnsi="Book Antiqua"/>
          <w:sz w:val="24"/>
          <w:szCs w:val="24"/>
        </w:rPr>
      </w:pPr>
    </w:p>
    <w:p w14:paraId="6CABE8BC" w14:textId="33A21169" w:rsidR="00F03A68" w:rsidRDefault="00F03A68" w:rsidP="00F03A68">
      <w:pPr>
        <w:jc w:val="center"/>
        <w:rPr>
          <w:rFonts w:ascii="Book Antiqua" w:hAnsi="Book Antiqua"/>
          <w:lang w:val="es-ES_tradnl"/>
        </w:rPr>
      </w:pPr>
      <w:r w:rsidRPr="00F2583A">
        <w:rPr>
          <w:rFonts w:ascii="Book Antiqua" w:hAnsi="Book Antiqua"/>
          <w:lang w:val="es-ES_tradnl"/>
        </w:rPr>
        <w:t>Referido a</w:t>
      </w:r>
      <w:r>
        <w:rPr>
          <w:rFonts w:ascii="Book Antiqua" w:hAnsi="Book Antiqua"/>
          <w:lang w:val="es-ES_tradnl"/>
        </w:rPr>
        <w:t xml:space="preserve"> la Comisión de </w:t>
      </w:r>
      <w:r w:rsidR="00843E14">
        <w:rPr>
          <w:rFonts w:ascii="Book Antiqua" w:hAnsi="Book Antiqua"/>
          <w:lang w:val="es-ES_tradnl"/>
        </w:rPr>
        <w:t>Banca, Seguros y Comercio</w:t>
      </w:r>
    </w:p>
    <w:p w14:paraId="7911EC85" w14:textId="77777777" w:rsidR="00B36FD7" w:rsidRPr="00852226" w:rsidRDefault="00B36FD7" w:rsidP="00B36FD7">
      <w:pPr>
        <w:pStyle w:val="NoSpacing"/>
        <w:suppressLineNumbers/>
        <w:jc w:val="center"/>
        <w:rPr>
          <w:rFonts w:ascii="Book Antiqua" w:hAnsi="Book Antiqua"/>
          <w:sz w:val="24"/>
          <w:szCs w:val="24"/>
        </w:rPr>
      </w:pPr>
    </w:p>
    <w:p w14:paraId="3FABAC18" w14:textId="77777777" w:rsidR="00B36FD7" w:rsidRPr="00852226" w:rsidRDefault="00B36FD7" w:rsidP="00B36FD7">
      <w:pPr>
        <w:pStyle w:val="NoSpacing"/>
        <w:suppressLineNumbers/>
        <w:jc w:val="center"/>
        <w:rPr>
          <w:rFonts w:ascii="Book Antiqua" w:hAnsi="Book Antiqua"/>
          <w:b/>
          <w:sz w:val="28"/>
          <w:szCs w:val="28"/>
        </w:rPr>
      </w:pPr>
      <w:r w:rsidRPr="00852226">
        <w:rPr>
          <w:rFonts w:ascii="Book Antiqua" w:hAnsi="Book Antiqua"/>
          <w:b/>
          <w:sz w:val="28"/>
          <w:szCs w:val="28"/>
        </w:rPr>
        <w:t>LEY</w:t>
      </w:r>
    </w:p>
    <w:p w14:paraId="3115D3E2" w14:textId="77777777" w:rsidR="00FD358F" w:rsidRPr="00852226" w:rsidRDefault="00FD358F" w:rsidP="00FD358F">
      <w:pPr>
        <w:jc w:val="both"/>
        <w:rPr>
          <w:rFonts w:ascii="Book Antiqua" w:hAnsi="Book Antiqua"/>
        </w:rPr>
      </w:pPr>
    </w:p>
    <w:p w14:paraId="3ED0A721" w14:textId="58C6F285" w:rsidR="00C13055" w:rsidRPr="00C13055" w:rsidRDefault="00C13055" w:rsidP="00C13055">
      <w:pPr>
        <w:ind w:left="720" w:hanging="720"/>
        <w:jc w:val="both"/>
        <w:rPr>
          <w:rFonts w:ascii="Book Antiqua" w:hAnsi="Book Antiqua" w:cs="Book Antiqua"/>
        </w:rPr>
      </w:pPr>
      <w:r>
        <w:rPr>
          <w:rFonts w:ascii="Book Antiqua" w:hAnsi="Book Antiqua" w:cs="Book Antiqua"/>
        </w:rPr>
        <w:t xml:space="preserve">Para añadir un nuevo inciso (4) al Artículo 27.162 de la Ley Núm. 77 de 19 de junio de 1957, según enmendada, conocida como “Código de Seguros de Puerto Rico”, </w:t>
      </w:r>
      <w:r>
        <w:rPr>
          <w:rFonts w:ascii="Book Antiqua" w:hAnsi="Book Antiqua" w:cs="Book Antiqua"/>
          <w:i/>
          <w:u w:val="single"/>
        </w:rPr>
        <w:t xml:space="preserve">y para añadir un nuevo Artículo 24.105 al Capítulo 24 de la Ley 194-2011, según enmendada, conocida como “Código de Seguros de Salud de Puerto Rico”, </w:t>
      </w:r>
      <w:r>
        <w:rPr>
          <w:rFonts w:ascii="Book Antiqua" w:hAnsi="Book Antiqua" w:cs="Book Antiqua"/>
        </w:rPr>
        <w:t xml:space="preserve">a los fines de establecer un término </w:t>
      </w:r>
      <w:r>
        <w:rPr>
          <w:rFonts w:ascii="Book Antiqua" w:hAnsi="Book Antiqua" w:cs="Book Antiqua"/>
          <w:strike/>
        </w:rPr>
        <w:t xml:space="preserve">no mayor de cuarenta y cinco (45) </w:t>
      </w:r>
      <w:r>
        <w:rPr>
          <w:rFonts w:ascii="Book Antiqua" w:hAnsi="Book Antiqua" w:cs="Book Antiqua"/>
          <w:i/>
          <w:u w:val="single"/>
        </w:rPr>
        <w:t xml:space="preserve">especial, no mayor de sesenta (60) </w:t>
      </w:r>
      <w:r>
        <w:rPr>
          <w:rFonts w:ascii="Book Antiqua" w:hAnsi="Book Antiqua" w:cs="Book Antiqua"/>
        </w:rPr>
        <w:t xml:space="preserve">días para la resolución de reclamaciones relacionadas con condiciones catastróficas o enfermedades graves </w:t>
      </w:r>
      <w:r>
        <w:rPr>
          <w:rFonts w:ascii="Book Antiqua" w:hAnsi="Book Antiqua" w:cs="Book Antiqua"/>
          <w:i/>
          <w:u w:val="single"/>
        </w:rPr>
        <w:t>bajo pólizas distintas a las de servicios de salud, con definiciones por reglamentación, mecanismos de suspensión del cómputo y extensiones por justa causa; para disponer la aplicación expresa del procedimiento de revisión acelerada de utilización y determinación de beneficios a las personas cubiertas o aseguradas que hayan sido diagnosticadas con condiciones catastróficas, enfermedades graves o condiciones que pongan en riesgo la vida, sin menoscabar los términos más expeditos ya aplicables a los servicios de emergencia ni los demás términos más beneficiosos del referido Capítulo 24</w:t>
      </w:r>
      <w:r>
        <w:rPr>
          <w:rFonts w:ascii="Book Antiqua" w:hAnsi="Book Antiqua" w:cs="Book Antiqua"/>
        </w:rPr>
        <w:t>; y para otros fines relacionados.</w:t>
      </w:r>
    </w:p>
    <w:p w14:paraId="7EB0100C" w14:textId="77777777" w:rsidR="00FD358F" w:rsidRPr="00852226" w:rsidRDefault="00FD358F" w:rsidP="00FD358F">
      <w:pPr>
        <w:ind w:left="540" w:hanging="540"/>
        <w:jc w:val="both"/>
        <w:rPr>
          <w:rFonts w:ascii="Book Antiqua" w:hAnsi="Book Antiqua"/>
        </w:rPr>
      </w:pPr>
    </w:p>
    <w:p w14:paraId="436490B9" w14:textId="77777777" w:rsidR="00FD358F" w:rsidRPr="00852226" w:rsidRDefault="00360A40" w:rsidP="00FD358F">
      <w:pPr>
        <w:jc w:val="center"/>
        <w:rPr>
          <w:rFonts w:ascii="Book Antiqua" w:hAnsi="Book Antiqua"/>
        </w:rPr>
      </w:pPr>
      <w:r w:rsidRPr="00852226">
        <w:rPr>
          <w:rFonts w:ascii="Book Antiqua" w:hAnsi="Book Antiqua"/>
        </w:rPr>
        <w:t>EXPOSICIÓ</w:t>
      </w:r>
      <w:r w:rsidR="00FD358F" w:rsidRPr="00852226">
        <w:rPr>
          <w:rFonts w:ascii="Book Antiqua" w:hAnsi="Book Antiqua"/>
        </w:rPr>
        <w:t>N DE MOTIVOS</w:t>
      </w:r>
    </w:p>
    <w:p w14:paraId="0410E67F" w14:textId="695E3FFF" w:rsidR="00FD358F" w:rsidRPr="00852226" w:rsidRDefault="00FD358F" w:rsidP="00FD358F">
      <w:pPr>
        <w:jc w:val="center"/>
        <w:rPr>
          <w:rFonts w:ascii="Book Antiqua" w:hAnsi="Book Antiqua"/>
        </w:rPr>
      </w:pPr>
    </w:p>
    <w:p w14:paraId="717E2701" w14:textId="55DC7B41" w:rsidR="00C13055" w:rsidRDefault="00C13055" w:rsidP="00405202">
      <w:pPr>
        <w:ind w:firstLine="720"/>
        <w:jc w:val="both"/>
        <w:rPr>
          <w:rFonts w:ascii="Book Antiqua" w:hAnsi="Book Antiqua"/>
          <w:color w:val="000000"/>
          <w:shd w:val="clear" w:color="auto" w:fill="FFFFFF"/>
        </w:rPr>
      </w:pPr>
      <w:r w:rsidRPr="00C13055">
        <w:rPr>
          <w:rFonts w:ascii="Book Antiqua" w:hAnsi="Book Antiqua"/>
          <w:color w:val="000000"/>
          <w:shd w:val="clear" w:color="auto" w:fill="FFFFFF"/>
        </w:rPr>
        <w:t>El Código de Seguros de Puerto Rico</w:t>
      </w:r>
      <w:r w:rsidR="00F875B9" w:rsidRPr="00F875B9">
        <w:rPr>
          <w:rFonts w:ascii="Book Antiqua" w:hAnsi="Book Antiqua"/>
          <w:color w:val="000000"/>
          <w:shd w:val="clear" w:color="auto" w:fill="FFFFFF"/>
        </w:rPr>
        <w:t xml:space="preserve">, Ley Núm. 77 de 19 de junio de 1957, según enmendada, </w:t>
      </w:r>
      <w:r w:rsidRPr="00C13055">
        <w:rPr>
          <w:rFonts w:ascii="Book Antiqua" w:hAnsi="Book Antiqua"/>
          <w:color w:val="000000"/>
          <w:shd w:val="clear" w:color="auto" w:fill="FFFFFF"/>
        </w:rPr>
        <w:t>establece que la investigación, ajuste y resolución de reclamaciones deberá realizarse dentro de un término</w:t>
      </w:r>
      <w:r w:rsidR="00F875B9">
        <w:rPr>
          <w:rFonts w:ascii="Book Antiqua" w:hAnsi="Book Antiqua"/>
          <w:color w:val="000000"/>
          <w:shd w:val="clear" w:color="auto" w:fill="FFFFFF"/>
        </w:rPr>
        <w:t xml:space="preserve"> r</w:t>
      </w:r>
      <w:r w:rsidR="00F875B9" w:rsidRPr="00F875B9">
        <w:rPr>
          <w:rFonts w:ascii="Book Antiqua" w:hAnsi="Book Antiqua"/>
          <w:color w:val="000000"/>
          <w:shd w:val="clear" w:color="auto" w:fill="FFFFFF"/>
        </w:rPr>
        <w:t>azonablemente más corto posible, pero no mayor de noventa (90) días</w:t>
      </w:r>
      <w:r w:rsidRPr="00C13055">
        <w:rPr>
          <w:rFonts w:ascii="Book Antiqua" w:hAnsi="Book Antiqua"/>
          <w:color w:val="000000"/>
          <w:shd w:val="clear" w:color="auto" w:fill="FFFFFF"/>
        </w:rPr>
        <w:t xml:space="preserve"> desde la radicación de la reclamación.</w:t>
      </w:r>
    </w:p>
    <w:p w14:paraId="7900DBA3" w14:textId="77777777" w:rsidR="00C13055" w:rsidRPr="00C13055" w:rsidRDefault="00C13055" w:rsidP="00C13055">
      <w:pPr>
        <w:jc w:val="both"/>
        <w:rPr>
          <w:rFonts w:ascii="Book Antiqua" w:hAnsi="Book Antiqua"/>
          <w:color w:val="000000"/>
          <w:shd w:val="clear" w:color="auto" w:fill="FFFFFF"/>
        </w:rPr>
      </w:pPr>
    </w:p>
    <w:p w14:paraId="0FAB4DE6" w14:textId="3AD280E8" w:rsidR="00C13055" w:rsidRDefault="00FB64E3" w:rsidP="00405202">
      <w:pPr>
        <w:ind w:firstLine="720"/>
        <w:jc w:val="both"/>
        <w:rPr>
          <w:rFonts w:ascii="Book Antiqua" w:hAnsi="Book Antiqua"/>
          <w:color w:val="000000"/>
          <w:shd w:val="clear" w:color="auto" w:fill="FFFFFF"/>
        </w:rPr>
      </w:pPr>
      <w:r w:rsidRPr="00FB64E3">
        <w:rPr>
          <w:rFonts w:ascii="Book Antiqua" w:hAnsi="Book Antiqua"/>
          <w:color w:val="000000"/>
          <w:shd w:val="clear" w:color="auto" w:fill="FFFFFF"/>
        </w:rPr>
        <w:lastRenderedPageBreak/>
        <w:t>Sin embargo, cuando las reclamaciones están relacionadas con el diagnóstico o tratamiento de una condición catastrófica, enfermedad grave o cualquier condición que ponga en riesgo la vida del asegurado, el tiempo para la resolución de estas adquiere una importancia crítica.</w:t>
      </w:r>
      <w:r>
        <w:rPr>
          <w:rFonts w:ascii="Book Antiqua" w:hAnsi="Book Antiqua"/>
          <w:color w:val="000000"/>
          <w:shd w:val="clear" w:color="auto" w:fill="FFFFFF"/>
        </w:rPr>
        <w:t xml:space="preserve"> </w:t>
      </w:r>
      <w:r w:rsidR="00C13055" w:rsidRPr="00C13055">
        <w:rPr>
          <w:rFonts w:ascii="Book Antiqua" w:hAnsi="Book Antiqua"/>
          <w:color w:val="000000"/>
          <w:shd w:val="clear" w:color="auto" w:fill="FFFFFF"/>
        </w:rPr>
        <w:t>Pacientes</w:t>
      </w:r>
      <w:r>
        <w:rPr>
          <w:rFonts w:ascii="Book Antiqua" w:hAnsi="Book Antiqua"/>
          <w:color w:val="000000"/>
          <w:shd w:val="clear" w:color="auto" w:fill="FFFFFF"/>
        </w:rPr>
        <w:t xml:space="preserve"> </w:t>
      </w:r>
      <w:r w:rsidR="00C13055" w:rsidRPr="00C13055">
        <w:rPr>
          <w:rFonts w:ascii="Book Antiqua" w:hAnsi="Book Antiqua"/>
          <w:color w:val="000000"/>
          <w:shd w:val="clear" w:color="auto" w:fill="FFFFFF"/>
        </w:rPr>
        <w:t>diagnosticados con condiciones como cáncer, enfermedades degenerativas u otras condiciones de alto riesgo frecuentemente requieren tratamientos costosos e inmediatos. En estas circunstancias, cualquier dilación en el procesamiento de reclamaciones puede afectar significativamente la capacidad del paciente para acceder oportunamente a los tratamientos médicos necesarios.</w:t>
      </w:r>
    </w:p>
    <w:p w14:paraId="734855BE" w14:textId="77777777" w:rsidR="00F875B9" w:rsidRDefault="00F875B9" w:rsidP="00405202">
      <w:pPr>
        <w:ind w:firstLine="720"/>
        <w:jc w:val="both"/>
        <w:rPr>
          <w:rFonts w:ascii="Book Antiqua" w:hAnsi="Book Antiqua"/>
          <w:color w:val="000000"/>
          <w:shd w:val="clear" w:color="auto" w:fill="FFFFFF"/>
        </w:rPr>
      </w:pPr>
    </w:p>
    <w:p w14:paraId="7A363152" w14:textId="64D0ACF0" w:rsidR="00F875B9" w:rsidRPr="00F875B9" w:rsidRDefault="00F875B9" w:rsidP="00F875B9">
      <w:pPr>
        <w:ind w:firstLine="720"/>
        <w:jc w:val="both"/>
        <w:rPr>
          <w:rFonts w:ascii="Book Antiqua" w:hAnsi="Book Antiqua"/>
          <w:color w:val="000000"/>
          <w:shd w:val="clear" w:color="auto" w:fill="FFFFFF"/>
        </w:rPr>
      </w:pPr>
      <w:r w:rsidRPr="00F875B9">
        <w:rPr>
          <w:rFonts w:ascii="Book Antiqua" w:hAnsi="Book Antiqua"/>
          <w:color w:val="000000"/>
          <w:shd w:val="clear" w:color="auto" w:fill="FFFFFF"/>
        </w:rPr>
        <w:t>Ante esta realidad, resulta necesario establecer mecanismos que garanticen un trámite más ágil y expedito en la evaluación y resolución de reclamaciones relacionadas con estas condiciones médicas.</w:t>
      </w:r>
      <w:r>
        <w:rPr>
          <w:rFonts w:ascii="Book Antiqua" w:hAnsi="Book Antiqua"/>
          <w:color w:val="000000"/>
          <w:shd w:val="clear" w:color="auto" w:fill="FFFFFF"/>
        </w:rPr>
        <w:t xml:space="preserve"> </w:t>
      </w:r>
      <w:r w:rsidR="0029508C">
        <w:rPr>
          <w:rFonts w:ascii="Book Antiqua" w:hAnsi="Book Antiqua"/>
          <w:color w:val="000000"/>
          <w:shd w:val="clear" w:color="auto" w:fill="FFFFFF"/>
        </w:rPr>
        <w:t xml:space="preserve"> </w:t>
      </w:r>
      <w:r w:rsidRPr="00F875B9">
        <w:rPr>
          <w:rFonts w:ascii="Book Antiqua" w:hAnsi="Book Antiqua"/>
          <w:color w:val="000000"/>
          <w:shd w:val="clear" w:color="auto" w:fill="FFFFFF"/>
        </w:rPr>
        <w:t xml:space="preserve">La salud y la vida de los pacientes no deben quedar sujetas a procesos administrativos prolongados que puedan retrasar el acceso a tratamientos médicos necesarios. </w:t>
      </w:r>
    </w:p>
    <w:p w14:paraId="744F6FEB" w14:textId="77777777" w:rsidR="00F875B9" w:rsidRPr="00F875B9" w:rsidRDefault="00F875B9" w:rsidP="00405202">
      <w:pPr>
        <w:ind w:firstLine="720"/>
        <w:jc w:val="both"/>
        <w:rPr>
          <w:rFonts w:ascii="Book Antiqua" w:hAnsi="Book Antiqua"/>
          <w:color w:val="000000"/>
          <w:shd w:val="clear" w:color="auto" w:fill="FFFFFF"/>
        </w:rPr>
      </w:pPr>
    </w:p>
    <w:p w14:paraId="70E05F97" w14:textId="77777777" w:rsidR="00300563" w:rsidRDefault="003A2D33">
      <w:pPr>
        <w:ind w:firstLine="720"/>
        <w:jc w:val="both"/>
      </w:pPr>
      <w:r>
        <w:rPr>
          <w:rFonts w:ascii="Book Antiqua" w:hAnsi="Book Antiqua" w:cs="Book Antiqua"/>
          <w:i/>
          <w:u w:val="single"/>
        </w:rPr>
        <w:t>El Código de Seguros de Salud de Puerto Rico, Ley 194-2011, según enmendada, contiene en su Capítulo 24, titulado “Revisión de Utilización y Determinación de Beneficios”, un marco especializado y vigente para la adjudicación expedita de las solicitudes de cubierta, autorización y determinación de beneficios de servicios de salud. En particular, el Artículo 24.090 establece términos máximos de quince (15) días para determinaciones prospectivas y treinta (30) días para retrospectivas; el Artículo 24.100 dispone un término no mayor de veinticuatro (24) horas para la revisión acelerada de utilización en casos de cuidado urgente; y el Artículo 24.110 prohíbe condicionar a autorización previa los servicios de emergencia necesarios para el cernimiento y estabilización del asegurado. Asimismo, el Artículo 24.030(Q) ya define como “solicitud de cuidado urgente” aquélla cuyo trámite no urgente “podría poner en peligro la vida o la salud de la persona cubierta o asegurado o su recuperación plena”.</w:t>
      </w:r>
    </w:p>
    <w:p w14:paraId="6F6037F2" w14:textId="77777777" w:rsidR="00B67998" w:rsidRDefault="00B67998">
      <w:pPr>
        <w:ind w:firstLine="720"/>
        <w:jc w:val="both"/>
        <w:rPr>
          <w:rFonts w:ascii="Book Antiqua" w:hAnsi="Book Antiqua" w:cs="Book Antiqua"/>
          <w:i/>
          <w:u w:val="single"/>
        </w:rPr>
      </w:pPr>
    </w:p>
    <w:p w14:paraId="6AC010B9" w14:textId="4A4C6234" w:rsidR="00300563" w:rsidRDefault="003A2D33">
      <w:pPr>
        <w:ind w:firstLine="720"/>
        <w:jc w:val="both"/>
      </w:pPr>
      <w:r>
        <w:rPr>
          <w:rFonts w:ascii="Book Antiqua" w:hAnsi="Book Antiqua" w:cs="Book Antiqua"/>
          <w:i/>
          <w:u w:val="single"/>
        </w:rPr>
        <w:t xml:space="preserve">Mediante esta Ley se adoptan dos disposiciones complementarias y armonizadas con el ordenamiento vigente. En primer lugar, se enmienda el Artículo 27.162 del Código de Seguros de Puerto Rico para añadir un inciso (4) que establece un término especial, no mayor de sesenta (60) días, para la resolución de reclamaciones relacionadas con el diagnóstico, tratamiento o manejo de condiciones catastróficas, enfermedades graves o condiciones que pongan en riesgo la vida, bajo pólizas distintas a las de servicios de salud. Este término reconoce la complejidad operacional de la adjudicación de tales reclamaciones y resulta cónsono con los plazos para la entrega de expedientes médicos bajo la Ley Núm. 194-2000, según enmendada, conocida como “Carta de Derechos y Responsabilidades del Paciente”, así como bajo la Health Insurance Portability and Accountability Act (HIPAA). El inciso incluye, además: (i) la exclusión expresa de las solicitudes de revisión de utilización, autorización de cubierta y determinación de beneficios de servicios de salud, las cuales continuarán rigiéndose por las disposiciones especiales del Capítulo 24 del Código de Seguros de Salud; (ii) un mecanismo de suspensión del cómputo cuando la dilación sea atribuible a causas ajenas al asegurador; (iii) la facultad del Comisionado de Seguros para conceder extensiones razonables por justa causa; y (iv) la delegación al Comisionado de Seguros de la facultad reglamentaria para definir uniformemente los términos “condición catastrófica”, “enfermedad grave” y “condición que ponga en riesgo la vida”, tomando como referencia los códigos </w:t>
      </w:r>
      <w:r>
        <w:rPr>
          <w:rFonts w:ascii="Book Antiqua" w:hAnsi="Book Antiqua" w:cs="Book Antiqua"/>
          <w:i/>
          <w:u w:val="single"/>
        </w:rPr>
        <w:lastRenderedPageBreak/>
        <w:t>diagnósticos de la International Classification of Diseases, Tenth Revision (ICD-10), u otros estándares clínicos reconocidos.</w:t>
      </w:r>
    </w:p>
    <w:p w14:paraId="7E2F3B05" w14:textId="77777777" w:rsidR="00B67998" w:rsidRDefault="00B67998">
      <w:pPr>
        <w:ind w:firstLine="720"/>
        <w:jc w:val="both"/>
        <w:rPr>
          <w:rFonts w:ascii="Book Antiqua" w:hAnsi="Book Antiqua" w:cs="Book Antiqua"/>
          <w:i/>
          <w:u w:val="single"/>
        </w:rPr>
      </w:pPr>
    </w:p>
    <w:p w14:paraId="654E868F" w14:textId="71AC686E" w:rsidR="00300563" w:rsidRDefault="003A2D33">
      <w:pPr>
        <w:ind w:firstLine="720"/>
        <w:jc w:val="both"/>
      </w:pPr>
      <w:r>
        <w:rPr>
          <w:rFonts w:ascii="Book Antiqua" w:hAnsi="Book Antiqua" w:cs="Book Antiqua"/>
          <w:i/>
          <w:u w:val="single"/>
        </w:rPr>
        <w:t>En segundo lugar, se añade un nuevo Artículo 24.105 al Capítulo 24 del Código de Seguros de Salud de Puerto Rico, que clarifica que toda solicitud de revisión de utilización o determinación de beneficios presentada por o en nombre de una persona cubierta o asegurada diagnosticada con una condición catastrófica, enfermedad grave o condición que ponga en riesgo la vida, se entenderá comprendida dentro del concepto de “solicitud de cuidado urgente” del Artículo 24.030(Q) y será atendida bajo el procedimiento de revisión acelerada dispuesto en el Artículo 24.100 de dicho Código. Esta disposición no menoscabará los términos más expeditos aplicables a los servicios de emergencia conforme al Artículo 24.110, ni cualquier otro término más beneficioso para la persona cubierta o asegurada bajo el referido Capítulo 24, el Capítulo 22 sobre Procedimientos Internos de Querellas, el Capítulo 28 sobre Revisión Externa Independiente, o cualquier otra ley o reglamento aplicable.</w:t>
      </w:r>
    </w:p>
    <w:p w14:paraId="011DD269" w14:textId="77777777" w:rsidR="00B67998" w:rsidRDefault="00B67998" w:rsidP="0029508C">
      <w:pPr>
        <w:ind w:firstLine="720"/>
        <w:jc w:val="both"/>
        <w:rPr>
          <w:rFonts w:ascii="Book Antiqua" w:hAnsi="Book Antiqua"/>
          <w:color w:val="000000"/>
          <w:shd w:val="clear" w:color="auto" w:fill="FFFFFF"/>
        </w:rPr>
      </w:pPr>
    </w:p>
    <w:p w14:paraId="39D81FD6" w14:textId="01CBC3A9" w:rsidR="00C13055" w:rsidRPr="00C13055" w:rsidRDefault="00C13055" w:rsidP="0029508C">
      <w:pPr>
        <w:ind w:firstLine="720"/>
        <w:jc w:val="both"/>
        <w:rPr>
          <w:rFonts w:ascii="Book Antiqua" w:hAnsi="Book Antiqua"/>
          <w:color w:val="000000"/>
          <w:shd w:val="clear" w:color="auto" w:fill="FFFFFF"/>
        </w:rPr>
      </w:pPr>
      <w:r w:rsidRPr="00C13055">
        <w:rPr>
          <w:rFonts w:ascii="Book Antiqua" w:hAnsi="Book Antiqua"/>
          <w:color w:val="000000"/>
          <w:shd w:val="clear" w:color="auto" w:fill="FFFFFF"/>
        </w:rPr>
        <w:t xml:space="preserve">Por tal razón, </w:t>
      </w:r>
      <w:r w:rsidR="00EE2CB1">
        <w:rPr>
          <w:rFonts w:ascii="Book Antiqua" w:hAnsi="Book Antiqua"/>
          <w:color w:val="000000"/>
          <w:shd w:val="clear" w:color="auto" w:fill="FFFFFF"/>
        </w:rPr>
        <w:t xml:space="preserve">mediante esta Ley se establece </w:t>
      </w:r>
      <w:r w:rsidRPr="00C13055">
        <w:rPr>
          <w:rFonts w:ascii="Book Antiqua" w:hAnsi="Book Antiqua"/>
          <w:color w:val="000000"/>
          <w:shd w:val="clear" w:color="auto" w:fill="FFFFFF"/>
        </w:rPr>
        <w:t>un término más expedito para la resolución de reclamaciones cuando estas estén</w:t>
      </w:r>
      <w:r w:rsidR="0029508C">
        <w:rPr>
          <w:rFonts w:ascii="Book Antiqua" w:hAnsi="Book Antiqua"/>
          <w:color w:val="000000"/>
          <w:shd w:val="clear" w:color="auto" w:fill="FFFFFF"/>
        </w:rPr>
        <w:t xml:space="preserve"> relacionadas </w:t>
      </w:r>
      <w:r w:rsidR="0029508C" w:rsidRPr="0029508C">
        <w:rPr>
          <w:rFonts w:ascii="Book Antiqua" w:hAnsi="Book Antiqua"/>
        </w:rPr>
        <w:t>con el diagnóstico, tratamiento o manejo de una condición catastrófica, enfermedad grave o condición que ponga en riesgo la vida</w:t>
      </w:r>
      <w:r w:rsidRPr="00C13055">
        <w:rPr>
          <w:rFonts w:ascii="Book Antiqua" w:hAnsi="Book Antiqua"/>
          <w:color w:val="000000"/>
          <w:shd w:val="clear" w:color="auto" w:fill="FFFFFF"/>
        </w:rPr>
        <w:t>. De esta forma</w:t>
      </w:r>
      <w:r w:rsidR="00EE2CB1">
        <w:rPr>
          <w:rFonts w:ascii="Book Antiqua" w:hAnsi="Book Antiqua"/>
          <w:color w:val="000000"/>
          <w:shd w:val="clear" w:color="auto" w:fill="FFFFFF"/>
        </w:rPr>
        <w:t>,</w:t>
      </w:r>
      <w:r w:rsidRPr="00C13055">
        <w:rPr>
          <w:rFonts w:ascii="Book Antiqua" w:hAnsi="Book Antiqua"/>
          <w:color w:val="000000"/>
          <w:shd w:val="clear" w:color="auto" w:fill="FFFFFF"/>
        </w:rPr>
        <w:t xml:space="preserve"> se promueve una mayor protección a los pacientes que enfrentan situaciones médicas críticas y se garantiza un acceso más rápido a los beneficios de seguros a los cuales tienen derecho.</w:t>
      </w:r>
    </w:p>
    <w:p w14:paraId="2F32376C" w14:textId="77777777" w:rsidR="00C13055" w:rsidRPr="00852226" w:rsidRDefault="00C13055" w:rsidP="001709C3">
      <w:pPr>
        <w:rPr>
          <w:rFonts w:ascii="Book Antiqua" w:hAnsi="Book Antiqua"/>
        </w:rPr>
      </w:pPr>
    </w:p>
    <w:p w14:paraId="7094359F" w14:textId="192D58FB" w:rsidR="00FD358F" w:rsidRPr="00852226" w:rsidRDefault="00FD358F" w:rsidP="00FD06F3">
      <w:pPr>
        <w:jc w:val="both"/>
        <w:rPr>
          <w:rFonts w:ascii="Book Antiqua" w:hAnsi="Book Antiqua"/>
          <w:i/>
        </w:rPr>
      </w:pPr>
      <w:r w:rsidRPr="00852226">
        <w:rPr>
          <w:rFonts w:ascii="Book Antiqua" w:hAnsi="Book Antiqua"/>
          <w:i/>
        </w:rPr>
        <w:t>DECR</w:t>
      </w:r>
      <w:r w:rsidR="00981575" w:rsidRPr="00852226">
        <w:rPr>
          <w:rFonts w:ascii="Book Antiqua" w:hAnsi="Book Antiqua"/>
          <w:i/>
        </w:rPr>
        <w:t>É</w:t>
      </w:r>
      <w:r w:rsidRPr="00852226">
        <w:rPr>
          <w:rFonts w:ascii="Book Antiqua" w:hAnsi="Book Antiqua"/>
          <w:i/>
        </w:rPr>
        <w:t>TASE POR LA ASAMBLEA LEGISLATIVA DE PUERTO RICO:</w:t>
      </w:r>
    </w:p>
    <w:p w14:paraId="71E0A9A3" w14:textId="77777777" w:rsidR="00FD358F" w:rsidRPr="00852226" w:rsidRDefault="00FD358F" w:rsidP="0033680B">
      <w:pPr>
        <w:pStyle w:val="BodyTextIndent"/>
        <w:ind w:left="0" w:firstLine="720"/>
        <w:rPr>
          <w:rFonts w:ascii="Book Antiqua" w:hAnsi="Book Antiqua"/>
        </w:rPr>
      </w:pPr>
    </w:p>
    <w:p w14:paraId="00D9FC18" w14:textId="2D74B8C2" w:rsidR="00F278EB" w:rsidRPr="00852226" w:rsidRDefault="00F278EB" w:rsidP="0033680B">
      <w:pPr>
        <w:pStyle w:val="BodyTextIndent"/>
        <w:ind w:left="0"/>
        <w:rPr>
          <w:rFonts w:ascii="Book Antiqua" w:hAnsi="Book Antiqua"/>
        </w:rPr>
        <w:sectPr w:rsidR="00F278EB" w:rsidRPr="00852226" w:rsidSect="00FD358F">
          <w:headerReference w:type="even" r:id="rId8"/>
          <w:headerReference w:type="default" r:id="rId9"/>
          <w:type w:val="continuous"/>
          <w:pgSz w:w="12240" w:h="15840" w:code="1"/>
          <w:pgMar w:top="1440" w:right="1440" w:bottom="1440" w:left="1440" w:header="720" w:footer="720" w:gutter="0"/>
          <w:cols w:space="720"/>
          <w:titlePg/>
          <w:docGrid w:linePitch="360"/>
        </w:sectPr>
      </w:pPr>
    </w:p>
    <w:p w14:paraId="39210898" w14:textId="39FE8D18" w:rsidR="00C13055" w:rsidRPr="00C13055" w:rsidRDefault="00F2689C" w:rsidP="00C13055">
      <w:pPr>
        <w:pStyle w:val="BodyTextIndent"/>
        <w:spacing w:line="480" w:lineRule="auto"/>
        <w:ind w:left="0" w:firstLine="720"/>
        <w:rPr>
          <w:rFonts w:ascii="Book Antiqua" w:hAnsi="Book Antiqua"/>
        </w:rPr>
      </w:pPr>
      <w:r w:rsidRPr="00852226">
        <w:rPr>
          <w:rFonts w:ascii="Book Antiqua" w:hAnsi="Book Antiqua"/>
        </w:rPr>
        <w:t>Sección 1.-</w:t>
      </w:r>
      <w:r w:rsidR="00C13055" w:rsidRPr="00C13055">
        <w:rPr>
          <w:bCs/>
          <w:sz w:val="36"/>
          <w:szCs w:val="36"/>
        </w:rPr>
        <w:t xml:space="preserve"> </w:t>
      </w:r>
      <w:r w:rsidR="00C13055" w:rsidRPr="00C13055">
        <w:rPr>
          <w:rFonts w:ascii="Book Antiqua" w:hAnsi="Book Antiqua"/>
        </w:rPr>
        <w:t>Se enmienda el Artículo 27.162</w:t>
      </w:r>
      <w:r w:rsidR="00CA53F2">
        <w:rPr>
          <w:rFonts w:ascii="Book Antiqua" w:hAnsi="Book Antiqua"/>
        </w:rPr>
        <w:t xml:space="preserve"> de la Ley Núm. 77 de 19 de junio de 1957, según enmendada</w:t>
      </w:r>
      <w:r w:rsidR="00C13055" w:rsidRPr="00C13055">
        <w:rPr>
          <w:rFonts w:ascii="Book Antiqua" w:hAnsi="Book Antiqua"/>
        </w:rPr>
        <w:t>,</w:t>
      </w:r>
      <w:r w:rsidR="00CA53F2">
        <w:rPr>
          <w:rFonts w:ascii="Book Antiqua" w:hAnsi="Book Antiqua"/>
        </w:rPr>
        <w:t xml:space="preserve"> para que lea</w:t>
      </w:r>
      <w:r w:rsidR="00C13055" w:rsidRPr="00C13055">
        <w:rPr>
          <w:rFonts w:ascii="Book Antiqua" w:hAnsi="Book Antiqua"/>
        </w:rPr>
        <w:t xml:space="preserve"> como sigue:</w:t>
      </w:r>
    </w:p>
    <w:p w14:paraId="435372BB" w14:textId="0C698608" w:rsidR="00C13055" w:rsidRPr="00C13055" w:rsidRDefault="00C04403" w:rsidP="00C13055">
      <w:pPr>
        <w:pStyle w:val="BodyTextIndent"/>
        <w:spacing w:line="480" w:lineRule="auto"/>
        <w:ind w:left="0" w:firstLine="720"/>
        <w:rPr>
          <w:rFonts w:ascii="Book Antiqua" w:hAnsi="Book Antiqua"/>
        </w:rPr>
      </w:pPr>
      <w:r w:rsidRPr="00AF6AF9">
        <w:rPr>
          <w:rFonts w:ascii="Book Antiqua" w:hAnsi="Book Antiqua"/>
          <w:i/>
          <w:iCs/>
        </w:rPr>
        <w:t>“</w:t>
      </w:r>
      <w:r w:rsidR="00C13055" w:rsidRPr="00C13055">
        <w:rPr>
          <w:rFonts w:ascii="Book Antiqua" w:hAnsi="Book Antiqua"/>
        </w:rPr>
        <w:t>Artículo 27.162</w:t>
      </w:r>
      <w:r w:rsidR="00136B17">
        <w:rPr>
          <w:rFonts w:ascii="Book Antiqua" w:hAnsi="Book Antiqua"/>
        </w:rPr>
        <w:t>.</w:t>
      </w:r>
      <w:r w:rsidR="00C13055" w:rsidRPr="00C13055">
        <w:rPr>
          <w:rFonts w:ascii="Book Antiqua" w:hAnsi="Book Antiqua"/>
        </w:rPr>
        <w:t xml:space="preserve"> — Término para la resolución de reclamaciones</w:t>
      </w:r>
    </w:p>
    <w:p w14:paraId="451D7392" w14:textId="04AAD4DA" w:rsidR="001C7B7A" w:rsidRDefault="00975B3C" w:rsidP="00033005">
      <w:pPr>
        <w:pStyle w:val="BodyTextIndent"/>
        <w:spacing w:line="480" w:lineRule="auto"/>
        <w:ind w:left="0" w:firstLine="720"/>
        <w:rPr>
          <w:rFonts w:ascii="Book Antiqua" w:hAnsi="Book Antiqua"/>
        </w:rPr>
      </w:pPr>
      <w:r>
        <w:rPr>
          <w:rFonts w:ascii="Book Antiqua" w:hAnsi="Book Antiqua"/>
        </w:rPr>
        <w:t>(1) …</w:t>
      </w:r>
    </w:p>
    <w:p w14:paraId="7EE9BEA8" w14:textId="4926577B" w:rsidR="00975B3C" w:rsidRDefault="00975B3C" w:rsidP="00033005">
      <w:pPr>
        <w:pStyle w:val="BodyTextIndent"/>
        <w:spacing w:line="480" w:lineRule="auto"/>
        <w:ind w:left="0" w:firstLine="720"/>
        <w:rPr>
          <w:rFonts w:ascii="Book Antiqua" w:hAnsi="Book Antiqua"/>
        </w:rPr>
      </w:pPr>
      <w:r>
        <w:rPr>
          <w:rFonts w:ascii="Book Antiqua" w:hAnsi="Book Antiqua"/>
        </w:rPr>
        <w:t>(2) …</w:t>
      </w:r>
    </w:p>
    <w:p w14:paraId="4E27E249" w14:textId="059E3268" w:rsidR="00975B3C" w:rsidRDefault="00975B3C" w:rsidP="00033005">
      <w:pPr>
        <w:pStyle w:val="BodyTextIndent"/>
        <w:spacing w:line="480" w:lineRule="auto"/>
        <w:ind w:left="0" w:firstLine="720"/>
        <w:rPr>
          <w:rFonts w:ascii="Book Antiqua" w:hAnsi="Book Antiqua"/>
        </w:rPr>
      </w:pPr>
      <w:r>
        <w:rPr>
          <w:rFonts w:ascii="Book Antiqua" w:hAnsi="Book Antiqua"/>
        </w:rPr>
        <w:t>(3) …</w:t>
      </w:r>
    </w:p>
    <w:p w14:paraId="43622ABA" w14:textId="2D81D5B3" w:rsidR="00F875B9" w:rsidRPr="00F875B9" w:rsidRDefault="00C13055" w:rsidP="003A2D33">
      <w:pPr>
        <w:pStyle w:val="BodyTextIndent"/>
        <w:spacing w:line="480" w:lineRule="auto"/>
        <w:rPr>
          <w:rFonts w:ascii="Book Antiqua" w:hAnsi="Book Antiqua"/>
          <w:i/>
          <w:iCs/>
        </w:rPr>
      </w:pPr>
      <w:r>
        <w:rPr>
          <w:rFonts w:ascii="Book Antiqua" w:hAnsi="Book Antiqua" w:cs="Book Antiqua"/>
          <w:i/>
        </w:rPr>
        <w:t xml:space="preserve">(4) No obstante lo dispuesto en el inciso (1) de este Artículo, cuando la reclamación esté relacionada con el diagnóstico, tratamiento o manejo de una condición catastrófica, enfermedad grave o condición que ponga en riesgo la vida del asegurado, el asegurador deberá completar la investigación, ajuste y resolución de la reclamación en el término </w:t>
      </w:r>
      <w:r>
        <w:rPr>
          <w:rFonts w:ascii="Book Antiqua" w:hAnsi="Book Antiqua" w:cs="Book Antiqua"/>
          <w:i/>
        </w:rPr>
        <w:lastRenderedPageBreak/>
        <w:t xml:space="preserve">razonablemente más corto posible, pero en ningún caso mayor de </w:t>
      </w:r>
      <w:r>
        <w:rPr>
          <w:rFonts w:ascii="Book Antiqua" w:hAnsi="Book Antiqua" w:cs="Book Antiqua"/>
          <w:i/>
          <w:strike/>
        </w:rPr>
        <w:t xml:space="preserve">cuarenta y cinco (45) </w:t>
      </w:r>
      <w:r>
        <w:rPr>
          <w:rFonts w:ascii="Book Antiqua" w:hAnsi="Book Antiqua" w:cs="Book Antiqua"/>
          <w:i/>
          <w:u w:val="single"/>
        </w:rPr>
        <w:t xml:space="preserve">sesenta (60) </w:t>
      </w:r>
      <w:r>
        <w:rPr>
          <w:rFonts w:ascii="Book Antiqua" w:hAnsi="Book Antiqua" w:cs="Book Antiqua"/>
          <w:i/>
        </w:rPr>
        <w:t>días contados a partir de la radicación de la reclamación.</w:t>
      </w:r>
    </w:p>
    <w:p w14:paraId="0F5B074A" w14:textId="77777777" w:rsidR="00300563" w:rsidRDefault="003A2D33" w:rsidP="003A2D33">
      <w:pPr>
        <w:spacing w:line="480" w:lineRule="auto"/>
        <w:ind w:firstLine="720"/>
      </w:pPr>
      <w:r>
        <w:rPr>
          <w:rFonts w:ascii="Book Antiqua" w:hAnsi="Book Antiqua" w:cs="Book Antiqua"/>
          <w:i/>
          <w:u w:val="single"/>
        </w:rPr>
        <w:t>Quedan excluidas de este inciso las solicitudes de revisión de utilización, autorización de cubierta o determinación de beneficios de servicios de salud, las cuales se regirán por las disposiciones especiales del Capítulo 24 de la Ley 194-2011, según enmendada, conocida como “Código de Seguros de Salud de Puerto Rico”, incluyendo el procedimiento de revisión acelerada dispuesto en su Artículo 24.100 y, en particular, el Artículo 24.105 adicionado por esta Ley.</w:t>
      </w:r>
    </w:p>
    <w:p w14:paraId="32335B34" w14:textId="77777777" w:rsidR="00300563" w:rsidRDefault="003A2D33" w:rsidP="003A2D33">
      <w:pPr>
        <w:spacing w:line="480" w:lineRule="auto"/>
        <w:ind w:firstLine="720"/>
      </w:pPr>
      <w:r>
        <w:rPr>
          <w:rFonts w:ascii="Book Antiqua" w:hAnsi="Book Antiqua" w:cs="Book Antiqua"/>
          <w:i/>
          <w:u w:val="single"/>
        </w:rPr>
        <w:t>El término dispuesto en este inciso se suspenderá cuando la dilación sea atribuible a: (i) el incumplimiento del reclamante o de un tercero con un requerimiento documental razonable y oportunamente notificado por el asegurador; (ii) demoras de proveedores de servicios de salud en la entrega de expedientes médicos solicitados conforme a la Ley Núm. 194-2000, según enmendada, conocida como “Carta de Derechos y Responsabilidades del Paciente”, o conforme a la Health Insurance Portability and Accountability Act (HIPAA); o (iii) circunstancias de fuerza mayor o caso fortuito. La suspensión cesará al desaparecer la causa que la motivó.</w:t>
      </w:r>
    </w:p>
    <w:p w14:paraId="773EB201" w14:textId="77777777" w:rsidR="00300563" w:rsidRDefault="003A2D33" w:rsidP="003A2D33">
      <w:pPr>
        <w:spacing w:line="480" w:lineRule="auto"/>
        <w:ind w:firstLine="720"/>
      </w:pPr>
      <w:r>
        <w:rPr>
          <w:rFonts w:ascii="Book Antiqua" w:hAnsi="Book Antiqua" w:cs="Book Antiqua"/>
          <w:i/>
          <w:u w:val="single"/>
        </w:rPr>
        <w:t>El Comisionado de Seguros podrá conceder, mediante solicitud fundamentada del asegurador, una extensión razonable del término por justa causa, por una sola vez y por un periodo que no excederá de treinta (30) días adicionales.</w:t>
      </w:r>
    </w:p>
    <w:p w14:paraId="3B3FC195" w14:textId="77777777" w:rsidR="00300563" w:rsidRDefault="003A2D33" w:rsidP="003A2D33">
      <w:pPr>
        <w:spacing w:line="480" w:lineRule="auto"/>
        <w:ind w:firstLine="720"/>
      </w:pPr>
      <w:r>
        <w:rPr>
          <w:rFonts w:ascii="Book Antiqua" w:hAnsi="Book Antiqua" w:cs="Book Antiqua"/>
          <w:i/>
          <w:u w:val="single"/>
        </w:rPr>
        <w:t xml:space="preserve">Para propósitos de este inciso, los términos “condición catastrófica”, “enfermedad grave” y “condición que ponga en riesgo la vida” serán definidos mediante reglamentación adoptada por el Comisionado de Seguros, tomando como referencia los códigos diagnósticos de la International Classification of Diseases, Tenth Revision (ICD-10), u otros estándares clínicos reconocidos. La </w:t>
      </w:r>
      <w:r>
        <w:rPr>
          <w:rFonts w:ascii="Book Antiqua" w:hAnsi="Book Antiqua" w:cs="Book Antiqua"/>
          <w:i/>
          <w:u w:val="single"/>
        </w:rPr>
        <w:lastRenderedPageBreak/>
        <w:t>reglamentación podrá ser actualizada periódicamente para asegurar su consistencia con el desarrollo médico y científico vigente.”</w:t>
      </w:r>
    </w:p>
    <w:p w14:paraId="17F2364A" w14:textId="77777777" w:rsidR="00300563" w:rsidRDefault="003A2D33" w:rsidP="003A2D33">
      <w:pPr>
        <w:spacing w:line="480" w:lineRule="auto"/>
        <w:ind w:firstLine="720"/>
      </w:pPr>
      <w:r>
        <w:rPr>
          <w:rFonts w:ascii="Book Antiqua" w:hAnsi="Book Antiqua" w:cs="Book Antiqua"/>
          <w:i/>
          <w:u w:val="single"/>
        </w:rPr>
        <w:t>Sección 2.- Se añade un nuevo Artículo 24.105 al Capítulo 24 de la Ley 194-2011, según enmendada, conocida como “Código de Seguros de Salud de Puerto Rico”, para que lea como sigue:</w:t>
      </w:r>
    </w:p>
    <w:p w14:paraId="42198176" w14:textId="77777777" w:rsidR="00300563" w:rsidRDefault="003A2D33" w:rsidP="003A2D33">
      <w:pPr>
        <w:spacing w:line="480" w:lineRule="auto"/>
        <w:ind w:firstLine="720"/>
      </w:pPr>
      <w:r>
        <w:rPr>
          <w:rFonts w:ascii="Book Antiqua" w:hAnsi="Book Antiqua" w:cs="Book Antiqua"/>
          <w:i/>
          <w:u w:val="single"/>
        </w:rPr>
        <w:t>“Artículo 24.105.— Revisión acelerada para personas cubiertas o aseguradas diagnosticadas con condiciones catastróficas, enfermedades graves o condiciones que pongan en riesgo la vida.</w:t>
      </w:r>
    </w:p>
    <w:p w14:paraId="678857C4" w14:textId="77777777" w:rsidR="00300563" w:rsidRDefault="003A2D33" w:rsidP="003A2D33">
      <w:pPr>
        <w:spacing w:line="480" w:lineRule="auto"/>
        <w:ind w:firstLine="720"/>
      </w:pPr>
      <w:r>
        <w:rPr>
          <w:rFonts w:ascii="Book Antiqua" w:hAnsi="Book Antiqua" w:cs="Book Antiqua"/>
          <w:i/>
          <w:u w:val="single"/>
        </w:rPr>
        <w:t>(a) Toda solicitud de revisión de utilización o determinación de beneficios que sea presentada por o en nombre de una persona cubierta o asegurada que haya sido diagnosticada con una condición catastrófica, enfermedad grave o condición que ponga en riesgo la vida, se considerará comprendida dentro de la definición de “solicitud de cuidado urgente” establecida en el Artículo 24.030(Q) de este Código, y será atendida por la organización de seguros de salud o asegurador conforme al procedimiento de revisión acelerada dispuesto en el Artículo 24.100 de este Código.</w:t>
      </w:r>
    </w:p>
    <w:p w14:paraId="749BFA7A" w14:textId="77777777" w:rsidR="00300563" w:rsidRDefault="003A2D33" w:rsidP="003A2D33">
      <w:pPr>
        <w:spacing w:line="480" w:lineRule="auto"/>
        <w:ind w:firstLine="720"/>
      </w:pPr>
      <w:r>
        <w:rPr>
          <w:rFonts w:ascii="Book Antiqua" w:hAnsi="Book Antiqua" w:cs="Book Antiqua"/>
          <w:i/>
          <w:u w:val="single"/>
        </w:rPr>
        <w:t>(b) Las disposiciones de este Artículo en ningún caso se interpretarán en menoscabo de los términos más expeditos aplicables a los servicios de emergencia conforme al Artículo 24.110 de este Código, ni de cualquier otro término más beneficioso para la persona cubierta o asegurada dispuesto en este Capítulo, en el Capítulo 22 sobre Procedimientos Internos de Querellas, en el Capítulo 28 sobre Revisión Externa Independiente, o en cualquier otra ley o reglamento aplicable.</w:t>
      </w:r>
    </w:p>
    <w:p w14:paraId="1EE51953" w14:textId="77777777" w:rsidR="00300563" w:rsidRDefault="003A2D33" w:rsidP="003A2D33">
      <w:pPr>
        <w:spacing w:line="480" w:lineRule="auto"/>
        <w:ind w:firstLine="720"/>
      </w:pPr>
      <w:r>
        <w:rPr>
          <w:rFonts w:ascii="Book Antiqua" w:hAnsi="Book Antiqua" w:cs="Book Antiqua"/>
          <w:i/>
          <w:u w:val="single"/>
        </w:rPr>
        <w:lastRenderedPageBreak/>
        <w:t>(c) Para propósitos de este Artículo, los términos “condición catastrófica”, “enfermedad grave” y “condición que ponga en riesgo la vida” se interpretarán de manera consistente con las definiciones adoptadas por el Comisionado de Seguros mediante la reglamentación promulgada conforme al Artículo 24.140 de este Código y a las facultades dispuestas en el Código de Seguros de Puerto Rico, tomando como referencia los códigos diagnósticos de la International Classification of Diseases, Tenth Revision (ICD-10), u otros estándares clínicos reconocidos.”</w:t>
      </w:r>
    </w:p>
    <w:p w14:paraId="56095A7F" w14:textId="77777777" w:rsidR="00300563" w:rsidRDefault="003A2D33" w:rsidP="003A2D33">
      <w:pPr>
        <w:spacing w:line="480" w:lineRule="auto"/>
        <w:ind w:firstLine="720"/>
      </w:pPr>
      <w:r>
        <w:rPr>
          <w:rFonts w:ascii="Book Antiqua" w:hAnsi="Book Antiqua" w:cs="Book Antiqua"/>
          <w:i/>
          <w:u w:val="single"/>
        </w:rPr>
        <w:t>Sección 3.- Reglamentación.</w:t>
      </w:r>
    </w:p>
    <w:p w14:paraId="3FE18FB5" w14:textId="77777777" w:rsidR="00300563" w:rsidRDefault="003A2D33" w:rsidP="003A2D33">
      <w:pPr>
        <w:spacing w:line="480" w:lineRule="auto"/>
        <w:ind w:firstLine="720"/>
      </w:pPr>
      <w:r>
        <w:rPr>
          <w:rFonts w:ascii="Book Antiqua" w:hAnsi="Book Antiqua" w:cs="Book Antiqua"/>
          <w:i/>
          <w:u w:val="single"/>
        </w:rPr>
        <w:t>El Comisionado de Seguros adoptará, dentro del término de ciento ochenta (180) días contados a partir de la fecha de aprobación de esta Ley, la reglamentación necesaria para implantar las definiciones, los procedimientos de suspensión del cómputo y los criterios para la concesión de extensiones por justa causa dispuestos en esta Ley.</w:t>
      </w:r>
    </w:p>
    <w:p w14:paraId="4086E949" w14:textId="194262E6" w:rsidR="00C13055" w:rsidRPr="00C13055" w:rsidRDefault="00C13055" w:rsidP="003A2D33">
      <w:pPr>
        <w:pStyle w:val="BodyTextIndent"/>
        <w:spacing w:line="480" w:lineRule="auto"/>
        <w:ind w:left="0" w:firstLine="720"/>
        <w:rPr>
          <w:rFonts w:ascii="Book Antiqua" w:hAnsi="Book Antiqua"/>
        </w:rPr>
      </w:pPr>
      <w:r>
        <w:rPr>
          <w:rFonts w:ascii="Book Antiqua" w:hAnsi="Book Antiqua" w:cs="Book Antiqua"/>
          <w:strike/>
        </w:rPr>
        <w:t>Artículo 2</w:t>
      </w:r>
      <w:r>
        <w:rPr>
          <w:rFonts w:ascii="Book Antiqua" w:hAnsi="Book Antiqua" w:cs="Book Antiqua"/>
        </w:rPr>
        <w:t xml:space="preserve"> </w:t>
      </w:r>
      <w:r>
        <w:rPr>
          <w:rFonts w:ascii="Book Antiqua" w:hAnsi="Book Antiqua" w:cs="Book Antiqua"/>
          <w:i/>
          <w:u w:val="single"/>
        </w:rPr>
        <w:t>Sección 4</w:t>
      </w:r>
      <w:r>
        <w:rPr>
          <w:rFonts w:ascii="Book Antiqua" w:hAnsi="Book Antiqua" w:cs="Book Antiqua"/>
        </w:rPr>
        <w:t>. —Vigencia.</w:t>
      </w:r>
    </w:p>
    <w:p w14:paraId="12990607" w14:textId="76FAD7DE" w:rsidR="00634D12" w:rsidRPr="0029508C" w:rsidRDefault="00C13055" w:rsidP="003A2D33">
      <w:pPr>
        <w:pStyle w:val="BodyTextIndent"/>
        <w:spacing w:line="480" w:lineRule="auto"/>
        <w:ind w:left="0"/>
        <w:rPr>
          <w:rFonts w:ascii="Book Antiqua" w:hAnsi="Book Antiqua"/>
        </w:rPr>
      </w:pPr>
      <w:r w:rsidRPr="00C13055">
        <w:rPr>
          <w:rFonts w:ascii="Book Antiqua" w:hAnsi="Book Antiqua"/>
        </w:rPr>
        <w:t>Esta Ley comenzará a regir inmediatamente después de su aprobación.</w:t>
      </w:r>
    </w:p>
    <w:sectPr w:rsidR="00634D12" w:rsidRPr="0029508C" w:rsidSect="00FD358F">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2B1A4" w14:textId="77777777" w:rsidR="00E47D1E" w:rsidRDefault="00E47D1E">
      <w:r>
        <w:separator/>
      </w:r>
    </w:p>
  </w:endnote>
  <w:endnote w:type="continuationSeparator" w:id="0">
    <w:p w14:paraId="651824ED" w14:textId="77777777" w:rsidR="00E47D1E" w:rsidRDefault="00E47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310D3" w14:textId="77777777" w:rsidR="00E47D1E" w:rsidRDefault="00E47D1E">
      <w:r>
        <w:separator/>
      </w:r>
    </w:p>
  </w:footnote>
  <w:footnote w:type="continuationSeparator" w:id="0">
    <w:p w14:paraId="21A5C9DC" w14:textId="77777777" w:rsidR="00E47D1E" w:rsidRDefault="00E47D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99206" w14:textId="77777777" w:rsidR="00157DEC" w:rsidRDefault="00157D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13B843" w14:textId="77777777" w:rsidR="00157DEC" w:rsidRDefault="00157D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ED3B6" w14:textId="601E1172" w:rsidR="00157DEC" w:rsidRDefault="00157D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3B69">
      <w:rPr>
        <w:rStyle w:val="PageNumber"/>
        <w:noProof/>
      </w:rPr>
      <w:t>7</w:t>
    </w:r>
    <w:r>
      <w:rPr>
        <w:rStyle w:val="PageNumber"/>
      </w:rPr>
      <w:fldChar w:fldCharType="end"/>
    </w:r>
  </w:p>
  <w:p w14:paraId="35DCD5A5" w14:textId="77777777" w:rsidR="00157DEC" w:rsidRDefault="00157D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1004A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935B4"/>
    <w:multiLevelType w:val="multilevel"/>
    <w:tmpl w:val="6BA405C2"/>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 w15:restartNumberingAfterBreak="0">
    <w:nsid w:val="0A2D0ECF"/>
    <w:multiLevelType w:val="hybridMultilevel"/>
    <w:tmpl w:val="AC884884"/>
    <w:lvl w:ilvl="0" w:tplc="C4A8E31E">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15D1EDF"/>
    <w:multiLevelType w:val="hybridMultilevel"/>
    <w:tmpl w:val="D938F084"/>
    <w:lvl w:ilvl="0" w:tplc="045A6380">
      <w:start w:val="1"/>
      <w:numFmt w:val="lowerLetter"/>
      <w:lvlText w:val="(%1)"/>
      <w:lvlJc w:val="left"/>
      <w:pPr>
        <w:tabs>
          <w:tab w:val="num" w:pos="720"/>
        </w:tabs>
        <w:ind w:left="720" w:hanging="360"/>
      </w:pPr>
      <w:rPr>
        <w:rFonts w:hint="default"/>
      </w:rPr>
    </w:lvl>
    <w:lvl w:ilvl="1" w:tplc="8F60FC52" w:tentative="1">
      <w:start w:val="1"/>
      <w:numFmt w:val="lowerLetter"/>
      <w:lvlText w:val="%2."/>
      <w:lvlJc w:val="left"/>
      <w:pPr>
        <w:tabs>
          <w:tab w:val="num" w:pos="1440"/>
        </w:tabs>
        <w:ind w:left="1440" w:hanging="360"/>
      </w:pPr>
    </w:lvl>
    <w:lvl w:ilvl="2" w:tplc="88E43182" w:tentative="1">
      <w:start w:val="1"/>
      <w:numFmt w:val="lowerRoman"/>
      <w:lvlText w:val="%3."/>
      <w:lvlJc w:val="right"/>
      <w:pPr>
        <w:tabs>
          <w:tab w:val="num" w:pos="2160"/>
        </w:tabs>
        <w:ind w:left="2160" w:hanging="180"/>
      </w:pPr>
    </w:lvl>
    <w:lvl w:ilvl="3" w:tplc="BE6CB7DE" w:tentative="1">
      <w:start w:val="1"/>
      <w:numFmt w:val="decimal"/>
      <w:lvlText w:val="%4."/>
      <w:lvlJc w:val="left"/>
      <w:pPr>
        <w:tabs>
          <w:tab w:val="num" w:pos="2880"/>
        </w:tabs>
        <w:ind w:left="2880" w:hanging="360"/>
      </w:pPr>
    </w:lvl>
    <w:lvl w:ilvl="4" w:tplc="65086770" w:tentative="1">
      <w:start w:val="1"/>
      <w:numFmt w:val="lowerLetter"/>
      <w:lvlText w:val="%5."/>
      <w:lvlJc w:val="left"/>
      <w:pPr>
        <w:tabs>
          <w:tab w:val="num" w:pos="3600"/>
        </w:tabs>
        <w:ind w:left="3600" w:hanging="360"/>
      </w:pPr>
    </w:lvl>
    <w:lvl w:ilvl="5" w:tplc="C3705C8A" w:tentative="1">
      <w:start w:val="1"/>
      <w:numFmt w:val="lowerRoman"/>
      <w:lvlText w:val="%6."/>
      <w:lvlJc w:val="right"/>
      <w:pPr>
        <w:tabs>
          <w:tab w:val="num" w:pos="4320"/>
        </w:tabs>
        <w:ind w:left="4320" w:hanging="180"/>
      </w:pPr>
    </w:lvl>
    <w:lvl w:ilvl="6" w:tplc="96107F8A" w:tentative="1">
      <w:start w:val="1"/>
      <w:numFmt w:val="decimal"/>
      <w:lvlText w:val="%7."/>
      <w:lvlJc w:val="left"/>
      <w:pPr>
        <w:tabs>
          <w:tab w:val="num" w:pos="5040"/>
        </w:tabs>
        <w:ind w:left="5040" w:hanging="360"/>
      </w:pPr>
    </w:lvl>
    <w:lvl w:ilvl="7" w:tplc="678E1E50" w:tentative="1">
      <w:start w:val="1"/>
      <w:numFmt w:val="lowerLetter"/>
      <w:lvlText w:val="%8."/>
      <w:lvlJc w:val="left"/>
      <w:pPr>
        <w:tabs>
          <w:tab w:val="num" w:pos="5760"/>
        </w:tabs>
        <w:ind w:left="5760" w:hanging="360"/>
      </w:pPr>
    </w:lvl>
    <w:lvl w:ilvl="8" w:tplc="2B362456" w:tentative="1">
      <w:start w:val="1"/>
      <w:numFmt w:val="lowerRoman"/>
      <w:lvlText w:val="%9."/>
      <w:lvlJc w:val="right"/>
      <w:pPr>
        <w:tabs>
          <w:tab w:val="num" w:pos="6480"/>
        </w:tabs>
        <w:ind w:left="6480" w:hanging="180"/>
      </w:pPr>
    </w:lvl>
  </w:abstractNum>
  <w:abstractNum w:abstractNumId="4" w15:restartNumberingAfterBreak="0">
    <w:nsid w:val="2B3E1394"/>
    <w:multiLevelType w:val="hybridMultilevel"/>
    <w:tmpl w:val="AEC683A4"/>
    <w:lvl w:ilvl="0" w:tplc="A1C21EAA">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47AE27F4"/>
    <w:multiLevelType w:val="hybridMultilevel"/>
    <w:tmpl w:val="266ED79A"/>
    <w:lvl w:ilvl="0" w:tplc="B4AA7726">
      <w:start w:val="1"/>
      <w:numFmt w:val="lowerLetter"/>
      <w:lvlText w:val="%1)"/>
      <w:lvlJc w:val="left"/>
      <w:pPr>
        <w:ind w:left="1080" w:hanging="360"/>
      </w:pPr>
      <w:rPr>
        <w:rFonts w:hint="default"/>
        <w:cap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48570055"/>
    <w:multiLevelType w:val="hybridMultilevel"/>
    <w:tmpl w:val="7F705462"/>
    <w:lvl w:ilvl="0" w:tplc="9C38BEBA">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50383DB3"/>
    <w:multiLevelType w:val="hybridMultilevel"/>
    <w:tmpl w:val="C254A7C2"/>
    <w:lvl w:ilvl="0" w:tplc="2988AD32">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0F73809"/>
    <w:multiLevelType w:val="hybridMultilevel"/>
    <w:tmpl w:val="6BA405C2"/>
    <w:lvl w:ilvl="0" w:tplc="0E6246E4">
      <w:start w:val="1"/>
      <w:numFmt w:val="lowerLetter"/>
      <w:lvlText w:val="(%1)"/>
      <w:lvlJc w:val="left"/>
      <w:pPr>
        <w:tabs>
          <w:tab w:val="num" w:pos="1080"/>
        </w:tabs>
        <w:ind w:left="1080" w:hanging="360"/>
      </w:pPr>
      <w:rPr>
        <w:rFonts w:hint="default"/>
      </w:rPr>
    </w:lvl>
    <w:lvl w:ilvl="1" w:tplc="06D2F946">
      <w:start w:val="1"/>
      <w:numFmt w:val="lowerLetter"/>
      <w:lvlText w:val="%2."/>
      <w:lvlJc w:val="left"/>
      <w:pPr>
        <w:tabs>
          <w:tab w:val="num" w:pos="1800"/>
        </w:tabs>
        <w:ind w:left="1800" w:hanging="360"/>
      </w:pPr>
    </w:lvl>
    <w:lvl w:ilvl="2" w:tplc="B3F6782E">
      <w:start w:val="1"/>
      <w:numFmt w:val="lowerRoman"/>
      <w:lvlText w:val="%3."/>
      <w:lvlJc w:val="right"/>
      <w:pPr>
        <w:tabs>
          <w:tab w:val="num" w:pos="2520"/>
        </w:tabs>
        <w:ind w:left="2520" w:hanging="180"/>
      </w:pPr>
    </w:lvl>
    <w:lvl w:ilvl="3" w:tplc="02B2E9A0" w:tentative="1">
      <w:start w:val="1"/>
      <w:numFmt w:val="decimal"/>
      <w:lvlText w:val="%4."/>
      <w:lvlJc w:val="left"/>
      <w:pPr>
        <w:tabs>
          <w:tab w:val="num" w:pos="3240"/>
        </w:tabs>
        <w:ind w:left="3240" w:hanging="360"/>
      </w:pPr>
    </w:lvl>
    <w:lvl w:ilvl="4" w:tplc="582858CA" w:tentative="1">
      <w:start w:val="1"/>
      <w:numFmt w:val="lowerLetter"/>
      <w:lvlText w:val="%5."/>
      <w:lvlJc w:val="left"/>
      <w:pPr>
        <w:tabs>
          <w:tab w:val="num" w:pos="3960"/>
        </w:tabs>
        <w:ind w:left="3960" w:hanging="360"/>
      </w:pPr>
    </w:lvl>
    <w:lvl w:ilvl="5" w:tplc="A04ABBF2" w:tentative="1">
      <w:start w:val="1"/>
      <w:numFmt w:val="lowerRoman"/>
      <w:lvlText w:val="%6."/>
      <w:lvlJc w:val="right"/>
      <w:pPr>
        <w:tabs>
          <w:tab w:val="num" w:pos="4680"/>
        </w:tabs>
        <w:ind w:left="4680" w:hanging="180"/>
      </w:pPr>
    </w:lvl>
    <w:lvl w:ilvl="6" w:tplc="E5EE9188" w:tentative="1">
      <w:start w:val="1"/>
      <w:numFmt w:val="decimal"/>
      <w:lvlText w:val="%7."/>
      <w:lvlJc w:val="left"/>
      <w:pPr>
        <w:tabs>
          <w:tab w:val="num" w:pos="5400"/>
        </w:tabs>
        <w:ind w:left="5400" w:hanging="360"/>
      </w:pPr>
    </w:lvl>
    <w:lvl w:ilvl="7" w:tplc="8B142550" w:tentative="1">
      <w:start w:val="1"/>
      <w:numFmt w:val="lowerLetter"/>
      <w:lvlText w:val="%8."/>
      <w:lvlJc w:val="left"/>
      <w:pPr>
        <w:tabs>
          <w:tab w:val="num" w:pos="6120"/>
        </w:tabs>
        <w:ind w:left="6120" w:hanging="360"/>
      </w:pPr>
    </w:lvl>
    <w:lvl w:ilvl="8" w:tplc="E9B0BE2E" w:tentative="1">
      <w:start w:val="1"/>
      <w:numFmt w:val="lowerRoman"/>
      <w:lvlText w:val="%9."/>
      <w:lvlJc w:val="right"/>
      <w:pPr>
        <w:tabs>
          <w:tab w:val="num" w:pos="6840"/>
        </w:tabs>
        <w:ind w:left="6840" w:hanging="180"/>
      </w:pPr>
    </w:lvl>
  </w:abstractNum>
  <w:abstractNum w:abstractNumId="9"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6C9449F"/>
    <w:multiLevelType w:val="hybridMultilevel"/>
    <w:tmpl w:val="C6403186"/>
    <w:lvl w:ilvl="0" w:tplc="DD8250E4">
      <w:start w:val="1"/>
      <w:numFmt w:val="decimal"/>
      <w:lvlText w:val="%1."/>
      <w:lvlJc w:val="left"/>
      <w:pPr>
        <w:ind w:left="1800" w:hanging="360"/>
      </w:pPr>
      <w:rPr>
        <w:rFonts w:hint="default"/>
        <w:i/>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1" w15:restartNumberingAfterBreak="0">
    <w:nsid w:val="78F77D74"/>
    <w:multiLevelType w:val="hybridMultilevel"/>
    <w:tmpl w:val="2CC285C8"/>
    <w:lvl w:ilvl="0" w:tplc="383CA15E">
      <w:start w:val="1"/>
      <w:numFmt w:val="decimal"/>
      <w:lvlText w:val="(%1)"/>
      <w:lvlJc w:val="left"/>
      <w:pPr>
        <w:tabs>
          <w:tab w:val="num" w:pos="1080"/>
        </w:tabs>
        <w:ind w:left="1080" w:hanging="360"/>
      </w:pPr>
      <w:rPr>
        <w:rFonts w:hint="default"/>
      </w:rPr>
    </w:lvl>
    <w:lvl w:ilvl="1" w:tplc="24A4227A" w:tentative="1">
      <w:start w:val="1"/>
      <w:numFmt w:val="lowerLetter"/>
      <w:lvlText w:val="%2."/>
      <w:lvlJc w:val="left"/>
      <w:pPr>
        <w:tabs>
          <w:tab w:val="num" w:pos="1800"/>
        </w:tabs>
        <w:ind w:left="1800" w:hanging="360"/>
      </w:pPr>
    </w:lvl>
    <w:lvl w:ilvl="2" w:tplc="1B5257F4" w:tentative="1">
      <w:start w:val="1"/>
      <w:numFmt w:val="lowerRoman"/>
      <w:lvlText w:val="%3."/>
      <w:lvlJc w:val="right"/>
      <w:pPr>
        <w:tabs>
          <w:tab w:val="num" w:pos="2520"/>
        </w:tabs>
        <w:ind w:left="2520" w:hanging="180"/>
      </w:pPr>
    </w:lvl>
    <w:lvl w:ilvl="3" w:tplc="AB788474" w:tentative="1">
      <w:start w:val="1"/>
      <w:numFmt w:val="decimal"/>
      <w:lvlText w:val="%4."/>
      <w:lvlJc w:val="left"/>
      <w:pPr>
        <w:tabs>
          <w:tab w:val="num" w:pos="3240"/>
        </w:tabs>
        <w:ind w:left="3240" w:hanging="360"/>
      </w:pPr>
    </w:lvl>
    <w:lvl w:ilvl="4" w:tplc="EAA6836E" w:tentative="1">
      <w:start w:val="1"/>
      <w:numFmt w:val="lowerLetter"/>
      <w:lvlText w:val="%5."/>
      <w:lvlJc w:val="left"/>
      <w:pPr>
        <w:tabs>
          <w:tab w:val="num" w:pos="3960"/>
        </w:tabs>
        <w:ind w:left="3960" w:hanging="360"/>
      </w:pPr>
    </w:lvl>
    <w:lvl w:ilvl="5" w:tplc="97EA5FCC" w:tentative="1">
      <w:start w:val="1"/>
      <w:numFmt w:val="lowerRoman"/>
      <w:lvlText w:val="%6."/>
      <w:lvlJc w:val="right"/>
      <w:pPr>
        <w:tabs>
          <w:tab w:val="num" w:pos="4680"/>
        </w:tabs>
        <w:ind w:left="4680" w:hanging="180"/>
      </w:pPr>
    </w:lvl>
    <w:lvl w:ilvl="6" w:tplc="AB707342" w:tentative="1">
      <w:start w:val="1"/>
      <w:numFmt w:val="decimal"/>
      <w:lvlText w:val="%7."/>
      <w:lvlJc w:val="left"/>
      <w:pPr>
        <w:tabs>
          <w:tab w:val="num" w:pos="5400"/>
        </w:tabs>
        <w:ind w:left="5400" w:hanging="360"/>
      </w:pPr>
    </w:lvl>
    <w:lvl w:ilvl="7" w:tplc="22BCEC1E" w:tentative="1">
      <w:start w:val="1"/>
      <w:numFmt w:val="lowerLetter"/>
      <w:lvlText w:val="%8."/>
      <w:lvlJc w:val="left"/>
      <w:pPr>
        <w:tabs>
          <w:tab w:val="num" w:pos="6120"/>
        </w:tabs>
        <w:ind w:left="6120" w:hanging="360"/>
      </w:pPr>
    </w:lvl>
    <w:lvl w:ilvl="8" w:tplc="D2C8F800" w:tentative="1">
      <w:start w:val="1"/>
      <w:numFmt w:val="lowerRoman"/>
      <w:lvlText w:val="%9."/>
      <w:lvlJc w:val="right"/>
      <w:pPr>
        <w:tabs>
          <w:tab w:val="num" w:pos="6840"/>
        </w:tabs>
        <w:ind w:left="6840" w:hanging="180"/>
      </w:pPr>
    </w:lvl>
  </w:abstractNum>
  <w:num w:numId="1" w16cid:durableId="935792605">
    <w:abstractNumId w:val="11"/>
  </w:num>
  <w:num w:numId="2" w16cid:durableId="1835877556">
    <w:abstractNumId w:val="3"/>
  </w:num>
  <w:num w:numId="3" w16cid:durableId="1345857465">
    <w:abstractNumId w:val="8"/>
  </w:num>
  <w:num w:numId="4" w16cid:durableId="1821731611">
    <w:abstractNumId w:val="1"/>
  </w:num>
  <w:num w:numId="5" w16cid:durableId="1233999773">
    <w:abstractNumId w:val="0"/>
  </w:num>
  <w:num w:numId="6" w16cid:durableId="77987866">
    <w:abstractNumId w:val="9"/>
  </w:num>
  <w:num w:numId="7" w16cid:durableId="2032611750">
    <w:abstractNumId w:val="2"/>
  </w:num>
  <w:num w:numId="8" w16cid:durableId="799151325">
    <w:abstractNumId w:val="4"/>
  </w:num>
  <w:num w:numId="9" w16cid:durableId="126164546">
    <w:abstractNumId w:val="7"/>
  </w:num>
  <w:num w:numId="10" w16cid:durableId="917445451">
    <w:abstractNumId w:val="6"/>
  </w:num>
  <w:num w:numId="11" w16cid:durableId="503712915">
    <w:abstractNumId w:val="5"/>
  </w:num>
  <w:num w:numId="12" w16cid:durableId="4415335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61B"/>
    <w:rsid w:val="00000EF9"/>
    <w:rsid w:val="00000F34"/>
    <w:rsid w:val="0000380D"/>
    <w:rsid w:val="00003866"/>
    <w:rsid w:val="00006969"/>
    <w:rsid w:val="00011613"/>
    <w:rsid w:val="00015CC4"/>
    <w:rsid w:val="00025E98"/>
    <w:rsid w:val="00026BD2"/>
    <w:rsid w:val="000273AF"/>
    <w:rsid w:val="00033005"/>
    <w:rsid w:val="0003768E"/>
    <w:rsid w:val="000419A1"/>
    <w:rsid w:val="000440AD"/>
    <w:rsid w:val="0004738F"/>
    <w:rsid w:val="00053E8B"/>
    <w:rsid w:val="00055150"/>
    <w:rsid w:val="00064431"/>
    <w:rsid w:val="00064933"/>
    <w:rsid w:val="0006494F"/>
    <w:rsid w:val="00064C69"/>
    <w:rsid w:val="00065CFB"/>
    <w:rsid w:val="00066359"/>
    <w:rsid w:val="00072871"/>
    <w:rsid w:val="00072918"/>
    <w:rsid w:val="00075D7F"/>
    <w:rsid w:val="00083A2C"/>
    <w:rsid w:val="0008566C"/>
    <w:rsid w:val="00086883"/>
    <w:rsid w:val="00087E91"/>
    <w:rsid w:val="00090BD4"/>
    <w:rsid w:val="00093440"/>
    <w:rsid w:val="00094B76"/>
    <w:rsid w:val="00096479"/>
    <w:rsid w:val="000A179F"/>
    <w:rsid w:val="000A4390"/>
    <w:rsid w:val="000A4C93"/>
    <w:rsid w:val="000A5530"/>
    <w:rsid w:val="000A586A"/>
    <w:rsid w:val="000A5E18"/>
    <w:rsid w:val="000A7593"/>
    <w:rsid w:val="000A79D8"/>
    <w:rsid w:val="000B1626"/>
    <w:rsid w:val="000B23A3"/>
    <w:rsid w:val="000B56AE"/>
    <w:rsid w:val="000B5F96"/>
    <w:rsid w:val="000B679B"/>
    <w:rsid w:val="000B7921"/>
    <w:rsid w:val="000C41D7"/>
    <w:rsid w:val="000C72DA"/>
    <w:rsid w:val="000C72DF"/>
    <w:rsid w:val="000C76DF"/>
    <w:rsid w:val="000D0667"/>
    <w:rsid w:val="000D2711"/>
    <w:rsid w:val="000D30AC"/>
    <w:rsid w:val="000D3C71"/>
    <w:rsid w:val="000D3DC0"/>
    <w:rsid w:val="000D600F"/>
    <w:rsid w:val="000E18FB"/>
    <w:rsid w:val="000E1998"/>
    <w:rsid w:val="000E38E0"/>
    <w:rsid w:val="000E4482"/>
    <w:rsid w:val="000E600A"/>
    <w:rsid w:val="000E6444"/>
    <w:rsid w:val="000E7E9E"/>
    <w:rsid w:val="000F0712"/>
    <w:rsid w:val="000F294D"/>
    <w:rsid w:val="000F4832"/>
    <w:rsid w:val="000F74D2"/>
    <w:rsid w:val="00100D57"/>
    <w:rsid w:val="0010350C"/>
    <w:rsid w:val="0010379A"/>
    <w:rsid w:val="00105996"/>
    <w:rsid w:val="00105C29"/>
    <w:rsid w:val="00105E88"/>
    <w:rsid w:val="001109D7"/>
    <w:rsid w:val="00110B10"/>
    <w:rsid w:val="00111732"/>
    <w:rsid w:val="00112E6A"/>
    <w:rsid w:val="00114137"/>
    <w:rsid w:val="001179BE"/>
    <w:rsid w:val="00117E3A"/>
    <w:rsid w:val="00120091"/>
    <w:rsid w:val="001219F2"/>
    <w:rsid w:val="001237D3"/>
    <w:rsid w:val="001239E1"/>
    <w:rsid w:val="00125AF1"/>
    <w:rsid w:val="0012625F"/>
    <w:rsid w:val="00131C3B"/>
    <w:rsid w:val="00134278"/>
    <w:rsid w:val="00136B17"/>
    <w:rsid w:val="001370DF"/>
    <w:rsid w:val="00143B39"/>
    <w:rsid w:val="00152A70"/>
    <w:rsid w:val="00156080"/>
    <w:rsid w:val="0015729E"/>
    <w:rsid w:val="00157DEC"/>
    <w:rsid w:val="001627D3"/>
    <w:rsid w:val="00163991"/>
    <w:rsid w:val="00163BC2"/>
    <w:rsid w:val="00163FE4"/>
    <w:rsid w:val="00165206"/>
    <w:rsid w:val="0016593A"/>
    <w:rsid w:val="00166FE5"/>
    <w:rsid w:val="001709C3"/>
    <w:rsid w:val="00170CDF"/>
    <w:rsid w:val="0017269A"/>
    <w:rsid w:val="00173109"/>
    <w:rsid w:val="001731F2"/>
    <w:rsid w:val="00180893"/>
    <w:rsid w:val="001837B5"/>
    <w:rsid w:val="00184B9F"/>
    <w:rsid w:val="00184CA4"/>
    <w:rsid w:val="0018538F"/>
    <w:rsid w:val="00185988"/>
    <w:rsid w:val="00185E13"/>
    <w:rsid w:val="00185EB7"/>
    <w:rsid w:val="00187D74"/>
    <w:rsid w:val="00192816"/>
    <w:rsid w:val="001934ED"/>
    <w:rsid w:val="001947BA"/>
    <w:rsid w:val="00194C3D"/>
    <w:rsid w:val="00195186"/>
    <w:rsid w:val="00196666"/>
    <w:rsid w:val="001A2E68"/>
    <w:rsid w:val="001A3522"/>
    <w:rsid w:val="001A5DF1"/>
    <w:rsid w:val="001B0904"/>
    <w:rsid w:val="001B25B1"/>
    <w:rsid w:val="001B2A56"/>
    <w:rsid w:val="001B59A7"/>
    <w:rsid w:val="001B777C"/>
    <w:rsid w:val="001C1287"/>
    <w:rsid w:val="001C1F4F"/>
    <w:rsid w:val="001C3FCD"/>
    <w:rsid w:val="001C5C99"/>
    <w:rsid w:val="001C7B7A"/>
    <w:rsid w:val="001C7E25"/>
    <w:rsid w:val="001D083D"/>
    <w:rsid w:val="001D0FBE"/>
    <w:rsid w:val="001D2F22"/>
    <w:rsid w:val="001D41E4"/>
    <w:rsid w:val="001E1E66"/>
    <w:rsid w:val="001E3297"/>
    <w:rsid w:val="001E3A6F"/>
    <w:rsid w:val="001F148B"/>
    <w:rsid w:val="001F18A1"/>
    <w:rsid w:val="001F27C2"/>
    <w:rsid w:val="001F3D8D"/>
    <w:rsid w:val="001F472B"/>
    <w:rsid w:val="001F4E16"/>
    <w:rsid w:val="001F6158"/>
    <w:rsid w:val="001F6E5A"/>
    <w:rsid w:val="001F76E5"/>
    <w:rsid w:val="002018CE"/>
    <w:rsid w:val="00203083"/>
    <w:rsid w:val="00204B50"/>
    <w:rsid w:val="0020661F"/>
    <w:rsid w:val="00207284"/>
    <w:rsid w:val="002116FA"/>
    <w:rsid w:val="00214615"/>
    <w:rsid w:val="0021492C"/>
    <w:rsid w:val="00216718"/>
    <w:rsid w:val="002167B6"/>
    <w:rsid w:val="0021684F"/>
    <w:rsid w:val="002175FD"/>
    <w:rsid w:val="00220D69"/>
    <w:rsid w:val="0022295E"/>
    <w:rsid w:val="002229CE"/>
    <w:rsid w:val="00222D59"/>
    <w:rsid w:val="00223020"/>
    <w:rsid w:val="002230DE"/>
    <w:rsid w:val="00224569"/>
    <w:rsid w:val="0023183B"/>
    <w:rsid w:val="0023240F"/>
    <w:rsid w:val="00232D3F"/>
    <w:rsid w:val="00232DB8"/>
    <w:rsid w:val="00232EF8"/>
    <w:rsid w:val="0023333C"/>
    <w:rsid w:val="0023694B"/>
    <w:rsid w:val="00236D78"/>
    <w:rsid w:val="00237A83"/>
    <w:rsid w:val="0024302B"/>
    <w:rsid w:val="002431C4"/>
    <w:rsid w:val="0024616A"/>
    <w:rsid w:val="00246FF2"/>
    <w:rsid w:val="00250155"/>
    <w:rsid w:val="00253B30"/>
    <w:rsid w:val="00256313"/>
    <w:rsid w:val="00257274"/>
    <w:rsid w:val="00257DA8"/>
    <w:rsid w:val="00260C8F"/>
    <w:rsid w:val="00262FE0"/>
    <w:rsid w:val="00263C2E"/>
    <w:rsid w:val="0026654F"/>
    <w:rsid w:val="00270C9F"/>
    <w:rsid w:val="0027306D"/>
    <w:rsid w:val="00274301"/>
    <w:rsid w:val="00276EFC"/>
    <w:rsid w:val="00280C9D"/>
    <w:rsid w:val="002818F9"/>
    <w:rsid w:val="002857CD"/>
    <w:rsid w:val="002858A6"/>
    <w:rsid w:val="002871ED"/>
    <w:rsid w:val="00290AA1"/>
    <w:rsid w:val="0029508C"/>
    <w:rsid w:val="0029692F"/>
    <w:rsid w:val="002A0E75"/>
    <w:rsid w:val="002A159D"/>
    <w:rsid w:val="002A1608"/>
    <w:rsid w:val="002A3050"/>
    <w:rsid w:val="002A32C1"/>
    <w:rsid w:val="002A3EBB"/>
    <w:rsid w:val="002A5BF3"/>
    <w:rsid w:val="002A5CCD"/>
    <w:rsid w:val="002B52ED"/>
    <w:rsid w:val="002B701C"/>
    <w:rsid w:val="002B7B7C"/>
    <w:rsid w:val="002B7E2A"/>
    <w:rsid w:val="002C16F4"/>
    <w:rsid w:val="002C3AAC"/>
    <w:rsid w:val="002C4398"/>
    <w:rsid w:val="002C5DF6"/>
    <w:rsid w:val="002C6B85"/>
    <w:rsid w:val="002C6D0A"/>
    <w:rsid w:val="002C6DDD"/>
    <w:rsid w:val="002C7DBC"/>
    <w:rsid w:val="002D0E0E"/>
    <w:rsid w:val="002D2181"/>
    <w:rsid w:val="002D3C69"/>
    <w:rsid w:val="002D587E"/>
    <w:rsid w:val="002D5B75"/>
    <w:rsid w:val="002E2216"/>
    <w:rsid w:val="002E3336"/>
    <w:rsid w:val="002E5AF3"/>
    <w:rsid w:val="002E643F"/>
    <w:rsid w:val="002F3320"/>
    <w:rsid w:val="002F3B1B"/>
    <w:rsid w:val="002F4C97"/>
    <w:rsid w:val="00300563"/>
    <w:rsid w:val="00302261"/>
    <w:rsid w:val="00302E55"/>
    <w:rsid w:val="003041F6"/>
    <w:rsid w:val="0030467D"/>
    <w:rsid w:val="003119FB"/>
    <w:rsid w:val="00314043"/>
    <w:rsid w:val="00314634"/>
    <w:rsid w:val="003150B0"/>
    <w:rsid w:val="00317600"/>
    <w:rsid w:val="00321751"/>
    <w:rsid w:val="0032242B"/>
    <w:rsid w:val="0032275F"/>
    <w:rsid w:val="00322995"/>
    <w:rsid w:val="00322AF0"/>
    <w:rsid w:val="0032586A"/>
    <w:rsid w:val="003261D6"/>
    <w:rsid w:val="00327B78"/>
    <w:rsid w:val="003303C8"/>
    <w:rsid w:val="00332DCA"/>
    <w:rsid w:val="00335BFC"/>
    <w:rsid w:val="0033680B"/>
    <w:rsid w:val="00337345"/>
    <w:rsid w:val="00340709"/>
    <w:rsid w:val="003416E0"/>
    <w:rsid w:val="0034281B"/>
    <w:rsid w:val="0034476D"/>
    <w:rsid w:val="00345023"/>
    <w:rsid w:val="00345B99"/>
    <w:rsid w:val="00355CE5"/>
    <w:rsid w:val="003567F8"/>
    <w:rsid w:val="00360175"/>
    <w:rsid w:val="00360A40"/>
    <w:rsid w:val="0036113B"/>
    <w:rsid w:val="00361AAB"/>
    <w:rsid w:val="00362335"/>
    <w:rsid w:val="003632D7"/>
    <w:rsid w:val="00365CB3"/>
    <w:rsid w:val="00366E6C"/>
    <w:rsid w:val="0037090E"/>
    <w:rsid w:val="00372497"/>
    <w:rsid w:val="00372E79"/>
    <w:rsid w:val="00374003"/>
    <w:rsid w:val="0037572D"/>
    <w:rsid w:val="00376F88"/>
    <w:rsid w:val="003779D3"/>
    <w:rsid w:val="00380715"/>
    <w:rsid w:val="00380951"/>
    <w:rsid w:val="003845CA"/>
    <w:rsid w:val="003859A9"/>
    <w:rsid w:val="003860B9"/>
    <w:rsid w:val="0038698A"/>
    <w:rsid w:val="00386C63"/>
    <w:rsid w:val="00386F4D"/>
    <w:rsid w:val="003909E6"/>
    <w:rsid w:val="00392CB5"/>
    <w:rsid w:val="003932DF"/>
    <w:rsid w:val="003A1663"/>
    <w:rsid w:val="003A21F6"/>
    <w:rsid w:val="003A2D33"/>
    <w:rsid w:val="003A4030"/>
    <w:rsid w:val="003A6BC4"/>
    <w:rsid w:val="003B0A77"/>
    <w:rsid w:val="003B1A70"/>
    <w:rsid w:val="003B207C"/>
    <w:rsid w:val="003B2F34"/>
    <w:rsid w:val="003B356B"/>
    <w:rsid w:val="003B71C5"/>
    <w:rsid w:val="003C05F6"/>
    <w:rsid w:val="003C177C"/>
    <w:rsid w:val="003C1B55"/>
    <w:rsid w:val="003C2603"/>
    <w:rsid w:val="003C3878"/>
    <w:rsid w:val="003C5EDC"/>
    <w:rsid w:val="003C7316"/>
    <w:rsid w:val="003D0B07"/>
    <w:rsid w:val="003D183D"/>
    <w:rsid w:val="003D1D06"/>
    <w:rsid w:val="003D2941"/>
    <w:rsid w:val="003D2DC6"/>
    <w:rsid w:val="003D333B"/>
    <w:rsid w:val="003D59EF"/>
    <w:rsid w:val="003E02ED"/>
    <w:rsid w:val="003E2DF8"/>
    <w:rsid w:val="003E501B"/>
    <w:rsid w:val="003E7D8B"/>
    <w:rsid w:val="003F34F5"/>
    <w:rsid w:val="003F3F50"/>
    <w:rsid w:val="003F44AF"/>
    <w:rsid w:val="003F48D4"/>
    <w:rsid w:val="003F604A"/>
    <w:rsid w:val="00401C96"/>
    <w:rsid w:val="00405202"/>
    <w:rsid w:val="00406AA9"/>
    <w:rsid w:val="00410C8A"/>
    <w:rsid w:val="00411147"/>
    <w:rsid w:val="00411D89"/>
    <w:rsid w:val="00412899"/>
    <w:rsid w:val="00412947"/>
    <w:rsid w:val="00412CB1"/>
    <w:rsid w:val="00412D7C"/>
    <w:rsid w:val="00414B9F"/>
    <w:rsid w:val="00421B7C"/>
    <w:rsid w:val="0042463D"/>
    <w:rsid w:val="00424810"/>
    <w:rsid w:val="00425CDE"/>
    <w:rsid w:val="00425E79"/>
    <w:rsid w:val="0042690F"/>
    <w:rsid w:val="00426A75"/>
    <w:rsid w:val="004305D9"/>
    <w:rsid w:val="004316F4"/>
    <w:rsid w:val="0043256C"/>
    <w:rsid w:val="00432D13"/>
    <w:rsid w:val="00433BF5"/>
    <w:rsid w:val="00436DEB"/>
    <w:rsid w:val="00440869"/>
    <w:rsid w:val="0044169D"/>
    <w:rsid w:val="0044194D"/>
    <w:rsid w:val="00441AB6"/>
    <w:rsid w:val="00441E3E"/>
    <w:rsid w:val="004441D3"/>
    <w:rsid w:val="0044427B"/>
    <w:rsid w:val="00445E0E"/>
    <w:rsid w:val="00446994"/>
    <w:rsid w:val="00450FA3"/>
    <w:rsid w:val="004539FB"/>
    <w:rsid w:val="004551E4"/>
    <w:rsid w:val="00457185"/>
    <w:rsid w:val="004612CE"/>
    <w:rsid w:val="0046246F"/>
    <w:rsid w:val="004624CB"/>
    <w:rsid w:val="00463092"/>
    <w:rsid w:val="00464C4B"/>
    <w:rsid w:val="00465252"/>
    <w:rsid w:val="0047095B"/>
    <w:rsid w:val="0047254A"/>
    <w:rsid w:val="0047260E"/>
    <w:rsid w:val="00474BA7"/>
    <w:rsid w:val="00475B22"/>
    <w:rsid w:val="00476098"/>
    <w:rsid w:val="004767AD"/>
    <w:rsid w:val="00476FD3"/>
    <w:rsid w:val="004775FD"/>
    <w:rsid w:val="00477648"/>
    <w:rsid w:val="00477EFF"/>
    <w:rsid w:val="004823D0"/>
    <w:rsid w:val="00482E94"/>
    <w:rsid w:val="00483026"/>
    <w:rsid w:val="00484230"/>
    <w:rsid w:val="004877B2"/>
    <w:rsid w:val="00491726"/>
    <w:rsid w:val="0049234B"/>
    <w:rsid w:val="004941FD"/>
    <w:rsid w:val="00496C67"/>
    <w:rsid w:val="00497315"/>
    <w:rsid w:val="004A058F"/>
    <w:rsid w:val="004A1410"/>
    <w:rsid w:val="004A1ECD"/>
    <w:rsid w:val="004A261B"/>
    <w:rsid w:val="004A2CE5"/>
    <w:rsid w:val="004A7FD5"/>
    <w:rsid w:val="004B153E"/>
    <w:rsid w:val="004B2861"/>
    <w:rsid w:val="004B693A"/>
    <w:rsid w:val="004C0AA9"/>
    <w:rsid w:val="004C3399"/>
    <w:rsid w:val="004C40EA"/>
    <w:rsid w:val="004C58CC"/>
    <w:rsid w:val="004D0D6F"/>
    <w:rsid w:val="004D25DA"/>
    <w:rsid w:val="004D274D"/>
    <w:rsid w:val="004D2E59"/>
    <w:rsid w:val="004D503D"/>
    <w:rsid w:val="004D5482"/>
    <w:rsid w:val="004E0EC2"/>
    <w:rsid w:val="004E1D20"/>
    <w:rsid w:val="004E2EB1"/>
    <w:rsid w:val="004E5A02"/>
    <w:rsid w:val="004E5BEC"/>
    <w:rsid w:val="004E6A2C"/>
    <w:rsid w:val="004E6B40"/>
    <w:rsid w:val="004E6D49"/>
    <w:rsid w:val="004E6DD4"/>
    <w:rsid w:val="004E7537"/>
    <w:rsid w:val="004E79BC"/>
    <w:rsid w:val="004F0B66"/>
    <w:rsid w:val="004F13BF"/>
    <w:rsid w:val="004F17DD"/>
    <w:rsid w:val="004F45F9"/>
    <w:rsid w:val="004F4612"/>
    <w:rsid w:val="004F7A7C"/>
    <w:rsid w:val="004F7DFC"/>
    <w:rsid w:val="00500E69"/>
    <w:rsid w:val="0050352C"/>
    <w:rsid w:val="00507A4A"/>
    <w:rsid w:val="00507FC5"/>
    <w:rsid w:val="00512FE9"/>
    <w:rsid w:val="00517CA4"/>
    <w:rsid w:val="00520AC9"/>
    <w:rsid w:val="00520D04"/>
    <w:rsid w:val="00522BDF"/>
    <w:rsid w:val="00523BBF"/>
    <w:rsid w:val="00523E86"/>
    <w:rsid w:val="00531544"/>
    <w:rsid w:val="00531D1B"/>
    <w:rsid w:val="00532953"/>
    <w:rsid w:val="00534914"/>
    <w:rsid w:val="00542AC2"/>
    <w:rsid w:val="00543543"/>
    <w:rsid w:val="00545FF4"/>
    <w:rsid w:val="0054697C"/>
    <w:rsid w:val="00552A18"/>
    <w:rsid w:val="00552B73"/>
    <w:rsid w:val="005531C8"/>
    <w:rsid w:val="00553814"/>
    <w:rsid w:val="0055716C"/>
    <w:rsid w:val="00560493"/>
    <w:rsid w:val="00560855"/>
    <w:rsid w:val="005623AD"/>
    <w:rsid w:val="005630FA"/>
    <w:rsid w:val="00563EF5"/>
    <w:rsid w:val="00564CC0"/>
    <w:rsid w:val="00564DBC"/>
    <w:rsid w:val="00567A61"/>
    <w:rsid w:val="00567BD0"/>
    <w:rsid w:val="005723CF"/>
    <w:rsid w:val="005730C5"/>
    <w:rsid w:val="005762A8"/>
    <w:rsid w:val="00580443"/>
    <w:rsid w:val="00584353"/>
    <w:rsid w:val="005853E0"/>
    <w:rsid w:val="00586495"/>
    <w:rsid w:val="005947B9"/>
    <w:rsid w:val="005952BC"/>
    <w:rsid w:val="005A0074"/>
    <w:rsid w:val="005A1501"/>
    <w:rsid w:val="005A1675"/>
    <w:rsid w:val="005A22DE"/>
    <w:rsid w:val="005A3EB6"/>
    <w:rsid w:val="005A7358"/>
    <w:rsid w:val="005B0552"/>
    <w:rsid w:val="005B11EF"/>
    <w:rsid w:val="005B35D5"/>
    <w:rsid w:val="005B3B70"/>
    <w:rsid w:val="005C3B39"/>
    <w:rsid w:val="005C519E"/>
    <w:rsid w:val="005C7663"/>
    <w:rsid w:val="005D03D8"/>
    <w:rsid w:val="005D03F1"/>
    <w:rsid w:val="005D203F"/>
    <w:rsid w:val="005D215E"/>
    <w:rsid w:val="005D4E7C"/>
    <w:rsid w:val="005D672C"/>
    <w:rsid w:val="005E040A"/>
    <w:rsid w:val="005E1100"/>
    <w:rsid w:val="005E2CCB"/>
    <w:rsid w:val="005E4D57"/>
    <w:rsid w:val="005E5C4C"/>
    <w:rsid w:val="005E5D9D"/>
    <w:rsid w:val="005E6402"/>
    <w:rsid w:val="005E6A90"/>
    <w:rsid w:val="005F002D"/>
    <w:rsid w:val="005F05D8"/>
    <w:rsid w:val="005F0E6D"/>
    <w:rsid w:val="005F3212"/>
    <w:rsid w:val="005F4699"/>
    <w:rsid w:val="005F479A"/>
    <w:rsid w:val="005F4D66"/>
    <w:rsid w:val="005F5F00"/>
    <w:rsid w:val="005F682F"/>
    <w:rsid w:val="005F68BC"/>
    <w:rsid w:val="00603988"/>
    <w:rsid w:val="006047F5"/>
    <w:rsid w:val="00604832"/>
    <w:rsid w:val="00605237"/>
    <w:rsid w:val="0060705E"/>
    <w:rsid w:val="0061293F"/>
    <w:rsid w:val="006136CD"/>
    <w:rsid w:val="006146F1"/>
    <w:rsid w:val="006178FE"/>
    <w:rsid w:val="00624EFE"/>
    <w:rsid w:val="00625BD9"/>
    <w:rsid w:val="00627588"/>
    <w:rsid w:val="00631684"/>
    <w:rsid w:val="00631BFD"/>
    <w:rsid w:val="0063266F"/>
    <w:rsid w:val="00632DAC"/>
    <w:rsid w:val="00634D12"/>
    <w:rsid w:val="0063544C"/>
    <w:rsid w:val="00636DD0"/>
    <w:rsid w:val="006377EC"/>
    <w:rsid w:val="00640CEA"/>
    <w:rsid w:val="00644152"/>
    <w:rsid w:val="00645F16"/>
    <w:rsid w:val="006471EC"/>
    <w:rsid w:val="006479C8"/>
    <w:rsid w:val="006538E5"/>
    <w:rsid w:val="00653A96"/>
    <w:rsid w:val="00654BE5"/>
    <w:rsid w:val="00654EFB"/>
    <w:rsid w:val="00660942"/>
    <w:rsid w:val="00660BB2"/>
    <w:rsid w:val="00661E51"/>
    <w:rsid w:val="00662AD8"/>
    <w:rsid w:val="00663E62"/>
    <w:rsid w:val="00664271"/>
    <w:rsid w:val="00664A46"/>
    <w:rsid w:val="00665E3C"/>
    <w:rsid w:val="00670BCC"/>
    <w:rsid w:val="00670EFA"/>
    <w:rsid w:val="00670F92"/>
    <w:rsid w:val="006716A5"/>
    <w:rsid w:val="0067336C"/>
    <w:rsid w:val="00674B4F"/>
    <w:rsid w:val="00674C02"/>
    <w:rsid w:val="00674FCF"/>
    <w:rsid w:val="006770BD"/>
    <w:rsid w:val="006807BD"/>
    <w:rsid w:val="006824E3"/>
    <w:rsid w:val="006841E4"/>
    <w:rsid w:val="00686060"/>
    <w:rsid w:val="00686543"/>
    <w:rsid w:val="00687DC3"/>
    <w:rsid w:val="00687FF4"/>
    <w:rsid w:val="006902A9"/>
    <w:rsid w:val="0069271D"/>
    <w:rsid w:val="0069349A"/>
    <w:rsid w:val="0069503F"/>
    <w:rsid w:val="00696354"/>
    <w:rsid w:val="006A0C1E"/>
    <w:rsid w:val="006A2F86"/>
    <w:rsid w:val="006A3854"/>
    <w:rsid w:val="006B21BE"/>
    <w:rsid w:val="006B2322"/>
    <w:rsid w:val="006B4B24"/>
    <w:rsid w:val="006B69CD"/>
    <w:rsid w:val="006C03F9"/>
    <w:rsid w:val="006C0E0E"/>
    <w:rsid w:val="006C0E24"/>
    <w:rsid w:val="006C135D"/>
    <w:rsid w:val="006C2C62"/>
    <w:rsid w:val="006C3007"/>
    <w:rsid w:val="006C358F"/>
    <w:rsid w:val="006C4013"/>
    <w:rsid w:val="006C42F9"/>
    <w:rsid w:val="006C533A"/>
    <w:rsid w:val="006D0217"/>
    <w:rsid w:val="006D09F2"/>
    <w:rsid w:val="006D0D2D"/>
    <w:rsid w:val="006D26DD"/>
    <w:rsid w:val="006D39A1"/>
    <w:rsid w:val="006D4FC5"/>
    <w:rsid w:val="006D68A6"/>
    <w:rsid w:val="006E002B"/>
    <w:rsid w:val="006E3E60"/>
    <w:rsid w:val="006E4BD5"/>
    <w:rsid w:val="006E636B"/>
    <w:rsid w:val="006E74EF"/>
    <w:rsid w:val="006F0042"/>
    <w:rsid w:val="006F05EC"/>
    <w:rsid w:val="006F0BB7"/>
    <w:rsid w:val="006F43AC"/>
    <w:rsid w:val="006F563D"/>
    <w:rsid w:val="006F6CB9"/>
    <w:rsid w:val="006F7C35"/>
    <w:rsid w:val="006F7E57"/>
    <w:rsid w:val="00700822"/>
    <w:rsid w:val="00700F52"/>
    <w:rsid w:val="007013AF"/>
    <w:rsid w:val="00702AA9"/>
    <w:rsid w:val="00707C0E"/>
    <w:rsid w:val="0071021B"/>
    <w:rsid w:val="00710AFA"/>
    <w:rsid w:val="00710CCD"/>
    <w:rsid w:val="007143BC"/>
    <w:rsid w:val="0071548D"/>
    <w:rsid w:val="00720448"/>
    <w:rsid w:val="00720EAD"/>
    <w:rsid w:val="00722F64"/>
    <w:rsid w:val="0072443F"/>
    <w:rsid w:val="007256D2"/>
    <w:rsid w:val="00727F90"/>
    <w:rsid w:val="00730EAD"/>
    <w:rsid w:val="00730F7B"/>
    <w:rsid w:val="00731E97"/>
    <w:rsid w:val="007322FA"/>
    <w:rsid w:val="00732426"/>
    <w:rsid w:val="00732778"/>
    <w:rsid w:val="00735504"/>
    <w:rsid w:val="007358C0"/>
    <w:rsid w:val="00737603"/>
    <w:rsid w:val="00737AB1"/>
    <w:rsid w:val="00742608"/>
    <w:rsid w:val="00744626"/>
    <w:rsid w:val="007455F2"/>
    <w:rsid w:val="007501AE"/>
    <w:rsid w:val="00750C5B"/>
    <w:rsid w:val="00752A47"/>
    <w:rsid w:val="007561F0"/>
    <w:rsid w:val="00760AF0"/>
    <w:rsid w:val="007634A1"/>
    <w:rsid w:val="00765C99"/>
    <w:rsid w:val="00772700"/>
    <w:rsid w:val="00775597"/>
    <w:rsid w:val="00775829"/>
    <w:rsid w:val="00776340"/>
    <w:rsid w:val="00776538"/>
    <w:rsid w:val="00780310"/>
    <w:rsid w:val="007813A8"/>
    <w:rsid w:val="007830B4"/>
    <w:rsid w:val="007831E3"/>
    <w:rsid w:val="00783C5E"/>
    <w:rsid w:val="00784543"/>
    <w:rsid w:val="007866C8"/>
    <w:rsid w:val="00786CB7"/>
    <w:rsid w:val="007943B7"/>
    <w:rsid w:val="0079495F"/>
    <w:rsid w:val="00795867"/>
    <w:rsid w:val="007A0296"/>
    <w:rsid w:val="007A1136"/>
    <w:rsid w:val="007A727A"/>
    <w:rsid w:val="007B044D"/>
    <w:rsid w:val="007B1E79"/>
    <w:rsid w:val="007B2414"/>
    <w:rsid w:val="007B2C82"/>
    <w:rsid w:val="007B3751"/>
    <w:rsid w:val="007B3AD5"/>
    <w:rsid w:val="007B412C"/>
    <w:rsid w:val="007B51AB"/>
    <w:rsid w:val="007B5D3F"/>
    <w:rsid w:val="007B6C22"/>
    <w:rsid w:val="007C0966"/>
    <w:rsid w:val="007C0B05"/>
    <w:rsid w:val="007C30E8"/>
    <w:rsid w:val="007C4ACC"/>
    <w:rsid w:val="007C60EE"/>
    <w:rsid w:val="007C6163"/>
    <w:rsid w:val="007D1FC8"/>
    <w:rsid w:val="007D5D42"/>
    <w:rsid w:val="007D60E4"/>
    <w:rsid w:val="007E2488"/>
    <w:rsid w:val="007E4969"/>
    <w:rsid w:val="007F704B"/>
    <w:rsid w:val="00800AF0"/>
    <w:rsid w:val="008036C1"/>
    <w:rsid w:val="0080419A"/>
    <w:rsid w:val="0080502B"/>
    <w:rsid w:val="008068AC"/>
    <w:rsid w:val="00806A73"/>
    <w:rsid w:val="00806E49"/>
    <w:rsid w:val="00807EC9"/>
    <w:rsid w:val="00810427"/>
    <w:rsid w:val="00810A77"/>
    <w:rsid w:val="00811821"/>
    <w:rsid w:val="00811B34"/>
    <w:rsid w:val="0081361F"/>
    <w:rsid w:val="00816458"/>
    <w:rsid w:val="008168FA"/>
    <w:rsid w:val="00816C90"/>
    <w:rsid w:val="00816D7F"/>
    <w:rsid w:val="00817486"/>
    <w:rsid w:val="00820170"/>
    <w:rsid w:val="0082151B"/>
    <w:rsid w:val="00821983"/>
    <w:rsid w:val="00821A82"/>
    <w:rsid w:val="0082246A"/>
    <w:rsid w:val="00826155"/>
    <w:rsid w:val="0082761B"/>
    <w:rsid w:val="00827F49"/>
    <w:rsid w:val="00834ED5"/>
    <w:rsid w:val="00837997"/>
    <w:rsid w:val="00841FDB"/>
    <w:rsid w:val="00842749"/>
    <w:rsid w:val="00843E14"/>
    <w:rsid w:val="00844C79"/>
    <w:rsid w:val="00845D9D"/>
    <w:rsid w:val="00846486"/>
    <w:rsid w:val="0084689E"/>
    <w:rsid w:val="00851D89"/>
    <w:rsid w:val="00852226"/>
    <w:rsid w:val="0085771C"/>
    <w:rsid w:val="008623EF"/>
    <w:rsid w:val="008624AD"/>
    <w:rsid w:val="00862668"/>
    <w:rsid w:val="008632C9"/>
    <w:rsid w:val="008637A4"/>
    <w:rsid w:val="00864A6D"/>
    <w:rsid w:val="00864B07"/>
    <w:rsid w:val="00871608"/>
    <w:rsid w:val="0087285F"/>
    <w:rsid w:val="00874A86"/>
    <w:rsid w:val="0087797F"/>
    <w:rsid w:val="00881BEA"/>
    <w:rsid w:val="00885486"/>
    <w:rsid w:val="0088608E"/>
    <w:rsid w:val="00886C31"/>
    <w:rsid w:val="0089008B"/>
    <w:rsid w:val="0089368A"/>
    <w:rsid w:val="00896760"/>
    <w:rsid w:val="00897AA5"/>
    <w:rsid w:val="008A1E29"/>
    <w:rsid w:val="008A2B2E"/>
    <w:rsid w:val="008A402F"/>
    <w:rsid w:val="008A4191"/>
    <w:rsid w:val="008A6006"/>
    <w:rsid w:val="008B19DA"/>
    <w:rsid w:val="008C1372"/>
    <w:rsid w:val="008C48B0"/>
    <w:rsid w:val="008D0558"/>
    <w:rsid w:val="008D1636"/>
    <w:rsid w:val="008D44BA"/>
    <w:rsid w:val="008D47B6"/>
    <w:rsid w:val="008D4F0E"/>
    <w:rsid w:val="008E07E2"/>
    <w:rsid w:val="008E08E4"/>
    <w:rsid w:val="008E17D6"/>
    <w:rsid w:val="008E323F"/>
    <w:rsid w:val="008E7A2F"/>
    <w:rsid w:val="008E7B09"/>
    <w:rsid w:val="008F29E9"/>
    <w:rsid w:val="008F2B41"/>
    <w:rsid w:val="008F3420"/>
    <w:rsid w:val="008F3891"/>
    <w:rsid w:val="008F4F24"/>
    <w:rsid w:val="008F721D"/>
    <w:rsid w:val="00900193"/>
    <w:rsid w:val="00904DBA"/>
    <w:rsid w:val="009068C6"/>
    <w:rsid w:val="0091225C"/>
    <w:rsid w:val="00912BA6"/>
    <w:rsid w:val="00914FAB"/>
    <w:rsid w:val="00915851"/>
    <w:rsid w:val="00916F7B"/>
    <w:rsid w:val="00920864"/>
    <w:rsid w:val="00920B34"/>
    <w:rsid w:val="00921300"/>
    <w:rsid w:val="00922364"/>
    <w:rsid w:val="009227F6"/>
    <w:rsid w:val="009276D5"/>
    <w:rsid w:val="009308DE"/>
    <w:rsid w:val="00930A4A"/>
    <w:rsid w:val="00930E08"/>
    <w:rsid w:val="00930EB5"/>
    <w:rsid w:val="00932C34"/>
    <w:rsid w:val="00932D0C"/>
    <w:rsid w:val="0093366D"/>
    <w:rsid w:val="009351D5"/>
    <w:rsid w:val="009367AA"/>
    <w:rsid w:val="009369A0"/>
    <w:rsid w:val="0094493C"/>
    <w:rsid w:val="009460D9"/>
    <w:rsid w:val="00946688"/>
    <w:rsid w:val="009511F9"/>
    <w:rsid w:val="0095223E"/>
    <w:rsid w:val="009525CA"/>
    <w:rsid w:val="00952952"/>
    <w:rsid w:val="00953D02"/>
    <w:rsid w:val="00956448"/>
    <w:rsid w:val="00957829"/>
    <w:rsid w:val="009612B9"/>
    <w:rsid w:val="009620CC"/>
    <w:rsid w:val="009647F5"/>
    <w:rsid w:val="009711BE"/>
    <w:rsid w:val="00972315"/>
    <w:rsid w:val="00972344"/>
    <w:rsid w:val="009727DF"/>
    <w:rsid w:val="00972AE4"/>
    <w:rsid w:val="00972C2E"/>
    <w:rsid w:val="00973317"/>
    <w:rsid w:val="0097480D"/>
    <w:rsid w:val="00975B3C"/>
    <w:rsid w:val="00977814"/>
    <w:rsid w:val="00977C44"/>
    <w:rsid w:val="00981575"/>
    <w:rsid w:val="00981E0A"/>
    <w:rsid w:val="009832A0"/>
    <w:rsid w:val="00984D17"/>
    <w:rsid w:val="00985F95"/>
    <w:rsid w:val="0098767C"/>
    <w:rsid w:val="00987B7D"/>
    <w:rsid w:val="0099340A"/>
    <w:rsid w:val="009952BD"/>
    <w:rsid w:val="00995BCD"/>
    <w:rsid w:val="0099671D"/>
    <w:rsid w:val="00997296"/>
    <w:rsid w:val="009972D7"/>
    <w:rsid w:val="009A0830"/>
    <w:rsid w:val="009A140E"/>
    <w:rsid w:val="009A22CF"/>
    <w:rsid w:val="009A5039"/>
    <w:rsid w:val="009A61C9"/>
    <w:rsid w:val="009A6724"/>
    <w:rsid w:val="009A6B27"/>
    <w:rsid w:val="009A7B21"/>
    <w:rsid w:val="009B199D"/>
    <w:rsid w:val="009B1F5F"/>
    <w:rsid w:val="009B2E3E"/>
    <w:rsid w:val="009B389E"/>
    <w:rsid w:val="009B3999"/>
    <w:rsid w:val="009B4458"/>
    <w:rsid w:val="009B622C"/>
    <w:rsid w:val="009B6FF9"/>
    <w:rsid w:val="009B75CC"/>
    <w:rsid w:val="009C0EE1"/>
    <w:rsid w:val="009C295C"/>
    <w:rsid w:val="009C327D"/>
    <w:rsid w:val="009C370D"/>
    <w:rsid w:val="009C40CA"/>
    <w:rsid w:val="009C66DC"/>
    <w:rsid w:val="009C78AC"/>
    <w:rsid w:val="009C7D8F"/>
    <w:rsid w:val="009D24FB"/>
    <w:rsid w:val="009D3924"/>
    <w:rsid w:val="009D4A2A"/>
    <w:rsid w:val="009D6A98"/>
    <w:rsid w:val="009E2093"/>
    <w:rsid w:val="009E2794"/>
    <w:rsid w:val="009E3385"/>
    <w:rsid w:val="009E40F2"/>
    <w:rsid w:val="009E5460"/>
    <w:rsid w:val="009E76C2"/>
    <w:rsid w:val="009E7D04"/>
    <w:rsid w:val="009F0EC2"/>
    <w:rsid w:val="009F150E"/>
    <w:rsid w:val="009F2F8C"/>
    <w:rsid w:val="009F43B4"/>
    <w:rsid w:val="009F5F0E"/>
    <w:rsid w:val="009F73AD"/>
    <w:rsid w:val="009F76FF"/>
    <w:rsid w:val="00A01DD6"/>
    <w:rsid w:val="00A02B6D"/>
    <w:rsid w:val="00A06CEE"/>
    <w:rsid w:val="00A07294"/>
    <w:rsid w:val="00A106A3"/>
    <w:rsid w:val="00A11B13"/>
    <w:rsid w:val="00A148EC"/>
    <w:rsid w:val="00A1511F"/>
    <w:rsid w:val="00A15902"/>
    <w:rsid w:val="00A16297"/>
    <w:rsid w:val="00A163C6"/>
    <w:rsid w:val="00A16445"/>
    <w:rsid w:val="00A2003F"/>
    <w:rsid w:val="00A2026F"/>
    <w:rsid w:val="00A21A8C"/>
    <w:rsid w:val="00A21FC3"/>
    <w:rsid w:val="00A22137"/>
    <w:rsid w:val="00A269DD"/>
    <w:rsid w:val="00A32CC8"/>
    <w:rsid w:val="00A336E3"/>
    <w:rsid w:val="00A37078"/>
    <w:rsid w:val="00A37D93"/>
    <w:rsid w:val="00A41FFD"/>
    <w:rsid w:val="00A42302"/>
    <w:rsid w:val="00A42387"/>
    <w:rsid w:val="00A44AAA"/>
    <w:rsid w:val="00A46182"/>
    <w:rsid w:val="00A47455"/>
    <w:rsid w:val="00A47E9D"/>
    <w:rsid w:val="00A501AE"/>
    <w:rsid w:val="00A514B6"/>
    <w:rsid w:val="00A536E3"/>
    <w:rsid w:val="00A55CC0"/>
    <w:rsid w:val="00A6065F"/>
    <w:rsid w:val="00A62B79"/>
    <w:rsid w:val="00A63061"/>
    <w:rsid w:val="00A63356"/>
    <w:rsid w:val="00A64268"/>
    <w:rsid w:val="00A6549C"/>
    <w:rsid w:val="00A65570"/>
    <w:rsid w:val="00A7111B"/>
    <w:rsid w:val="00A72893"/>
    <w:rsid w:val="00A74DAF"/>
    <w:rsid w:val="00A75526"/>
    <w:rsid w:val="00A7659C"/>
    <w:rsid w:val="00A86207"/>
    <w:rsid w:val="00A90683"/>
    <w:rsid w:val="00A90EA1"/>
    <w:rsid w:val="00A9221E"/>
    <w:rsid w:val="00A94510"/>
    <w:rsid w:val="00AA12B5"/>
    <w:rsid w:val="00AA1DBC"/>
    <w:rsid w:val="00AA2DD6"/>
    <w:rsid w:val="00AA4097"/>
    <w:rsid w:val="00AA5B84"/>
    <w:rsid w:val="00AA6962"/>
    <w:rsid w:val="00AA7433"/>
    <w:rsid w:val="00AB05C7"/>
    <w:rsid w:val="00AB0943"/>
    <w:rsid w:val="00AB0BA7"/>
    <w:rsid w:val="00AB1C2C"/>
    <w:rsid w:val="00AB1DB5"/>
    <w:rsid w:val="00AB5D32"/>
    <w:rsid w:val="00AC414E"/>
    <w:rsid w:val="00AC4F52"/>
    <w:rsid w:val="00AC76BD"/>
    <w:rsid w:val="00AD1A92"/>
    <w:rsid w:val="00AD28F4"/>
    <w:rsid w:val="00AE218F"/>
    <w:rsid w:val="00AE3168"/>
    <w:rsid w:val="00AE48CF"/>
    <w:rsid w:val="00AE6530"/>
    <w:rsid w:val="00AE7A5F"/>
    <w:rsid w:val="00AF3C04"/>
    <w:rsid w:val="00AF67BD"/>
    <w:rsid w:val="00AF6AF9"/>
    <w:rsid w:val="00B000EC"/>
    <w:rsid w:val="00B00203"/>
    <w:rsid w:val="00B01AA3"/>
    <w:rsid w:val="00B02133"/>
    <w:rsid w:val="00B02663"/>
    <w:rsid w:val="00B0360B"/>
    <w:rsid w:val="00B03E0A"/>
    <w:rsid w:val="00B05DEE"/>
    <w:rsid w:val="00B0655B"/>
    <w:rsid w:val="00B068B1"/>
    <w:rsid w:val="00B20612"/>
    <w:rsid w:val="00B20B58"/>
    <w:rsid w:val="00B21008"/>
    <w:rsid w:val="00B21457"/>
    <w:rsid w:val="00B2293A"/>
    <w:rsid w:val="00B22D14"/>
    <w:rsid w:val="00B25FAA"/>
    <w:rsid w:val="00B26257"/>
    <w:rsid w:val="00B30DD7"/>
    <w:rsid w:val="00B314D9"/>
    <w:rsid w:val="00B330DB"/>
    <w:rsid w:val="00B36D8B"/>
    <w:rsid w:val="00B36F5E"/>
    <w:rsid w:val="00B36FD7"/>
    <w:rsid w:val="00B376A8"/>
    <w:rsid w:val="00B401FA"/>
    <w:rsid w:val="00B422B4"/>
    <w:rsid w:val="00B4441D"/>
    <w:rsid w:val="00B44DBE"/>
    <w:rsid w:val="00B46D17"/>
    <w:rsid w:val="00B47E7E"/>
    <w:rsid w:val="00B567CF"/>
    <w:rsid w:val="00B62C9C"/>
    <w:rsid w:val="00B64B47"/>
    <w:rsid w:val="00B64C79"/>
    <w:rsid w:val="00B67834"/>
    <w:rsid w:val="00B67998"/>
    <w:rsid w:val="00B729F1"/>
    <w:rsid w:val="00B7418B"/>
    <w:rsid w:val="00B77495"/>
    <w:rsid w:val="00B803E5"/>
    <w:rsid w:val="00B8280A"/>
    <w:rsid w:val="00B831F9"/>
    <w:rsid w:val="00B94617"/>
    <w:rsid w:val="00B94A29"/>
    <w:rsid w:val="00BA0839"/>
    <w:rsid w:val="00BA104A"/>
    <w:rsid w:val="00BA143F"/>
    <w:rsid w:val="00BA3498"/>
    <w:rsid w:val="00BA60BC"/>
    <w:rsid w:val="00BA6577"/>
    <w:rsid w:val="00BB04CE"/>
    <w:rsid w:val="00BB225A"/>
    <w:rsid w:val="00BB242D"/>
    <w:rsid w:val="00BB3EC0"/>
    <w:rsid w:val="00BB49BC"/>
    <w:rsid w:val="00BB52F5"/>
    <w:rsid w:val="00BC3CD3"/>
    <w:rsid w:val="00BC43B1"/>
    <w:rsid w:val="00BC492C"/>
    <w:rsid w:val="00BC526F"/>
    <w:rsid w:val="00BC6EA1"/>
    <w:rsid w:val="00BC7630"/>
    <w:rsid w:val="00BC7A26"/>
    <w:rsid w:val="00BD07A1"/>
    <w:rsid w:val="00BD0BBA"/>
    <w:rsid w:val="00BD0C1A"/>
    <w:rsid w:val="00BD2C28"/>
    <w:rsid w:val="00BD2C97"/>
    <w:rsid w:val="00BD34F1"/>
    <w:rsid w:val="00BD3C5C"/>
    <w:rsid w:val="00BD63B4"/>
    <w:rsid w:val="00BD7001"/>
    <w:rsid w:val="00BD7AEC"/>
    <w:rsid w:val="00BE1B72"/>
    <w:rsid w:val="00BE5EB3"/>
    <w:rsid w:val="00BE65A4"/>
    <w:rsid w:val="00BE7994"/>
    <w:rsid w:val="00BE7C57"/>
    <w:rsid w:val="00BF21EB"/>
    <w:rsid w:val="00BF350C"/>
    <w:rsid w:val="00BF53E9"/>
    <w:rsid w:val="00BF5BA2"/>
    <w:rsid w:val="00BF6E0A"/>
    <w:rsid w:val="00C00C5C"/>
    <w:rsid w:val="00C01C91"/>
    <w:rsid w:val="00C0215C"/>
    <w:rsid w:val="00C02E59"/>
    <w:rsid w:val="00C04403"/>
    <w:rsid w:val="00C05F74"/>
    <w:rsid w:val="00C06D99"/>
    <w:rsid w:val="00C06FC3"/>
    <w:rsid w:val="00C07FDE"/>
    <w:rsid w:val="00C13055"/>
    <w:rsid w:val="00C152E1"/>
    <w:rsid w:val="00C1601C"/>
    <w:rsid w:val="00C210FE"/>
    <w:rsid w:val="00C2231B"/>
    <w:rsid w:val="00C2796F"/>
    <w:rsid w:val="00C31748"/>
    <w:rsid w:val="00C40E8B"/>
    <w:rsid w:val="00C45826"/>
    <w:rsid w:val="00C45FED"/>
    <w:rsid w:val="00C50EC1"/>
    <w:rsid w:val="00C524BA"/>
    <w:rsid w:val="00C5304D"/>
    <w:rsid w:val="00C54DF1"/>
    <w:rsid w:val="00C5665C"/>
    <w:rsid w:val="00C5705D"/>
    <w:rsid w:val="00C57D06"/>
    <w:rsid w:val="00C61A53"/>
    <w:rsid w:val="00C626A0"/>
    <w:rsid w:val="00C65FCE"/>
    <w:rsid w:val="00C70FA1"/>
    <w:rsid w:val="00C73445"/>
    <w:rsid w:val="00C73589"/>
    <w:rsid w:val="00C75E13"/>
    <w:rsid w:val="00C75F56"/>
    <w:rsid w:val="00C762D1"/>
    <w:rsid w:val="00C80AD2"/>
    <w:rsid w:val="00C825DE"/>
    <w:rsid w:val="00C82F66"/>
    <w:rsid w:val="00C845D2"/>
    <w:rsid w:val="00C846B9"/>
    <w:rsid w:val="00C90A2C"/>
    <w:rsid w:val="00C944C8"/>
    <w:rsid w:val="00C95D3C"/>
    <w:rsid w:val="00C9761B"/>
    <w:rsid w:val="00CA3466"/>
    <w:rsid w:val="00CA42AB"/>
    <w:rsid w:val="00CA53F2"/>
    <w:rsid w:val="00CA5882"/>
    <w:rsid w:val="00CA684E"/>
    <w:rsid w:val="00CA75C2"/>
    <w:rsid w:val="00CA7C42"/>
    <w:rsid w:val="00CB0442"/>
    <w:rsid w:val="00CB18F8"/>
    <w:rsid w:val="00CB27DA"/>
    <w:rsid w:val="00CB58D5"/>
    <w:rsid w:val="00CC021B"/>
    <w:rsid w:val="00CC4DAB"/>
    <w:rsid w:val="00CC5DCD"/>
    <w:rsid w:val="00CD06CE"/>
    <w:rsid w:val="00CD0BE0"/>
    <w:rsid w:val="00CD0C03"/>
    <w:rsid w:val="00CD177B"/>
    <w:rsid w:val="00CD18B4"/>
    <w:rsid w:val="00CD2A08"/>
    <w:rsid w:val="00CD58B7"/>
    <w:rsid w:val="00CD6172"/>
    <w:rsid w:val="00CD6C20"/>
    <w:rsid w:val="00CD7487"/>
    <w:rsid w:val="00CE0F42"/>
    <w:rsid w:val="00CE3F0E"/>
    <w:rsid w:val="00CE426A"/>
    <w:rsid w:val="00CE4896"/>
    <w:rsid w:val="00CE581E"/>
    <w:rsid w:val="00CE71C6"/>
    <w:rsid w:val="00CF35AC"/>
    <w:rsid w:val="00CF4084"/>
    <w:rsid w:val="00CF48C2"/>
    <w:rsid w:val="00CF615A"/>
    <w:rsid w:val="00CF789D"/>
    <w:rsid w:val="00D014CE"/>
    <w:rsid w:val="00D052B3"/>
    <w:rsid w:val="00D101BA"/>
    <w:rsid w:val="00D1375D"/>
    <w:rsid w:val="00D16B85"/>
    <w:rsid w:val="00D20183"/>
    <w:rsid w:val="00D202BE"/>
    <w:rsid w:val="00D2139B"/>
    <w:rsid w:val="00D24988"/>
    <w:rsid w:val="00D251BB"/>
    <w:rsid w:val="00D272DF"/>
    <w:rsid w:val="00D3367B"/>
    <w:rsid w:val="00D3430F"/>
    <w:rsid w:val="00D34B35"/>
    <w:rsid w:val="00D42182"/>
    <w:rsid w:val="00D42655"/>
    <w:rsid w:val="00D42C53"/>
    <w:rsid w:val="00D43027"/>
    <w:rsid w:val="00D431D8"/>
    <w:rsid w:val="00D43A23"/>
    <w:rsid w:val="00D444AB"/>
    <w:rsid w:val="00D446D3"/>
    <w:rsid w:val="00D47265"/>
    <w:rsid w:val="00D507C3"/>
    <w:rsid w:val="00D5399E"/>
    <w:rsid w:val="00D54E10"/>
    <w:rsid w:val="00D57B00"/>
    <w:rsid w:val="00D6099A"/>
    <w:rsid w:val="00D61802"/>
    <w:rsid w:val="00D625A1"/>
    <w:rsid w:val="00D63637"/>
    <w:rsid w:val="00D63956"/>
    <w:rsid w:val="00D63E5C"/>
    <w:rsid w:val="00D65A78"/>
    <w:rsid w:val="00D7397C"/>
    <w:rsid w:val="00D73B4B"/>
    <w:rsid w:val="00D74804"/>
    <w:rsid w:val="00D7561F"/>
    <w:rsid w:val="00D75F28"/>
    <w:rsid w:val="00D7657C"/>
    <w:rsid w:val="00D81A3A"/>
    <w:rsid w:val="00D84E7D"/>
    <w:rsid w:val="00D85B76"/>
    <w:rsid w:val="00D945FF"/>
    <w:rsid w:val="00DA30D4"/>
    <w:rsid w:val="00DA3DB6"/>
    <w:rsid w:val="00DA449F"/>
    <w:rsid w:val="00DA736B"/>
    <w:rsid w:val="00DB0451"/>
    <w:rsid w:val="00DB3CCF"/>
    <w:rsid w:val="00DB56B5"/>
    <w:rsid w:val="00DC0DDA"/>
    <w:rsid w:val="00DC2C59"/>
    <w:rsid w:val="00DC455B"/>
    <w:rsid w:val="00DC5DA7"/>
    <w:rsid w:val="00DC714A"/>
    <w:rsid w:val="00DD25E3"/>
    <w:rsid w:val="00DD25FC"/>
    <w:rsid w:val="00DD4C3B"/>
    <w:rsid w:val="00DD5FD8"/>
    <w:rsid w:val="00DE1C04"/>
    <w:rsid w:val="00DE303B"/>
    <w:rsid w:val="00DE3458"/>
    <w:rsid w:val="00DE3DBD"/>
    <w:rsid w:val="00DE4784"/>
    <w:rsid w:val="00DE626E"/>
    <w:rsid w:val="00DE7900"/>
    <w:rsid w:val="00DF00D6"/>
    <w:rsid w:val="00DF2C0B"/>
    <w:rsid w:val="00DF3859"/>
    <w:rsid w:val="00DF3DBE"/>
    <w:rsid w:val="00DF60A0"/>
    <w:rsid w:val="00E01968"/>
    <w:rsid w:val="00E02EA7"/>
    <w:rsid w:val="00E03106"/>
    <w:rsid w:val="00E03E22"/>
    <w:rsid w:val="00E05749"/>
    <w:rsid w:val="00E06515"/>
    <w:rsid w:val="00E10A1E"/>
    <w:rsid w:val="00E11DFD"/>
    <w:rsid w:val="00E14339"/>
    <w:rsid w:val="00E20083"/>
    <w:rsid w:val="00E225C6"/>
    <w:rsid w:val="00E226E6"/>
    <w:rsid w:val="00E22E09"/>
    <w:rsid w:val="00E2496E"/>
    <w:rsid w:val="00E25613"/>
    <w:rsid w:val="00E26A69"/>
    <w:rsid w:val="00E33996"/>
    <w:rsid w:val="00E349BB"/>
    <w:rsid w:val="00E3563D"/>
    <w:rsid w:val="00E35839"/>
    <w:rsid w:val="00E41F7F"/>
    <w:rsid w:val="00E4207B"/>
    <w:rsid w:val="00E42206"/>
    <w:rsid w:val="00E4330A"/>
    <w:rsid w:val="00E43DA2"/>
    <w:rsid w:val="00E445C3"/>
    <w:rsid w:val="00E47D1E"/>
    <w:rsid w:val="00E51DB2"/>
    <w:rsid w:val="00E53CA6"/>
    <w:rsid w:val="00E54A58"/>
    <w:rsid w:val="00E562E0"/>
    <w:rsid w:val="00E57F28"/>
    <w:rsid w:val="00E62EDE"/>
    <w:rsid w:val="00E649C8"/>
    <w:rsid w:val="00E658B7"/>
    <w:rsid w:val="00E66300"/>
    <w:rsid w:val="00E67501"/>
    <w:rsid w:val="00E70E76"/>
    <w:rsid w:val="00E74016"/>
    <w:rsid w:val="00E80E0A"/>
    <w:rsid w:val="00E81C4D"/>
    <w:rsid w:val="00E84918"/>
    <w:rsid w:val="00E85A64"/>
    <w:rsid w:val="00E8638F"/>
    <w:rsid w:val="00E9621C"/>
    <w:rsid w:val="00E96B79"/>
    <w:rsid w:val="00EA027E"/>
    <w:rsid w:val="00EA1BAC"/>
    <w:rsid w:val="00EA3FEE"/>
    <w:rsid w:val="00EA6533"/>
    <w:rsid w:val="00EB1AF1"/>
    <w:rsid w:val="00EB2263"/>
    <w:rsid w:val="00EB2A57"/>
    <w:rsid w:val="00EB371B"/>
    <w:rsid w:val="00EB4D7D"/>
    <w:rsid w:val="00EB5846"/>
    <w:rsid w:val="00EB7229"/>
    <w:rsid w:val="00EB7FBD"/>
    <w:rsid w:val="00EC0742"/>
    <w:rsid w:val="00EC0D53"/>
    <w:rsid w:val="00EC198A"/>
    <w:rsid w:val="00EC2015"/>
    <w:rsid w:val="00EC4057"/>
    <w:rsid w:val="00EC41B3"/>
    <w:rsid w:val="00EC4B18"/>
    <w:rsid w:val="00EC5F1E"/>
    <w:rsid w:val="00ED01E4"/>
    <w:rsid w:val="00ED03D6"/>
    <w:rsid w:val="00ED2F5A"/>
    <w:rsid w:val="00ED515A"/>
    <w:rsid w:val="00ED6A0D"/>
    <w:rsid w:val="00ED7214"/>
    <w:rsid w:val="00ED7C8C"/>
    <w:rsid w:val="00EE0032"/>
    <w:rsid w:val="00EE0C2D"/>
    <w:rsid w:val="00EE2CB1"/>
    <w:rsid w:val="00EE3DEC"/>
    <w:rsid w:val="00EE7C59"/>
    <w:rsid w:val="00EF0E14"/>
    <w:rsid w:val="00EF2A9A"/>
    <w:rsid w:val="00EF3B69"/>
    <w:rsid w:val="00EF6A8D"/>
    <w:rsid w:val="00F03A68"/>
    <w:rsid w:val="00F05AA2"/>
    <w:rsid w:val="00F05AEB"/>
    <w:rsid w:val="00F0605D"/>
    <w:rsid w:val="00F0665F"/>
    <w:rsid w:val="00F06C3D"/>
    <w:rsid w:val="00F12F7E"/>
    <w:rsid w:val="00F14D80"/>
    <w:rsid w:val="00F16291"/>
    <w:rsid w:val="00F16C40"/>
    <w:rsid w:val="00F16D40"/>
    <w:rsid w:val="00F2689C"/>
    <w:rsid w:val="00F2720C"/>
    <w:rsid w:val="00F2753A"/>
    <w:rsid w:val="00F278EB"/>
    <w:rsid w:val="00F30912"/>
    <w:rsid w:val="00F31F48"/>
    <w:rsid w:val="00F3466E"/>
    <w:rsid w:val="00F3760A"/>
    <w:rsid w:val="00F43A1F"/>
    <w:rsid w:val="00F45203"/>
    <w:rsid w:val="00F505DF"/>
    <w:rsid w:val="00F50713"/>
    <w:rsid w:val="00F5078C"/>
    <w:rsid w:val="00F513B0"/>
    <w:rsid w:val="00F5297A"/>
    <w:rsid w:val="00F572AC"/>
    <w:rsid w:val="00F610C0"/>
    <w:rsid w:val="00F63246"/>
    <w:rsid w:val="00F67419"/>
    <w:rsid w:val="00F722D9"/>
    <w:rsid w:val="00F7282A"/>
    <w:rsid w:val="00F731B0"/>
    <w:rsid w:val="00F732C7"/>
    <w:rsid w:val="00F73A55"/>
    <w:rsid w:val="00F73B8D"/>
    <w:rsid w:val="00F7697A"/>
    <w:rsid w:val="00F777C0"/>
    <w:rsid w:val="00F800D8"/>
    <w:rsid w:val="00F8641E"/>
    <w:rsid w:val="00F875B9"/>
    <w:rsid w:val="00F95B31"/>
    <w:rsid w:val="00F95C7C"/>
    <w:rsid w:val="00F97610"/>
    <w:rsid w:val="00FA08DB"/>
    <w:rsid w:val="00FA1AB1"/>
    <w:rsid w:val="00FA230A"/>
    <w:rsid w:val="00FA23FE"/>
    <w:rsid w:val="00FA2906"/>
    <w:rsid w:val="00FA293F"/>
    <w:rsid w:val="00FA627E"/>
    <w:rsid w:val="00FA6661"/>
    <w:rsid w:val="00FA7AF6"/>
    <w:rsid w:val="00FB0D0B"/>
    <w:rsid w:val="00FB533A"/>
    <w:rsid w:val="00FB602A"/>
    <w:rsid w:val="00FB64E3"/>
    <w:rsid w:val="00FB690C"/>
    <w:rsid w:val="00FB6BF0"/>
    <w:rsid w:val="00FB7430"/>
    <w:rsid w:val="00FC4766"/>
    <w:rsid w:val="00FC4D52"/>
    <w:rsid w:val="00FC6B0E"/>
    <w:rsid w:val="00FC7700"/>
    <w:rsid w:val="00FC7FB0"/>
    <w:rsid w:val="00FD06F3"/>
    <w:rsid w:val="00FD27A9"/>
    <w:rsid w:val="00FD2A8B"/>
    <w:rsid w:val="00FD358F"/>
    <w:rsid w:val="00FD3E92"/>
    <w:rsid w:val="00FD4DF9"/>
    <w:rsid w:val="00FD57E8"/>
    <w:rsid w:val="00FD5AFB"/>
    <w:rsid w:val="00FE1915"/>
    <w:rsid w:val="00FE3D9D"/>
    <w:rsid w:val="00FE5DC0"/>
    <w:rsid w:val="00FE66AF"/>
    <w:rsid w:val="00FE738C"/>
    <w:rsid w:val="00FF1D07"/>
    <w:rsid w:val="00FF50BD"/>
    <w:rsid w:val="00FF5171"/>
    <w:rsid w:val="00FF7091"/>
    <w:rsid w:val="00FF7505"/>
    <w:rsid w:val="00FF7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85E2CE"/>
  <w15:docId w15:val="{ED41E3E7-03C4-494A-A618-F96139B96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44AF"/>
    <w:rPr>
      <w:sz w:val="24"/>
      <w:szCs w:val="24"/>
      <w:lang w:val="es-PR"/>
    </w:rPr>
  </w:style>
  <w:style w:type="paragraph" w:styleId="Heading1">
    <w:name w:val="heading 1"/>
    <w:basedOn w:val="Normal"/>
    <w:next w:val="Normal"/>
    <w:qFormat/>
    <w:rsid w:val="003F44AF"/>
    <w:pPr>
      <w:keepNext/>
      <w:suppressLineNumbers/>
      <w:jc w:val="center"/>
      <w:outlineLvl w:val="0"/>
    </w:pPr>
    <w:rPr>
      <w:b/>
      <w:sz w:val="36"/>
      <w:szCs w:val="20"/>
      <w:lang w:val="es-ES"/>
    </w:rPr>
  </w:style>
  <w:style w:type="paragraph" w:styleId="Heading2">
    <w:name w:val="heading 2"/>
    <w:basedOn w:val="Normal"/>
    <w:next w:val="Normal"/>
    <w:qFormat/>
    <w:rsid w:val="003F44AF"/>
    <w:pPr>
      <w:keepNext/>
      <w:tabs>
        <w:tab w:val="center" w:pos="4680"/>
      </w:tabs>
      <w:jc w:val="both"/>
      <w:outlineLvl w:val="1"/>
    </w:pPr>
    <w:rPr>
      <w:rFonts w:ascii="Arial" w:hAnsi="Arial"/>
      <w:b/>
      <w:szCs w:val="20"/>
      <w:lang w:val="es-ES_tradnl"/>
    </w:rPr>
  </w:style>
  <w:style w:type="paragraph" w:styleId="Heading3">
    <w:name w:val="heading 3"/>
    <w:basedOn w:val="Normal"/>
    <w:next w:val="Normal"/>
    <w:qFormat/>
    <w:rsid w:val="003F44AF"/>
    <w:pPr>
      <w:keepNext/>
      <w:jc w:val="center"/>
      <w:outlineLvl w:val="2"/>
    </w:pPr>
    <w:rPr>
      <w:rFonts w:ascii="Arial" w:hAnsi="Arial"/>
      <w:b/>
      <w:szCs w:val="20"/>
      <w:lang w:val="es-ES_tradnl"/>
    </w:rPr>
  </w:style>
  <w:style w:type="paragraph" w:styleId="Heading4">
    <w:name w:val="heading 4"/>
    <w:basedOn w:val="Normal"/>
    <w:next w:val="Normal"/>
    <w:qFormat/>
    <w:rsid w:val="003F44AF"/>
    <w:pPr>
      <w:keepNext/>
      <w:jc w:val="center"/>
      <w:outlineLvl w:val="3"/>
    </w:pPr>
    <w:rPr>
      <w:rFonts w:ascii="Arial" w:hAnsi="Arial"/>
      <w:b/>
      <w:szCs w:val="20"/>
      <w:lang w:val="es-ES_tradnl"/>
    </w:rPr>
  </w:style>
  <w:style w:type="paragraph" w:styleId="Heading5">
    <w:name w:val="heading 5"/>
    <w:next w:val="Normal"/>
    <w:qFormat/>
    <w:rsid w:val="003F44AF"/>
    <w:pPr>
      <w:outlineLvl w:val="4"/>
    </w:pPr>
    <w:rPr>
      <w:noProof/>
    </w:rPr>
  </w:style>
  <w:style w:type="paragraph" w:styleId="Heading6">
    <w:name w:val="heading 6"/>
    <w:basedOn w:val="Normal"/>
    <w:next w:val="Normal"/>
    <w:qFormat/>
    <w:rsid w:val="003F44AF"/>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F44AF"/>
    <w:pPr>
      <w:jc w:val="both"/>
    </w:pPr>
  </w:style>
  <w:style w:type="paragraph" w:styleId="BodyTextIndent">
    <w:name w:val="Body Text Indent"/>
    <w:basedOn w:val="Normal"/>
    <w:link w:val="BodyTextIndentChar"/>
    <w:rsid w:val="003F44AF"/>
    <w:pPr>
      <w:ind w:left="720"/>
      <w:jc w:val="both"/>
    </w:pPr>
  </w:style>
  <w:style w:type="paragraph" w:styleId="Header">
    <w:name w:val="header"/>
    <w:basedOn w:val="Normal"/>
    <w:rsid w:val="003F44AF"/>
    <w:pPr>
      <w:tabs>
        <w:tab w:val="center" w:pos="4320"/>
        <w:tab w:val="right" w:pos="8640"/>
      </w:tabs>
    </w:pPr>
  </w:style>
  <w:style w:type="character" w:styleId="PageNumber">
    <w:name w:val="page number"/>
    <w:basedOn w:val="DefaultParagraphFont"/>
    <w:rsid w:val="003F44AF"/>
  </w:style>
  <w:style w:type="paragraph" w:styleId="Footer">
    <w:name w:val="footer"/>
    <w:basedOn w:val="Normal"/>
    <w:rsid w:val="003F44AF"/>
    <w:pPr>
      <w:tabs>
        <w:tab w:val="center" w:pos="4320"/>
        <w:tab w:val="right" w:pos="8640"/>
      </w:tabs>
    </w:pPr>
  </w:style>
  <w:style w:type="character" w:styleId="LineNumber">
    <w:name w:val="line number"/>
    <w:basedOn w:val="DefaultParagraphFont"/>
    <w:rsid w:val="003F44AF"/>
  </w:style>
  <w:style w:type="paragraph" w:styleId="BalloonText">
    <w:name w:val="Balloon Text"/>
    <w:basedOn w:val="Normal"/>
    <w:semiHidden/>
    <w:rsid w:val="003F44AF"/>
    <w:rPr>
      <w:rFonts w:ascii="Tahoma" w:hAnsi="Tahoma" w:cs="Tahoma"/>
      <w:sz w:val="16"/>
      <w:szCs w:val="16"/>
    </w:rPr>
  </w:style>
  <w:style w:type="character" w:customStyle="1" w:styleId="apple-converted-space">
    <w:name w:val="apple-converted-space"/>
    <w:rsid w:val="004C58CC"/>
  </w:style>
  <w:style w:type="character" w:customStyle="1" w:styleId="subterms">
    <w:name w:val="subterms"/>
    <w:rsid w:val="00507A4A"/>
  </w:style>
  <w:style w:type="character" w:styleId="Hyperlink">
    <w:name w:val="Hyperlink"/>
    <w:uiPriority w:val="99"/>
    <w:unhideWhenUsed/>
    <w:rsid w:val="004624CB"/>
    <w:rPr>
      <w:color w:val="0000FF"/>
      <w:u w:val="single"/>
    </w:rPr>
  </w:style>
  <w:style w:type="paragraph" w:customStyle="1" w:styleId="style2">
    <w:name w:val="style2"/>
    <w:basedOn w:val="Normal"/>
    <w:rsid w:val="009D4A2A"/>
    <w:pPr>
      <w:spacing w:before="100" w:beforeAutospacing="1" w:after="100" w:afterAutospacing="1"/>
    </w:pPr>
    <w:rPr>
      <w:lang w:eastAsia="es-PR"/>
    </w:rPr>
  </w:style>
  <w:style w:type="paragraph" w:customStyle="1" w:styleId="style10">
    <w:name w:val="style10"/>
    <w:basedOn w:val="Normal"/>
    <w:rsid w:val="009D4A2A"/>
    <w:pPr>
      <w:spacing w:before="100" w:beforeAutospacing="1" w:after="100" w:afterAutospacing="1"/>
    </w:pPr>
    <w:rPr>
      <w:lang w:eastAsia="es-PR"/>
    </w:rPr>
  </w:style>
  <w:style w:type="paragraph" w:customStyle="1" w:styleId="Title2">
    <w:name w:val="Title2"/>
    <w:basedOn w:val="Normal"/>
    <w:next w:val="Normal"/>
    <w:rsid w:val="00011613"/>
    <w:pPr>
      <w:tabs>
        <w:tab w:val="left" w:pos="648"/>
        <w:tab w:val="right" w:pos="7776"/>
        <w:tab w:val="left" w:pos="7848"/>
      </w:tabs>
    </w:pPr>
    <w:rPr>
      <w:szCs w:val="20"/>
    </w:rPr>
  </w:style>
  <w:style w:type="paragraph" w:styleId="NormalWeb">
    <w:name w:val="Normal (Web)"/>
    <w:basedOn w:val="Normal"/>
    <w:uiPriority w:val="99"/>
    <w:unhideWhenUsed/>
    <w:rsid w:val="00025E98"/>
    <w:pPr>
      <w:spacing w:before="100" w:beforeAutospacing="1" w:after="100" w:afterAutospacing="1"/>
    </w:pPr>
  </w:style>
  <w:style w:type="paragraph" w:styleId="ListParagraph">
    <w:name w:val="List Paragraph"/>
    <w:basedOn w:val="Normal"/>
    <w:uiPriority w:val="34"/>
    <w:qFormat/>
    <w:rsid w:val="00327B78"/>
    <w:pPr>
      <w:ind w:left="720"/>
      <w:contextualSpacing/>
    </w:pPr>
  </w:style>
  <w:style w:type="character" w:customStyle="1" w:styleId="BodyTextIndentChar">
    <w:name w:val="Body Text Indent Char"/>
    <w:basedOn w:val="DefaultParagraphFont"/>
    <w:link w:val="BodyTextIndent"/>
    <w:rsid w:val="004877B2"/>
    <w:rPr>
      <w:sz w:val="24"/>
      <w:szCs w:val="24"/>
    </w:rPr>
  </w:style>
  <w:style w:type="character" w:styleId="CommentReference">
    <w:name w:val="annotation reference"/>
    <w:basedOn w:val="DefaultParagraphFont"/>
    <w:semiHidden/>
    <w:unhideWhenUsed/>
    <w:rsid w:val="005E1100"/>
    <w:rPr>
      <w:sz w:val="16"/>
      <w:szCs w:val="16"/>
    </w:rPr>
  </w:style>
  <w:style w:type="paragraph" w:styleId="CommentText">
    <w:name w:val="annotation text"/>
    <w:basedOn w:val="Normal"/>
    <w:link w:val="CommentTextChar"/>
    <w:semiHidden/>
    <w:unhideWhenUsed/>
    <w:rsid w:val="005E1100"/>
    <w:rPr>
      <w:sz w:val="20"/>
      <w:szCs w:val="20"/>
    </w:rPr>
  </w:style>
  <w:style w:type="character" w:customStyle="1" w:styleId="CommentTextChar">
    <w:name w:val="Comment Text Char"/>
    <w:basedOn w:val="DefaultParagraphFont"/>
    <w:link w:val="CommentText"/>
    <w:semiHidden/>
    <w:rsid w:val="005E1100"/>
  </w:style>
  <w:style w:type="paragraph" w:styleId="CommentSubject">
    <w:name w:val="annotation subject"/>
    <w:basedOn w:val="CommentText"/>
    <w:next w:val="CommentText"/>
    <w:link w:val="CommentSubjectChar"/>
    <w:semiHidden/>
    <w:unhideWhenUsed/>
    <w:rsid w:val="005E1100"/>
    <w:rPr>
      <w:b/>
      <w:bCs/>
    </w:rPr>
  </w:style>
  <w:style w:type="character" w:customStyle="1" w:styleId="CommentSubjectChar">
    <w:name w:val="Comment Subject Char"/>
    <w:basedOn w:val="CommentTextChar"/>
    <w:link w:val="CommentSubject"/>
    <w:semiHidden/>
    <w:rsid w:val="005E1100"/>
    <w:rPr>
      <w:b/>
      <w:bCs/>
    </w:rPr>
  </w:style>
  <w:style w:type="paragraph" w:styleId="FootnoteText">
    <w:name w:val="footnote text"/>
    <w:basedOn w:val="Normal"/>
    <w:link w:val="FootnoteTextChar"/>
    <w:unhideWhenUsed/>
    <w:rsid w:val="002D0E0E"/>
    <w:rPr>
      <w:sz w:val="20"/>
      <w:szCs w:val="20"/>
    </w:rPr>
  </w:style>
  <w:style w:type="character" w:customStyle="1" w:styleId="FootnoteTextChar">
    <w:name w:val="Footnote Text Char"/>
    <w:basedOn w:val="DefaultParagraphFont"/>
    <w:link w:val="FootnoteText"/>
    <w:rsid w:val="002D0E0E"/>
  </w:style>
  <w:style w:type="character" w:styleId="FootnoteReference">
    <w:name w:val="footnote reference"/>
    <w:basedOn w:val="DefaultParagraphFont"/>
    <w:unhideWhenUsed/>
    <w:rsid w:val="002D0E0E"/>
    <w:rPr>
      <w:vertAlign w:val="superscript"/>
    </w:rPr>
  </w:style>
  <w:style w:type="character" w:customStyle="1" w:styleId="UnresolvedMention1">
    <w:name w:val="Unresolved Mention1"/>
    <w:basedOn w:val="DefaultParagraphFont"/>
    <w:uiPriority w:val="99"/>
    <w:semiHidden/>
    <w:unhideWhenUsed/>
    <w:rsid w:val="00FD3E92"/>
    <w:rPr>
      <w:color w:val="605E5C"/>
      <w:shd w:val="clear" w:color="auto" w:fill="E1DFDD"/>
    </w:rPr>
  </w:style>
  <w:style w:type="paragraph" w:styleId="NoSpacing">
    <w:name w:val="No Spacing"/>
    <w:uiPriority w:val="99"/>
    <w:qFormat/>
    <w:rsid w:val="00B36FD7"/>
    <w:rPr>
      <w:rFonts w:ascii="Calibri" w:hAnsi="Calibri"/>
      <w:sz w:val="22"/>
      <w:szCs w:val="22"/>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0839">
      <w:bodyDiv w:val="1"/>
      <w:marLeft w:val="0"/>
      <w:marRight w:val="0"/>
      <w:marTop w:val="0"/>
      <w:marBottom w:val="0"/>
      <w:divBdr>
        <w:top w:val="none" w:sz="0" w:space="0" w:color="auto"/>
        <w:left w:val="none" w:sz="0" w:space="0" w:color="auto"/>
        <w:bottom w:val="none" w:sz="0" w:space="0" w:color="auto"/>
        <w:right w:val="none" w:sz="0" w:space="0" w:color="auto"/>
      </w:divBdr>
    </w:div>
    <w:div w:id="282734245">
      <w:bodyDiv w:val="1"/>
      <w:marLeft w:val="0"/>
      <w:marRight w:val="0"/>
      <w:marTop w:val="0"/>
      <w:marBottom w:val="0"/>
      <w:divBdr>
        <w:top w:val="none" w:sz="0" w:space="0" w:color="auto"/>
        <w:left w:val="none" w:sz="0" w:space="0" w:color="auto"/>
        <w:bottom w:val="none" w:sz="0" w:space="0" w:color="auto"/>
        <w:right w:val="none" w:sz="0" w:space="0" w:color="auto"/>
      </w:divBdr>
    </w:div>
    <w:div w:id="356396595">
      <w:bodyDiv w:val="1"/>
      <w:marLeft w:val="0"/>
      <w:marRight w:val="0"/>
      <w:marTop w:val="0"/>
      <w:marBottom w:val="0"/>
      <w:divBdr>
        <w:top w:val="none" w:sz="0" w:space="0" w:color="auto"/>
        <w:left w:val="none" w:sz="0" w:space="0" w:color="auto"/>
        <w:bottom w:val="none" w:sz="0" w:space="0" w:color="auto"/>
        <w:right w:val="none" w:sz="0" w:space="0" w:color="auto"/>
      </w:divBdr>
      <w:divsChild>
        <w:div w:id="2120442143">
          <w:marLeft w:val="0"/>
          <w:marRight w:val="0"/>
          <w:marTop w:val="0"/>
          <w:marBottom w:val="0"/>
          <w:divBdr>
            <w:top w:val="none" w:sz="0" w:space="0" w:color="auto"/>
            <w:left w:val="none" w:sz="0" w:space="0" w:color="auto"/>
            <w:bottom w:val="none" w:sz="0" w:space="0" w:color="auto"/>
            <w:right w:val="none" w:sz="0" w:space="0" w:color="auto"/>
          </w:divBdr>
        </w:div>
      </w:divsChild>
    </w:div>
    <w:div w:id="359671271">
      <w:bodyDiv w:val="1"/>
      <w:marLeft w:val="0"/>
      <w:marRight w:val="0"/>
      <w:marTop w:val="0"/>
      <w:marBottom w:val="0"/>
      <w:divBdr>
        <w:top w:val="none" w:sz="0" w:space="0" w:color="auto"/>
        <w:left w:val="none" w:sz="0" w:space="0" w:color="auto"/>
        <w:bottom w:val="none" w:sz="0" w:space="0" w:color="auto"/>
        <w:right w:val="none" w:sz="0" w:space="0" w:color="auto"/>
      </w:divBdr>
    </w:div>
    <w:div w:id="381558467">
      <w:bodyDiv w:val="1"/>
      <w:marLeft w:val="0"/>
      <w:marRight w:val="0"/>
      <w:marTop w:val="0"/>
      <w:marBottom w:val="0"/>
      <w:divBdr>
        <w:top w:val="none" w:sz="0" w:space="0" w:color="auto"/>
        <w:left w:val="none" w:sz="0" w:space="0" w:color="auto"/>
        <w:bottom w:val="none" w:sz="0" w:space="0" w:color="auto"/>
        <w:right w:val="none" w:sz="0" w:space="0" w:color="auto"/>
      </w:divBdr>
    </w:div>
    <w:div w:id="622275238">
      <w:bodyDiv w:val="1"/>
      <w:marLeft w:val="0"/>
      <w:marRight w:val="0"/>
      <w:marTop w:val="0"/>
      <w:marBottom w:val="0"/>
      <w:divBdr>
        <w:top w:val="none" w:sz="0" w:space="0" w:color="auto"/>
        <w:left w:val="none" w:sz="0" w:space="0" w:color="auto"/>
        <w:bottom w:val="none" w:sz="0" w:space="0" w:color="auto"/>
        <w:right w:val="none" w:sz="0" w:space="0" w:color="auto"/>
      </w:divBdr>
    </w:div>
    <w:div w:id="669530909">
      <w:bodyDiv w:val="1"/>
      <w:marLeft w:val="0"/>
      <w:marRight w:val="0"/>
      <w:marTop w:val="0"/>
      <w:marBottom w:val="0"/>
      <w:divBdr>
        <w:top w:val="none" w:sz="0" w:space="0" w:color="auto"/>
        <w:left w:val="none" w:sz="0" w:space="0" w:color="auto"/>
        <w:bottom w:val="none" w:sz="0" w:space="0" w:color="auto"/>
        <w:right w:val="none" w:sz="0" w:space="0" w:color="auto"/>
      </w:divBdr>
    </w:div>
    <w:div w:id="671907274">
      <w:bodyDiv w:val="1"/>
      <w:marLeft w:val="0"/>
      <w:marRight w:val="0"/>
      <w:marTop w:val="0"/>
      <w:marBottom w:val="0"/>
      <w:divBdr>
        <w:top w:val="none" w:sz="0" w:space="0" w:color="auto"/>
        <w:left w:val="none" w:sz="0" w:space="0" w:color="auto"/>
        <w:bottom w:val="none" w:sz="0" w:space="0" w:color="auto"/>
        <w:right w:val="none" w:sz="0" w:space="0" w:color="auto"/>
      </w:divBdr>
    </w:div>
    <w:div w:id="751467974">
      <w:bodyDiv w:val="1"/>
      <w:marLeft w:val="0"/>
      <w:marRight w:val="0"/>
      <w:marTop w:val="0"/>
      <w:marBottom w:val="0"/>
      <w:divBdr>
        <w:top w:val="none" w:sz="0" w:space="0" w:color="auto"/>
        <w:left w:val="none" w:sz="0" w:space="0" w:color="auto"/>
        <w:bottom w:val="none" w:sz="0" w:space="0" w:color="auto"/>
        <w:right w:val="none" w:sz="0" w:space="0" w:color="auto"/>
      </w:divBdr>
    </w:div>
    <w:div w:id="1080370272">
      <w:bodyDiv w:val="1"/>
      <w:marLeft w:val="0"/>
      <w:marRight w:val="0"/>
      <w:marTop w:val="0"/>
      <w:marBottom w:val="0"/>
      <w:divBdr>
        <w:top w:val="none" w:sz="0" w:space="0" w:color="auto"/>
        <w:left w:val="none" w:sz="0" w:space="0" w:color="auto"/>
        <w:bottom w:val="none" w:sz="0" w:space="0" w:color="auto"/>
        <w:right w:val="none" w:sz="0" w:space="0" w:color="auto"/>
      </w:divBdr>
    </w:div>
    <w:div w:id="1258052351">
      <w:bodyDiv w:val="1"/>
      <w:marLeft w:val="0"/>
      <w:marRight w:val="0"/>
      <w:marTop w:val="0"/>
      <w:marBottom w:val="0"/>
      <w:divBdr>
        <w:top w:val="none" w:sz="0" w:space="0" w:color="auto"/>
        <w:left w:val="none" w:sz="0" w:space="0" w:color="auto"/>
        <w:bottom w:val="none" w:sz="0" w:space="0" w:color="auto"/>
        <w:right w:val="none" w:sz="0" w:space="0" w:color="auto"/>
      </w:divBdr>
    </w:div>
    <w:div w:id="1747069773">
      <w:bodyDiv w:val="1"/>
      <w:marLeft w:val="0"/>
      <w:marRight w:val="0"/>
      <w:marTop w:val="0"/>
      <w:marBottom w:val="0"/>
      <w:divBdr>
        <w:top w:val="none" w:sz="0" w:space="0" w:color="auto"/>
        <w:left w:val="none" w:sz="0" w:space="0" w:color="auto"/>
        <w:bottom w:val="none" w:sz="0" w:space="0" w:color="auto"/>
        <w:right w:val="none" w:sz="0" w:space="0" w:color="auto"/>
      </w:divBdr>
    </w:div>
    <w:div w:id="1751192530">
      <w:bodyDiv w:val="1"/>
      <w:marLeft w:val="0"/>
      <w:marRight w:val="0"/>
      <w:marTop w:val="0"/>
      <w:marBottom w:val="0"/>
      <w:divBdr>
        <w:top w:val="none" w:sz="0" w:space="0" w:color="auto"/>
        <w:left w:val="none" w:sz="0" w:space="0" w:color="auto"/>
        <w:bottom w:val="none" w:sz="0" w:space="0" w:color="auto"/>
        <w:right w:val="none" w:sz="0" w:space="0" w:color="auto"/>
      </w:divBdr>
    </w:div>
    <w:div w:id="2035575834">
      <w:bodyDiv w:val="1"/>
      <w:marLeft w:val="0"/>
      <w:marRight w:val="0"/>
      <w:marTop w:val="0"/>
      <w:marBottom w:val="0"/>
      <w:divBdr>
        <w:top w:val="none" w:sz="0" w:space="0" w:color="auto"/>
        <w:left w:val="none" w:sz="0" w:space="0" w:color="auto"/>
        <w:bottom w:val="none" w:sz="0" w:space="0" w:color="auto"/>
        <w:right w:val="none" w:sz="0" w:space="0" w:color="auto"/>
      </w:divBdr>
    </w:div>
    <w:div w:id="2064332776">
      <w:bodyDiv w:val="1"/>
      <w:marLeft w:val="0"/>
      <w:marRight w:val="0"/>
      <w:marTop w:val="0"/>
      <w:marBottom w:val="0"/>
      <w:divBdr>
        <w:top w:val="none" w:sz="0" w:space="0" w:color="auto"/>
        <w:left w:val="none" w:sz="0" w:space="0" w:color="auto"/>
        <w:bottom w:val="none" w:sz="0" w:space="0" w:color="auto"/>
        <w:right w:val="none" w:sz="0" w:space="0" w:color="auto"/>
      </w:divBdr>
    </w:div>
    <w:div w:id="212981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D11CB-1A6A-4B7D-A299-F1670A758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1821</Words>
  <Characters>10380</Characters>
  <Application>Microsoft Office Word</Application>
  <DocSecurity>4</DocSecurity>
  <Lines>86</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PMP</Company>
  <LinksUpToDate>false</LinksUpToDate>
  <CharactersWithSpaces>12177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MAG</dc:creator>
  <cp:keywords/>
  <dc:description/>
  <cp:lastModifiedBy>Camyl Moreno Pantojas</cp:lastModifiedBy>
  <cp:revision>2</cp:revision>
  <cp:lastPrinted>2022-03-24T15:50:00Z</cp:lastPrinted>
  <dcterms:created xsi:type="dcterms:W3CDTF">2026-04-30T19:01:00Z</dcterms:created>
  <dcterms:modified xsi:type="dcterms:W3CDTF">2026-04-30T19:01:00Z</dcterms:modified>
</cp:coreProperties>
</file>