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1DD7B" w14:textId="38ADAE28" w:rsidR="007E46B2" w:rsidRPr="00C377DC" w:rsidRDefault="007E46B2" w:rsidP="003845CA">
      <w:pPr>
        <w:suppressLineNumbers/>
        <w:jc w:val="center"/>
        <w:rPr>
          <w:rFonts w:ascii="Book Antiqua" w:hAnsi="Book Antiqua"/>
          <w:b/>
          <w:bCs/>
          <w:color w:val="000000" w:themeColor="text1"/>
          <w:sz w:val="28"/>
          <w:lang w:val="es-ES_tradnl"/>
        </w:rPr>
      </w:pPr>
      <w:r w:rsidRPr="00C377DC">
        <w:rPr>
          <w:rFonts w:ascii="Book Antiqua" w:hAnsi="Book Antiqua"/>
          <w:b/>
          <w:bCs/>
          <w:color w:val="000000" w:themeColor="text1"/>
          <w:sz w:val="28"/>
          <w:lang w:val="es-ES_tradnl"/>
        </w:rPr>
        <w:t>ENTIRILLADO ELECTRÓNICO</w:t>
      </w:r>
    </w:p>
    <w:p w14:paraId="2A7651F0" w14:textId="240BFC11" w:rsidR="003845CA" w:rsidRPr="00C377DC" w:rsidRDefault="001B0904" w:rsidP="003845CA">
      <w:pPr>
        <w:suppressLineNumbers/>
        <w:jc w:val="center"/>
        <w:rPr>
          <w:rFonts w:ascii="Book Antiqua" w:hAnsi="Book Antiqua"/>
          <w:color w:val="000000" w:themeColor="text1"/>
          <w:sz w:val="28"/>
          <w:lang w:val="es-ES_tradnl"/>
        </w:rPr>
      </w:pPr>
      <w:r w:rsidRPr="00C377DC">
        <w:rPr>
          <w:rFonts w:ascii="Book Antiqua" w:hAnsi="Book Antiqua"/>
          <w:color w:val="000000" w:themeColor="text1"/>
          <w:sz w:val="28"/>
          <w:lang w:val="es-ES_tradnl"/>
        </w:rPr>
        <w:t>GOBIERNO DE PUERTO RICO</w:t>
      </w:r>
    </w:p>
    <w:p w14:paraId="183240CD" w14:textId="77777777" w:rsidR="003845CA" w:rsidRPr="00C377DC" w:rsidRDefault="003845CA" w:rsidP="003845CA">
      <w:pPr>
        <w:suppressLineNumbers/>
        <w:jc w:val="center"/>
        <w:rPr>
          <w:rFonts w:ascii="Book Antiqua" w:hAnsi="Book Antiqua"/>
          <w:color w:val="000000" w:themeColor="text1"/>
          <w:lang w:val="es-ES_tradnl"/>
        </w:rPr>
      </w:pPr>
    </w:p>
    <w:p w14:paraId="5AECBF6E" w14:textId="64F2314E" w:rsidR="003845CA" w:rsidRPr="00C377DC" w:rsidRDefault="001B0904" w:rsidP="003845CA">
      <w:pPr>
        <w:suppressLineNumbers/>
        <w:jc w:val="both"/>
        <w:rPr>
          <w:rFonts w:ascii="Book Antiqua" w:hAnsi="Book Antiqua"/>
          <w:color w:val="000000" w:themeColor="text1"/>
          <w:lang w:val="es-ES_tradnl"/>
        </w:rPr>
      </w:pPr>
      <w:r w:rsidRPr="00C377DC">
        <w:rPr>
          <w:rFonts w:ascii="Book Antiqua" w:hAnsi="Book Antiqua"/>
          <w:color w:val="000000" w:themeColor="text1"/>
          <w:lang w:val="es-ES_tradnl"/>
        </w:rPr>
        <w:t>20m</w:t>
      </w:r>
      <w:r w:rsidR="003845CA" w:rsidRPr="00C377DC">
        <w:rPr>
          <w:rFonts w:ascii="Book Antiqua" w:hAnsi="Book Antiqua"/>
          <w:color w:val="000000" w:themeColor="text1"/>
          <w:lang w:val="es-ES_tradnl"/>
        </w:rPr>
        <w:t>a. Asamblea</w:t>
      </w:r>
      <w:r w:rsidR="003845CA" w:rsidRPr="00C377DC">
        <w:rPr>
          <w:rFonts w:ascii="Book Antiqua" w:hAnsi="Book Antiqua"/>
          <w:color w:val="000000" w:themeColor="text1"/>
          <w:lang w:val="es-ES_tradnl"/>
        </w:rPr>
        <w:tab/>
        <w:t xml:space="preserve">                                                                                              </w:t>
      </w:r>
      <w:r w:rsidR="003845CA" w:rsidRPr="00C377DC">
        <w:rPr>
          <w:rFonts w:ascii="Book Antiqua" w:hAnsi="Book Antiqua"/>
          <w:color w:val="000000" w:themeColor="text1"/>
          <w:lang w:val="es-ES_tradnl"/>
        </w:rPr>
        <w:tab/>
        <w:t xml:space="preserve"> </w:t>
      </w:r>
      <w:r w:rsidR="000A1F2E" w:rsidRPr="00C377DC">
        <w:rPr>
          <w:rFonts w:ascii="Book Antiqua" w:hAnsi="Book Antiqua"/>
          <w:color w:val="000000" w:themeColor="text1"/>
          <w:lang w:val="es-ES_tradnl"/>
        </w:rPr>
        <w:t>3</w:t>
      </w:r>
      <w:r w:rsidR="003845CA" w:rsidRPr="00C377DC">
        <w:rPr>
          <w:rFonts w:ascii="Book Antiqua" w:hAnsi="Book Antiqua"/>
          <w:color w:val="000000" w:themeColor="text1"/>
          <w:lang w:val="es-ES_tradnl"/>
        </w:rPr>
        <w:t>ra. Sesión</w:t>
      </w:r>
    </w:p>
    <w:p w14:paraId="62A9F648" w14:textId="77777777" w:rsidR="003845CA" w:rsidRPr="00C377DC" w:rsidRDefault="003845CA" w:rsidP="003845CA">
      <w:pPr>
        <w:suppressLineNumbers/>
        <w:rPr>
          <w:rFonts w:ascii="Book Antiqua" w:hAnsi="Book Antiqua"/>
          <w:color w:val="000000" w:themeColor="text1"/>
          <w:lang w:val="es-ES_tradnl"/>
        </w:rPr>
      </w:pPr>
      <w:r w:rsidRPr="00C377DC">
        <w:rPr>
          <w:rFonts w:ascii="Book Antiqua" w:hAnsi="Book Antiqua"/>
          <w:color w:val="000000" w:themeColor="text1"/>
          <w:lang w:val="es-ES_tradnl"/>
        </w:rPr>
        <w:t xml:space="preserve">          Legislativa</w:t>
      </w:r>
      <w:r w:rsidRPr="00C377DC">
        <w:rPr>
          <w:rFonts w:ascii="Book Antiqua" w:hAnsi="Book Antiqua"/>
          <w:color w:val="000000" w:themeColor="text1"/>
          <w:lang w:val="es-ES_tradnl"/>
        </w:rPr>
        <w:tab/>
      </w:r>
      <w:r w:rsidRPr="00C377DC">
        <w:rPr>
          <w:rFonts w:ascii="Book Antiqua" w:hAnsi="Book Antiqua"/>
          <w:color w:val="000000" w:themeColor="text1"/>
          <w:lang w:val="es-ES_tradnl"/>
        </w:rPr>
        <w:tab/>
        <w:t xml:space="preserve">                                                                                          Ordinaria</w:t>
      </w:r>
    </w:p>
    <w:p w14:paraId="548F1EE5" w14:textId="052E7778" w:rsidR="00B36FD7" w:rsidRPr="00C377DC" w:rsidRDefault="00B36FD7" w:rsidP="003845CA">
      <w:pPr>
        <w:suppressLineNumbers/>
        <w:rPr>
          <w:rFonts w:ascii="Book Antiqua" w:hAnsi="Book Antiqua"/>
          <w:color w:val="000000" w:themeColor="text1"/>
        </w:rPr>
      </w:pPr>
      <w:r w:rsidRPr="00C377DC">
        <w:rPr>
          <w:rFonts w:ascii="Book Antiqua" w:hAnsi="Book Antiqua"/>
          <w:color w:val="000000" w:themeColor="text1"/>
        </w:rPr>
        <w:t xml:space="preserve">       </w:t>
      </w:r>
    </w:p>
    <w:p w14:paraId="11A12A0F" w14:textId="77777777" w:rsidR="00B36FD7" w:rsidRPr="00C377DC" w:rsidRDefault="00B36FD7" w:rsidP="00B36FD7">
      <w:pPr>
        <w:pStyle w:val="NoSpacing"/>
        <w:suppressLineNumbers/>
        <w:jc w:val="center"/>
        <w:rPr>
          <w:rFonts w:ascii="Book Antiqua" w:hAnsi="Book Antiqua"/>
          <w:b/>
          <w:color w:val="000000" w:themeColor="text1"/>
          <w:sz w:val="36"/>
          <w:szCs w:val="36"/>
        </w:rPr>
      </w:pPr>
      <w:r w:rsidRPr="00C377DC">
        <w:rPr>
          <w:rFonts w:ascii="Book Antiqua" w:hAnsi="Book Antiqua"/>
          <w:b/>
          <w:color w:val="000000" w:themeColor="text1"/>
          <w:sz w:val="36"/>
          <w:szCs w:val="36"/>
        </w:rPr>
        <w:t>CÁMARA DE REPRESENTANTES</w:t>
      </w:r>
    </w:p>
    <w:p w14:paraId="6ED74661" w14:textId="77777777" w:rsidR="00B36FD7" w:rsidRPr="00C377DC" w:rsidRDefault="00B36FD7" w:rsidP="00B36FD7">
      <w:pPr>
        <w:pStyle w:val="NoSpacing"/>
        <w:suppressLineNumbers/>
        <w:jc w:val="center"/>
        <w:rPr>
          <w:rFonts w:ascii="Book Antiqua" w:hAnsi="Book Antiqua"/>
          <w:color w:val="000000" w:themeColor="text1"/>
          <w:sz w:val="24"/>
          <w:szCs w:val="24"/>
        </w:rPr>
      </w:pPr>
    </w:p>
    <w:p w14:paraId="53B3FBA3" w14:textId="0818AF59" w:rsidR="00B36FD7" w:rsidRPr="00C377DC" w:rsidRDefault="00930EB5" w:rsidP="00B36FD7">
      <w:pPr>
        <w:pStyle w:val="NoSpacing"/>
        <w:suppressLineNumbers/>
        <w:jc w:val="center"/>
        <w:rPr>
          <w:rFonts w:ascii="Book Antiqua" w:hAnsi="Book Antiqua"/>
          <w:b/>
          <w:color w:val="000000" w:themeColor="text1"/>
          <w:sz w:val="52"/>
          <w:szCs w:val="52"/>
        </w:rPr>
      </w:pPr>
      <w:r w:rsidRPr="00C377DC">
        <w:rPr>
          <w:rFonts w:ascii="Book Antiqua" w:hAnsi="Book Antiqua"/>
          <w:b/>
          <w:color w:val="000000" w:themeColor="text1"/>
          <w:sz w:val="52"/>
          <w:szCs w:val="52"/>
        </w:rPr>
        <w:t xml:space="preserve">P. de la C. </w:t>
      </w:r>
      <w:r w:rsidR="00C11E19" w:rsidRPr="00C377DC">
        <w:rPr>
          <w:rFonts w:ascii="Book Antiqua" w:hAnsi="Book Antiqua"/>
          <w:b/>
          <w:color w:val="000000" w:themeColor="text1"/>
          <w:sz w:val="52"/>
          <w:szCs w:val="52"/>
        </w:rPr>
        <w:t>1195</w:t>
      </w:r>
    </w:p>
    <w:p w14:paraId="3AC9748E" w14:textId="77777777" w:rsidR="00B36FD7" w:rsidRPr="00C377DC" w:rsidRDefault="00B36FD7" w:rsidP="00B36FD7">
      <w:pPr>
        <w:pStyle w:val="NoSpacing"/>
        <w:suppressLineNumbers/>
        <w:jc w:val="center"/>
        <w:rPr>
          <w:rFonts w:ascii="Book Antiqua" w:hAnsi="Book Antiqua"/>
          <w:color w:val="000000" w:themeColor="text1"/>
          <w:sz w:val="24"/>
          <w:szCs w:val="24"/>
        </w:rPr>
      </w:pPr>
    </w:p>
    <w:p w14:paraId="5D894B58" w14:textId="12EBC04D" w:rsidR="00B36FD7" w:rsidRPr="00C377DC" w:rsidRDefault="00C11E19" w:rsidP="00B36FD7">
      <w:pPr>
        <w:pStyle w:val="NoSpacing"/>
        <w:suppressLineNumbers/>
        <w:jc w:val="center"/>
        <w:rPr>
          <w:rFonts w:ascii="Book Antiqua" w:hAnsi="Book Antiqua"/>
          <w:color w:val="000000" w:themeColor="text1"/>
          <w:sz w:val="24"/>
          <w:szCs w:val="24"/>
        </w:rPr>
      </w:pPr>
      <w:r w:rsidRPr="00C377DC">
        <w:rPr>
          <w:rFonts w:ascii="Book Antiqua" w:hAnsi="Book Antiqua"/>
          <w:color w:val="000000" w:themeColor="text1"/>
          <w:sz w:val="24"/>
          <w:szCs w:val="24"/>
        </w:rPr>
        <w:t xml:space="preserve">19 </w:t>
      </w:r>
      <w:r w:rsidR="001B0904" w:rsidRPr="00C377DC">
        <w:rPr>
          <w:rFonts w:ascii="Book Antiqua" w:hAnsi="Book Antiqua"/>
          <w:color w:val="000000" w:themeColor="text1"/>
          <w:sz w:val="24"/>
          <w:szCs w:val="24"/>
        </w:rPr>
        <w:t xml:space="preserve">DE </w:t>
      </w:r>
      <w:r w:rsidR="000A1F2E" w:rsidRPr="00C377DC">
        <w:rPr>
          <w:rFonts w:ascii="Book Antiqua" w:hAnsi="Book Antiqua"/>
          <w:color w:val="000000" w:themeColor="text1"/>
          <w:sz w:val="24"/>
          <w:szCs w:val="24"/>
        </w:rPr>
        <w:t xml:space="preserve">MARZO </w:t>
      </w:r>
      <w:r w:rsidR="001B0904" w:rsidRPr="00C377DC">
        <w:rPr>
          <w:rFonts w:ascii="Book Antiqua" w:hAnsi="Book Antiqua"/>
          <w:color w:val="000000" w:themeColor="text1"/>
          <w:sz w:val="24"/>
          <w:szCs w:val="24"/>
        </w:rPr>
        <w:t>DE 202</w:t>
      </w:r>
      <w:r w:rsidR="009A6724" w:rsidRPr="00C377DC">
        <w:rPr>
          <w:rFonts w:ascii="Book Antiqua" w:hAnsi="Book Antiqua"/>
          <w:color w:val="000000" w:themeColor="text1"/>
          <w:sz w:val="24"/>
          <w:szCs w:val="24"/>
        </w:rPr>
        <w:t>6</w:t>
      </w:r>
    </w:p>
    <w:p w14:paraId="771C4E0D" w14:textId="77777777" w:rsidR="00B36FD7" w:rsidRPr="00C377DC" w:rsidRDefault="00B36FD7" w:rsidP="00B36FD7">
      <w:pPr>
        <w:pStyle w:val="NoSpacing"/>
        <w:suppressLineNumbers/>
        <w:jc w:val="center"/>
        <w:rPr>
          <w:rFonts w:ascii="Book Antiqua" w:hAnsi="Book Antiqua"/>
          <w:i/>
          <w:color w:val="000000" w:themeColor="text1"/>
          <w:sz w:val="24"/>
          <w:szCs w:val="24"/>
        </w:rPr>
      </w:pPr>
    </w:p>
    <w:p w14:paraId="13EB35D2" w14:textId="77777777" w:rsidR="00B36FD7" w:rsidRPr="00C377DC" w:rsidRDefault="00B36FD7" w:rsidP="00B36FD7">
      <w:pPr>
        <w:pStyle w:val="NoSpacing"/>
        <w:suppressLineNumbers/>
        <w:ind w:left="720" w:hanging="720"/>
        <w:jc w:val="center"/>
        <w:rPr>
          <w:rFonts w:ascii="Book Antiqua" w:hAnsi="Book Antiqua"/>
          <w:i/>
          <w:color w:val="000000" w:themeColor="text1"/>
          <w:sz w:val="24"/>
          <w:szCs w:val="24"/>
        </w:rPr>
      </w:pPr>
      <w:r w:rsidRPr="00C377DC">
        <w:rPr>
          <w:rFonts w:ascii="Book Antiqua" w:hAnsi="Book Antiqua"/>
          <w:color w:val="000000" w:themeColor="text1"/>
          <w:sz w:val="24"/>
          <w:szCs w:val="24"/>
        </w:rPr>
        <w:t>Presentado por el representante</w:t>
      </w:r>
      <w:r w:rsidRPr="00C377DC">
        <w:rPr>
          <w:rFonts w:ascii="Book Antiqua" w:hAnsi="Book Antiqua"/>
          <w:i/>
          <w:color w:val="000000" w:themeColor="text1"/>
          <w:sz w:val="24"/>
          <w:szCs w:val="24"/>
        </w:rPr>
        <w:t xml:space="preserve"> Torres Zamora</w:t>
      </w:r>
    </w:p>
    <w:p w14:paraId="417C7EBF" w14:textId="77777777" w:rsidR="00B36FD7" w:rsidRPr="00C377DC" w:rsidRDefault="00B36FD7" w:rsidP="00B36FD7">
      <w:pPr>
        <w:pStyle w:val="NoSpacing"/>
        <w:suppressLineNumbers/>
        <w:ind w:left="360" w:hanging="360"/>
        <w:jc w:val="both"/>
        <w:rPr>
          <w:rFonts w:ascii="Book Antiqua" w:hAnsi="Book Antiqua"/>
          <w:color w:val="000000" w:themeColor="text1"/>
          <w:sz w:val="24"/>
          <w:szCs w:val="24"/>
        </w:rPr>
      </w:pPr>
    </w:p>
    <w:p w14:paraId="6CABE8BC" w14:textId="54DB2B7A" w:rsidR="00F03A68" w:rsidRPr="00C377DC" w:rsidRDefault="00F03A68" w:rsidP="00F03A68">
      <w:pPr>
        <w:jc w:val="center"/>
        <w:rPr>
          <w:rFonts w:ascii="Book Antiqua" w:hAnsi="Book Antiqua"/>
          <w:color w:val="000000" w:themeColor="text1"/>
          <w:lang w:val="es-ES_tradnl"/>
        </w:rPr>
      </w:pPr>
      <w:r w:rsidRPr="00C377DC">
        <w:rPr>
          <w:rFonts w:ascii="Book Antiqua" w:hAnsi="Book Antiqua"/>
          <w:color w:val="000000" w:themeColor="text1"/>
          <w:lang w:val="es-ES_tradnl"/>
        </w:rPr>
        <w:t xml:space="preserve">Referido a la Comisión de </w:t>
      </w:r>
      <w:r w:rsidR="00CD4327" w:rsidRPr="00C377DC">
        <w:rPr>
          <w:rFonts w:ascii="Book Antiqua" w:hAnsi="Book Antiqua"/>
          <w:color w:val="000000" w:themeColor="text1"/>
          <w:lang w:val="es-ES_tradnl"/>
        </w:rPr>
        <w:t>Banca, Seguros y Comercio</w:t>
      </w:r>
    </w:p>
    <w:p w14:paraId="7911EC85" w14:textId="77777777" w:rsidR="00B36FD7" w:rsidRPr="00C377DC" w:rsidRDefault="00B36FD7" w:rsidP="00B36FD7">
      <w:pPr>
        <w:pStyle w:val="NoSpacing"/>
        <w:suppressLineNumbers/>
        <w:jc w:val="center"/>
        <w:rPr>
          <w:rFonts w:ascii="Book Antiqua" w:hAnsi="Book Antiqua"/>
          <w:color w:val="000000" w:themeColor="text1"/>
          <w:sz w:val="24"/>
          <w:szCs w:val="24"/>
          <w:lang w:val="es-ES_tradnl"/>
        </w:rPr>
      </w:pPr>
    </w:p>
    <w:p w14:paraId="3FABAC18" w14:textId="77777777" w:rsidR="00B36FD7" w:rsidRPr="00C377DC" w:rsidRDefault="00B36FD7" w:rsidP="00B36FD7">
      <w:pPr>
        <w:pStyle w:val="NoSpacing"/>
        <w:suppressLineNumbers/>
        <w:jc w:val="center"/>
        <w:rPr>
          <w:rFonts w:ascii="Book Antiqua" w:hAnsi="Book Antiqua"/>
          <w:b/>
          <w:color w:val="000000" w:themeColor="text1"/>
          <w:sz w:val="28"/>
          <w:szCs w:val="28"/>
        </w:rPr>
      </w:pPr>
      <w:r w:rsidRPr="00C377DC">
        <w:rPr>
          <w:rFonts w:ascii="Book Antiqua" w:hAnsi="Book Antiqua"/>
          <w:b/>
          <w:color w:val="000000" w:themeColor="text1"/>
          <w:sz w:val="28"/>
          <w:szCs w:val="28"/>
        </w:rPr>
        <w:t>LEY</w:t>
      </w:r>
    </w:p>
    <w:p w14:paraId="3115D3E2" w14:textId="77777777" w:rsidR="00FD358F" w:rsidRPr="00C377DC" w:rsidRDefault="00FD358F" w:rsidP="00FD358F">
      <w:pPr>
        <w:jc w:val="both"/>
        <w:rPr>
          <w:rFonts w:ascii="Book Antiqua" w:hAnsi="Book Antiqua"/>
          <w:color w:val="000000" w:themeColor="text1"/>
        </w:rPr>
      </w:pPr>
    </w:p>
    <w:p w14:paraId="404C3A79" w14:textId="6FFCD2AF" w:rsidR="000A1F2E" w:rsidRPr="00C377DC" w:rsidRDefault="000A1F2E" w:rsidP="000A1F2E">
      <w:pPr>
        <w:ind w:left="720" w:hanging="720"/>
        <w:jc w:val="both"/>
        <w:rPr>
          <w:rFonts w:ascii="Book Antiqua" w:hAnsi="Book Antiqua" w:cs="AngsanaUPC"/>
          <w:color w:val="000000" w:themeColor="text1"/>
        </w:rPr>
      </w:pPr>
      <w:r w:rsidRPr="00C377DC">
        <w:rPr>
          <w:rFonts w:ascii="Book Antiqua" w:hAnsi="Book Antiqua" w:cs="AngsanaUPC"/>
          <w:color w:val="000000" w:themeColor="text1"/>
        </w:rPr>
        <w:t>Para enmendar el Artículo 9.022 de la Ley Núm. 77 de 19 de junio de 1957, según enmendada, conocida como “Código de Seguros de Puerto Rico”, a los fines de establecer un deber afirmativo de orientación al consumidor por parte de los productores de seguros</w:t>
      </w:r>
      <w:r w:rsidR="009E7F7A" w:rsidRPr="00C377DC">
        <w:rPr>
          <w:i/>
          <w:color w:val="000000" w:themeColor="text1"/>
        </w:rPr>
        <w:t xml:space="preserve">; </w:t>
      </w:r>
      <w:r w:rsidR="009E7F7A" w:rsidRPr="00C377DC">
        <w:rPr>
          <w:i/>
          <w:color w:val="000000" w:themeColor="text1"/>
          <w:u w:val="single"/>
        </w:rPr>
        <w:t xml:space="preserve">que dicho deber recae sobre el productor o </w:t>
      </w:r>
      <w:r w:rsidR="008B0184" w:rsidRPr="00C377DC">
        <w:rPr>
          <w:i/>
          <w:color w:val="000000" w:themeColor="text1"/>
          <w:u w:val="single"/>
        </w:rPr>
        <w:t>representante</w:t>
      </w:r>
      <w:r w:rsidR="009E7F7A" w:rsidRPr="00C377DC">
        <w:rPr>
          <w:i/>
          <w:color w:val="000000" w:themeColor="text1"/>
          <w:u w:val="single"/>
        </w:rPr>
        <w:t xml:space="preserve"> autorizado, como profesional licenciado por la Oficina del Comisionado de Seguros; disponer la aplicación de los requisitos de orientación según el tipo de póliza, línea de seguro y complejidad de la transacción</w:t>
      </w:r>
      <w:r w:rsidRPr="00C377DC">
        <w:rPr>
          <w:rFonts w:ascii="Book Antiqua" w:hAnsi="Book Antiqua" w:cs="AngsanaUPC"/>
          <w:color w:val="000000" w:themeColor="text1"/>
        </w:rPr>
        <w:t>; y para otros fines relacionados.</w:t>
      </w:r>
    </w:p>
    <w:p w14:paraId="7EB0100C" w14:textId="77777777" w:rsidR="00FD358F" w:rsidRPr="00C377DC" w:rsidRDefault="00FD358F" w:rsidP="00FD358F">
      <w:pPr>
        <w:ind w:left="540" w:hanging="540"/>
        <w:jc w:val="both"/>
        <w:rPr>
          <w:rFonts w:ascii="Book Antiqua" w:hAnsi="Book Antiqua"/>
          <w:color w:val="000000" w:themeColor="text1"/>
        </w:rPr>
      </w:pPr>
    </w:p>
    <w:p w14:paraId="436490B9" w14:textId="77777777" w:rsidR="00FD358F" w:rsidRPr="00C377DC" w:rsidRDefault="00360A40" w:rsidP="00FD358F">
      <w:pPr>
        <w:jc w:val="center"/>
        <w:rPr>
          <w:rFonts w:ascii="Book Antiqua" w:hAnsi="Book Antiqua"/>
          <w:color w:val="000000" w:themeColor="text1"/>
        </w:rPr>
      </w:pPr>
      <w:r w:rsidRPr="00C377DC">
        <w:rPr>
          <w:rFonts w:ascii="Book Antiqua" w:hAnsi="Book Antiqua"/>
          <w:color w:val="000000" w:themeColor="text1"/>
        </w:rPr>
        <w:t>EXPOSICIÓ</w:t>
      </w:r>
      <w:r w:rsidR="00FD358F" w:rsidRPr="00C377DC">
        <w:rPr>
          <w:rFonts w:ascii="Book Antiqua" w:hAnsi="Book Antiqua"/>
          <w:color w:val="000000" w:themeColor="text1"/>
        </w:rPr>
        <w:t>N DE MOTIVOS</w:t>
      </w:r>
    </w:p>
    <w:p w14:paraId="0410E67F" w14:textId="695E3FFF" w:rsidR="00FD358F" w:rsidRPr="00C377DC" w:rsidRDefault="00FD358F" w:rsidP="00FD358F">
      <w:pPr>
        <w:jc w:val="center"/>
        <w:rPr>
          <w:rFonts w:ascii="Book Antiqua" w:hAnsi="Book Antiqua"/>
          <w:color w:val="000000" w:themeColor="text1"/>
        </w:rPr>
      </w:pPr>
    </w:p>
    <w:p w14:paraId="3C7A4D97" w14:textId="4187BB39" w:rsidR="000A1F2E" w:rsidRPr="00C377DC" w:rsidRDefault="000A1F2E" w:rsidP="000A1F2E">
      <w:pPr>
        <w:ind w:firstLine="720"/>
        <w:jc w:val="both"/>
        <w:rPr>
          <w:rFonts w:ascii="Book Antiqua" w:hAnsi="Book Antiqua"/>
          <w:color w:val="000000" w:themeColor="text1"/>
        </w:rPr>
      </w:pPr>
      <w:r w:rsidRPr="00C377DC">
        <w:rPr>
          <w:rFonts w:ascii="Book Antiqua" w:hAnsi="Book Antiqua"/>
          <w:color w:val="000000" w:themeColor="text1"/>
        </w:rPr>
        <w:t xml:space="preserve">El mercado de seguros constituye uno de los principales mecanismos de protección económica para los ciudadanos. No obstante, la complejidad técnica de las pólizas, las limitaciones de cubierta, exclusiones y otros términos contractuales suelen resultar </w:t>
      </w:r>
      <w:r w:rsidR="00637740" w:rsidRPr="00C377DC">
        <w:rPr>
          <w:rFonts w:ascii="Book Antiqua" w:hAnsi="Book Antiqua"/>
          <w:color w:val="000000" w:themeColor="text1"/>
        </w:rPr>
        <w:t>difícil compre</w:t>
      </w:r>
      <w:r w:rsidR="00697360" w:rsidRPr="00C377DC">
        <w:rPr>
          <w:rFonts w:ascii="Book Antiqua" w:hAnsi="Book Antiqua"/>
          <w:color w:val="000000" w:themeColor="text1"/>
        </w:rPr>
        <w:t>n</w:t>
      </w:r>
      <w:r w:rsidR="00637740" w:rsidRPr="00C377DC">
        <w:rPr>
          <w:rFonts w:ascii="Book Antiqua" w:hAnsi="Book Antiqua"/>
          <w:color w:val="000000" w:themeColor="text1"/>
        </w:rPr>
        <w:t xml:space="preserve">sión </w:t>
      </w:r>
      <w:r w:rsidRPr="00C377DC">
        <w:rPr>
          <w:rFonts w:ascii="Book Antiqua" w:hAnsi="Book Antiqua"/>
          <w:color w:val="000000" w:themeColor="text1"/>
        </w:rPr>
        <w:t>para los consumidores.</w:t>
      </w:r>
    </w:p>
    <w:p w14:paraId="397A3800" w14:textId="77777777" w:rsidR="000A1F2E" w:rsidRPr="00C377DC" w:rsidRDefault="000A1F2E" w:rsidP="000A1F2E">
      <w:pPr>
        <w:jc w:val="both"/>
        <w:rPr>
          <w:rFonts w:ascii="Book Antiqua" w:hAnsi="Book Antiqua"/>
          <w:color w:val="000000" w:themeColor="text1"/>
        </w:rPr>
      </w:pPr>
    </w:p>
    <w:p w14:paraId="30BE95E7" w14:textId="587719F3" w:rsidR="000A1F2E" w:rsidRPr="00C377DC" w:rsidRDefault="000A1F2E" w:rsidP="00637740">
      <w:pPr>
        <w:ind w:firstLine="720"/>
        <w:jc w:val="both"/>
        <w:rPr>
          <w:rFonts w:ascii="Book Antiqua" w:hAnsi="Book Antiqua"/>
          <w:color w:val="000000" w:themeColor="text1"/>
        </w:rPr>
      </w:pPr>
      <w:r w:rsidRPr="00C377DC">
        <w:rPr>
          <w:rFonts w:ascii="Book Antiqua" w:hAnsi="Book Antiqua"/>
          <w:color w:val="000000" w:themeColor="text1"/>
        </w:rPr>
        <w:t xml:space="preserve">En múltiples ocasiones, los asegurados adquieren o sustituyen pólizas sin contar con una orientación clara y completa sobre las implicaciones de tales decisiones, lo que puede resultar en la pérdida de beneficios previamente adquiridos, la imposición de nuevos períodos de espera, </w:t>
      </w:r>
      <w:r w:rsidR="00637740" w:rsidRPr="00C377DC">
        <w:rPr>
          <w:rFonts w:ascii="Book Antiqua" w:hAnsi="Book Antiqua"/>
          <w:color w:val="000000" w:themeColor="text1"/>
        </w:rPr>
        <w:t xml:space="preserve">o en reducciones sustanciales en las cubiertas disponibles. </w:t>
      </w:r>
    </w:p>
    <w:p w14:paraId="55E4271F" w14:textId="77777777" w:rsidR="00637740" w:rsidRPr="00C377DC" w:rsidRDefault="00637740" w:rsidP="00637740">
      <w:pPr>
        <w:ind w:firstLine="720"/>
        <w:jc w:val="both"/>
        <w:rPr>
          <w:rFonts w:ascii="Book Antiqua" w:hAnsi="Book Antiqua"/>
          <w:color w:val="000000" w:themeColor="text1"/>
        </w:rPr>
      </w:pPr>
    </w:p>
    <w:p w14:paraId="7248E4E3" w14:textId="7FEF98D7" w:rsidR="000A1F2E" w:rsidRPr="00C377DC" w:rsidRDefault="000A1F2E" w:rsidP="000A1F2E">
      <w:pPr>
        <w:ind w:firstLine="720"/>
        <w:jc w:val="both"/>
        <w:rPr>
          <w:rFonts w:ascii="Book Antiqua" w:hAnsi="Book Antiqua"/>
          <w:color w:val="000000" w:themeColor="text1"/>
        </w:rPr>
      </w:pPr>
      <w:r w:rsidRPr="00C377DC">
        <w:rPr>
          <w:rFonts w:ascii="Book Antiqua" w:hAnsi="Book Antiqua"/>
          <w:color w:val="000000" w:themeColor="text1"/>
        </w:rPr>
        <w:t xml:space="preserve">El Código de Seguros de Puerto Rico ya reconoce ciertos deberes generales de los productores de seguros hacia los consumidores. Sin embargo, </w:t>
      </w:r>
      <w:r w:rsidR="00637740" w:rsidRPr="00C377DC">
        <w:rPr>
          <w:rFonts w:ascii="Book Antiqua" w:hAnsi="Book Antiqua"/>
          <w:color w:val="000000" w:themeColor="text1"/>
        </w:rPr>
        <w:t>la experiencia pr</w:t>
      </w:r>
      <w:r w:rsidR="00697360" w:rsidRPr="00C377DC">
        <w:rPr>
          <w:rFonts w:ascii="Book Antiqua" w:hAnsi="Book Antiqua"/>
          <w:color w:val="000000" w:themeColor="text1"/>
        </w:rPr>
        <w:t>á</w:t>
      </w:r>
      <w:r w:rsidR="00637740" w:rsidRPr="00C377DC">
        <w:rPr>
          <w:rFonts w:ascii="Book Antiqua" w:hAnsi="Book Antiqua"/>
          <w:color w:val="000000" w:themeColor="text1"/>
        </w:rPr>
        <w:t xml:space="preserve">ctica </w:t>
      </w:r>
      <w:r w:rsidR="00637740" w:rsidRPr="00C377DC">
        <w:rPr>
          <w:rFonts w:ascii="Book Antiqua" w:hAnsi="Book Antiqua"/>
          <w:color w:val="000000" w:themeColor="text1"/>
        </w:rPr>
        <w:lastRenderedPageBreak/>
        <w:t xml:space="preserve">evidencia la necesidad de reforzar dichos deberes mediante obligaciones </w:t>
      </w:r>
      <w:r w:rsidR="006702AF" w:rsidRPr="00C377DC">
        <w:rPr>
          <w:rFonts w:ascii="Book Antiqua" w:hAnsi="Book Antiqua"/>
          <w:color w:val="000000" w:themeColor="text1"/>
        </w:rPr>
        <w:t>más</w:t>
      </w:r>
      <w:r w:rsidR="00637740" w:rsidRPr="00C377DC">
        <w:rPr>
          <w:rFonts w:ascii="Book Antiqua" w:hAnsi="Book Antiqua"/>
          <w:color w:val="000000" w:themeColor="text1"/>
        </w:rPr>
        <w:t xml:space="preserve"> </w:t>
      </w:r>
      <w:r w:rsidR="006702AF" w:rsidRPr="00C377DC">
        <w:rPr>
          <w:rFonts w:ascii="Book Antiqua" w:hAnsi="Book Antiqua"/>
          <w:color w:val="000000" w:themeColor="text1"/>
        </w:rPr>
        <w:t>específicas</w:t>
      </w:r>
      <w:r w:rsidR="00637740" w:rsidRPr="00C377DC">
        <w:rPr>
          <w:rFonts w:ascii="Book Antiqua" w:hAnsi="Book Antiqua"/>
          <w:color w:val="000000" w:themeColor="text1"/>
        </w:rPr>
        <w:t xml:space="preserve"> de </w:t>
      </w:r>
      <w:r w:rsidR="006702AF" w:rsidRPr="00C377DC">
        <w:rPr>
          <w:rFonts w:ascii="Book Antiqua" w:hAnsi="Book Antiqua"/>
          <w:color w:val="000000" w:themeColor="text1"/>
        </w:rPr>
        <w:t>orientación</w:t>
      </w:r>
      <w:r w:rsidR="00637740" w:rsidRPr="00C377DC">
        <w:rPr>
          <w:rFonts w:ascii="Book Antiqua" w:hAnsi="Book Antiqua"/>
          <w:color w:val="000000" w:themeColor="text1"/>
        </w:rPr>
        <w:t xml:space="preserve"> y divulgación, </w:t>
      </w:r>
      <w:r w:rsidR="006702AF" w:rsidRPr="00C377DC">
        <w:rPr>
          <w:rFonts w:ascii="Book Antiqua" w:hAnsi="Book Antiqua"/>
          <w:color w:val="000000" w:themeColor="text1"/>
        </w:rPr>
        <w:t>garantizando</w:t>
      </w:r>
      <w:r w:rsidR="00637740" w:rsidRPr="00C377DC">
        <w:rPr>
          <w:rFonts w:ascii="Book Antiqua" w:hAnsi="Book Antiqua"/>
          <w:color w:val="000000" w:themeColor="text1"/>
        </w:rPr>
        <w:t xml:space="preserve"> así mayor transparencia. </w:t>
      </w:r>
    </w:p>
    <w:p w14:paraId="7181E04F" w14:textId="113434E3" w:rsidR="000A1F2E" w:rsidRPr="00C377DC" w:rsidRDefault="006702AF" w:rsidP="000A1F2E">
      <w:pPr>
        <w:ind w:firstLine="720"/>
        <w:jc w:val="both"/>
        <w:rPr>
          <w:rFonts w:ascii="Book Antiqua" w:hAnsi="Book Antiqua"/>
          <w:color w:val="000000" w:themeColor="text1"/>
        </w:rPr>
      </w:pPr>
      <w:r w:rsidRPr="00C377DC">
        <w:rPr>
          <w:rFonts w:ascii="Book Antiqua" w:hAnsi="Book Antiqua"/>
          <w:color w:val="000000" w:themeColor="text1"/>
        </w:rPr>
        <w:t xml:space="preserve">Esta Ley </w:t>
      </w:r>
      <w:r w:rsidR="000A1F2E" w:rsidRPr="00C377DC">
        <w:rPr>
          <w:rFonts w:ascii="Book Antiqua" w:hAnsi="Book Antiqua"/>
          <w:color w:val="000000" w:themeColor="text1"/>
        </w:rPr>
        <w:t>tiene como propósito fortalecer la protección del consumidor de seguros mediante el establecimiento de un deber afirmativo de orientación por parte de los productores de seguros, asegurando que los solicitantes y asegurados reciban información clara, completa y comprensible antes de tomar decisiones relacionadas con la contratación o modificación de una póliza.</w:t>
      </w:r>
    </w:p>
    <w:p w14:paraId="5F46E120" w14:textId="77777777" w:rsidR="000A1F2E" w:rsidRPr="00C377DC" w:rsidRDefault="000A1F2E" w:rsidP="000A1F2E">
      <w:pPr>
        <w:jc w:val="both"/>
        <w:rPr>
          <w:rFonts w:ascii="Book Antiqua" w:hAnsi="Book Antiqua"/>
          <w:color w:val="000000" w:themeColor="text1"/>
        </w:rPr>
      </w:pPr>
    </w:p>
    <w:p w14:paraId="1E871CAE" w14:textId="63B94F23" w:rsidR="000A1F2E" w:rsidRPr="00C377DC" w:rsidRDefault="000A1F2E" w:rsidP="000A1F2E">
      <w:pPr>
        <w:ind w:firstLine="720"/>
        <w:jc w:val="both"/>
        <w:rPr>
          <w:rFonts w:ascii="Book Antiqua" w:hAnsi="Book Antiqua"/>
          <w:color w:val="000000" w:themeColor="text1"/>
        </w:rPr>
      </w:pPr>
      <w:r w:rsidRPr="00C377DC">
        <w:rPr>
          <w:rFonts w:ascii="Book Antiqua" w:hAnsi="Book Antiqua"/>
          <w:color w:val="000000" w:themeColor="text1"/>
        </w:rPr>
        <w:t xml:space="preserve">Asimismo, </w:t>
      </w:r>
      <w:r w:rsidR="006702AF" w:rsidRPr="00C377DC">
        <w:rPr>
          <w:rFonts w:ascii="Book Antiqua" w:hAnsi="Book Antiqua"/>
          <w:color w:val="000000" w:themeColor="text1"/>
        </w:rPr>
        <w:t>se establece que</w:t>
      </w:r>
      <w:r w:rsidRPr="00C377DC">
        <w:rPr>
          <w:rFonts w:ascii="Book Antiqua" w:hAnsi="Book Antiqua"/>
          <w:color w:val="000000" w:themeColor="text1"/>
        </w:rPr>
        <w:t xml:space="preserve">, en casos de sustitución de pólizas, el productor deberá proveer un documento comparativo que permita al asegurado conocer las diferencias sustanciales entre la cubierta vigente y la nueva propuesta, evitando así </w:t>
      </w:r>
      <w:r w:rsidR="006702AF" w:rsidRPr="00C377DC">
        <w:rPr>
          <w:rFonts w:ascii="Book Antiqua" w:hAnsi="Book Antiqua"/>
          <w:color w:val="000000" w:themeColor="text1"/>
        </w:rPr>
        <w:t xml:space="preserve">reducciones inadvertidas de beneficios o pérdidas de derechos previamente adquiridos. </w:t>
      </w:r>
    </w:p>
    <w:p w14:paraId="2F45FBF4" w14:textId="77777777" w:rsidR="000A1F2E" w:rsidRPr="00C377DC" w:rsidRDefault="000A1F2E" w:rsidP="000A1F2E">
      <w:pPr>
        <w:jc w:val="both"/>
        <w:rPr>
          <w:rFonts w:ascii="Book Antiqua" w:hAnsi="Book Antiqua"/>
          <w:color w:val="000000" w:themeColor="text1"/>
        </w:rPr>
      </w:pPr>
    </w:p>
    <w:p w14:paraId="4063FAEE" w14:textId="25C769A4" w:rsidR="000A1F2E" w:rsidRPr="00C377DC" w:rsidRDefault="006702AF" w:rsidP="000A1F2E">
      <w:pPr>
        <w:ind w:firstLine="720"/>
        <w:jc w:val="both"/>
        <w:rPr>
          <w:rFonts w:ascii="Book Antiqua" w:hAnsi="Book Antiqua"/>
          <w:color w:val="000000" w:themeColor="text1"/>
        </w:rPr>
      </w:pPr>
      <w:r w:rsidRPr="00C377DC">
        <w:rPr>
          <w:rFonts w:ascii="Book Antiqua" w:hAnsi="Book Antiqua"/>
          <w:color w:val="000000" w:themeColor="text1"/>
        </w:rPr>
        <w:t xml:space="preserve">Mediante esta </w:t>
      </w:r>
      <w:r w:rsidR="000A1F2E" w:rsidRPr="00C377DC">
        <w:rPr>
          <w:rFonts w:ascii="Book Antiqua" w:hAnsi="Book Antiqua"/>
          <w:color w:val="000000" w:themeColor="text1"/>
        </w:rPr>
        <w:t xml:space="preserve">Ley se promueve una mayor transparencia en el mercado de seguros, </w:t>
      </w:r>
      <w:r w:rsidRPr="00C377DC">
        <w:rPr>
          <w:rFonts w:ascii="Book Antiqua" w:hAnsi="Book Antiqua"/>
          <w:color w:val="000000" w:themeColor="text1"/>
        </w:rPr>
        <w:t>se fortalecen los procesos de orientación al consumidor y se fomenta una relación m</w:t>
      </w:r>
      <w:r w:rsidR="00697360" w:rsidRPr="00C377DC">
        <w:rPr>
          <w:rFonts w:ascii="Book Antiqua" w:hAnsi="Book Antiqua"/>
          <w:color w:val="000000" w:themeColor="text1"/>
        </w:rPr>
        <w:t>á</w:t>
      </w:r>
      <w:r w:rsidRPr="00C377DC">
        <w:rPr>
          <w:rFonts w:ascii="Book Antiqua" w:hAnsi="Book Antiqua"/>
          <w:color w:val="000000" w:themeColor="text1"/>
        </w:rPr>
        <w:t xml:space="preserve">s informada y responsable entre productores y asegurados. </w:t>
      </w:r>
    </w:p>
    <w:p w14:paraId="7957F7DA" w14:textId="77777777" w:rsidR="00EC4B18" w:rsidRPr="00C377DC" w:rsidRDefault="00EC4B18" w:rsidP="001709C3">
      <w:pPr>
        <w:rPr>
          <w:rFonts w:ascii="Book Antiqua" w:hAnsi="Book Antiqua"/>
          <w:color w:val="000000" w:themeColor="text1"/>
        </w:rPr>
      </w:pPr>
    </w:p>
    <w:p w14:paraId="7094359F" w14:textId="192D58FB" w:rsidR="00FD358F" w:rsidRPr="00C377DC" w:rsidRDefault="00FD358F" w:rsidP="00FD06F3">
      <w:pPr>
        <w:jc w:val="both"/>
        <w:rPr>
          <w:rFonts w:ascii="Book Antiqua" w:hAnsi="Book Antiqua"/>
          <w:i/>
          <w:color w:val="000000" w:themeColor="text1"/>
        </w:rPr>
      </w:pPr>
      <w:r w:rsidRPr="00C377DC">
        <w:rPr>
          <w:rFonts w:ascii="Book Antiqua" w:hAnsi="Book Antiqua"/>
          <w:i/>
          <w:color w:val="000000" w:themeColor="text1"/>
        </w:rPr>
        <w:t>DECR</w:t>
      </w:r>
      <w:r w:rsidR="00981575" w:rsidRPr="00C377DC">
        <w:rPr>
          <w:rFonts w:ascii="Book Antiqua" w:hAnsi="Book Antiqua"/>
          <w:i/>
          <w:color w:val="000000" w:themeColor="text1"/>
        </w:rPr>
        <w:t>É</w:t>
      </w:r>
      <w:r w:rsidRPr="00C377DC">
        <w:rPr>
          <w:rFonts w:ascii="Book Antiqua" w:hAnsi="Book Antiqua"/>
          <w:i/>
          <w:color w:val="000000" w:themeColor="text1"/>
        </w:rPr>
        <w:t>TASE POR LA ASAMBLEA LEGISLATIVA DE PUERTO RICO:</w:t>
      </w:r>
    </w:p>
    <w:p w14:paraId="71E0A9A3" w14:textId="77777777" w:rsidR="00FD358F" w:rsidRPr="00C377DC" w:rsidRDefault="00FD358F" w:rsidP="0033680B">
      <w:pPr>
        <w:pStyle w:val="BodyTextIndent"/>
        <w:ind w:left="0" w:firstLine="720"/>
        <w:rPr>
          <w:rFonts w:ascii="Book Antiqua" w:hAnsi="Book Antiqua"/>
          <w:color w:val="000000" w:themeColor="text1"/>
        </w:rPr>
      </w:pPr>
    </w:p>
    <w:p w14:paraId="00D9FC18" w14:textId="2D74B8C2" w:rsidR="00F278EB" w:rsidRPr="00C377DC" w:rsidRDefault="00F278EB" w:rsidP="0033680B">
      <w:pPr>
        <w:pStyle w:val="BodyTextIndent"/>
        <w:ind w:left="0"/>
        <w:rPr>
          <w:rFonts w:ascii="Book Antiqua" w:hAnsi="Book Antiqua"/>
          <w:color w:val="000000" w:themeColor="text1"/>
        </w:rPr>
        <w:sectPr w:rsidR="00F278EB" w:rsidRPr="00C377DC" w:rsidSect="00FD358F">
          <w:headerReference w:type="even" r:id="rId8"/>
          <w:headerReference w:type="default" r:id="rId9"/>
          <w:type w:val="continuous"/>
          <w:pgSz w:w="12240" w:h="15840" w:code="1"/>
          <w:pgMar w:top="1440" w:right="1440" w:bottom="1440" w:left="1440" w:header="720" w:footer="720" w:gutter="0"/>
          <w:cols w:space="720"/>
          <w:titlePg/>
          <w:docGrid w:linePitch="360"/>
        </w:sectPr>
      </w:pPr>
    </w:p>
    <w:p w14:paraId="451D7392" w14:textId="44FF0C53" w:rsidR="001C7B7A" w:rsidRPr="00C377DC" w:rsidRDefault="000A1F2E" w:rsidP="00033005">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Sección 1. — Se enmienda el Artículo 9.022 de la Ley Núm. 77 de 19 de junio de 1957, según enmendada, para que lea como sigue:</w:t>
      </w:r>
    </w:p>
    <w:p w14:paraId="4E6A34C3" w14:textId="598E908B" w:rsidR="000A1F2E" w:rsidRPr="00C377DC" w:rsidRDefault="00DD2733" w:rsidP="00DD2733">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w:t>
      </w:r>
      <w:r w:rsidR="000A1F2E" w:rsidRPr="00C377DC">
        <w:rPr>
          <w:rFonts w:ascii="Book Antiqua" w:hAnsi="Book Antiqua"/>
          <w:color w:val="000000" w:themeColor="text1"/>
        </w:rPr>
        <w:t>Artículo 9.022. — Responsabilidad del Productor hacia el asegurado</w:t>
      </w:r>
    </w:p>
    <w:p w14:paraId="7D5394F3" w14:textId="081EC74C" w:rsidR="000A1F2E" w:rsidRPr="00C377DC" w:rsidRDefault="000A1F2E" w:rsidP="00DD2733">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El productor deberá cumplir, entre otros, con los siguientes deberes:</w:t>
      </w:r>
    </w:p>
    <w:p w14:paraId="2E42F796" w14:textId="59D2E785" w:rsidR="000A1F2E" w:rsidRPr="00C377DC" w:rsidRDefault="000A1F2E" w:rsidP="000A1F2E">
      <w:pPr>
        <w:pStyle w:val="BodyTextIndent"/>
        <w:numPr>
          <w:ilvl w:val="0"/>
          <w:numId w:val="13"/>
        </w:numPr>
        <w:spacing w:line="480" w:lineRule="auto"/>
        <w:rPr>
          <w:rFonts w:ascii="Book Antiqua" w:hAnsi="Book Antiqua"/>
          <w:i/>
          <w:iCs/>
          <w:color w:val="000000" w:themeColor="text1"/>
        </w:rPr>
      </w:pPr>
      <w:r w:rsidRPr="00C377DC">
        <w:rPr>
          <w:rFonts w:ascii="Book Antiqua" w:hAnsi="Book Antiqua"/>
          <w:color w:val="000000" w:themeColor="text1"/>
        </w:rPr>
        <w:t>Proveer al consumidor una orientación clara y completa sobre la cubierta, beneficios, límites y exclusiones de la póliza de seguros gestionada por su conducto, así como de los deberes y obligaciones de éste como asegurado bajo la misma.</w:t>
      </w:r>
    </w:p>
    <w:p w14:paraId="3821C810" w14:textId="7D48DDC6" w:rsidR="000A1F2E" w:rsidRPr="00C377DC" w:rsidRDefault="000A1F2E" w:rsidP="007D4989">
      <w:pPr>
        <w:spacing w:line="480" w:lineRule="auto"/>
        <w:ind w:left="810"/>
        <w:jc w:val="both"/>
        <w:rPr>
          <w:strike/>
          <w:color w:val="000000" w:themeColor="text1"/>
        </w:rPr>
      </w:pPr>
      <w:r w:rsidRPr="00C377DC">
        <w:rPr>
          <w:rFonts w:ascii="Book Antiqua" w:hAnsi="Book Antiqua"/>
          <w:i/>
          <w:iCs/>
          <w:color w:val="000000" w:themeColor="text1"/>
        </w:rPr>
        <w:t>A tales efectos, todo productor de seguros</w:t>
      </w:r>
      <w:r w:rsidR="00697360" w:rsidRPr="00C377DC">
        <w:rPr>
          <w:rFonts w:ascii="Book Antiqua" w:hAnsi="Book Antiqua"/>
          <w:i/>
          <w:iCs/>
          <w:color w:val="000000" w:themeColor="text1"/>
        </w:rPr>
        <w:t xml:space="preserve"> o</w:t>
      </w:r>
      <w:r w:rsidRPr="00C377DC">
        <w:rPr>
          <w:rFonts w:ascii="Book Antiqua" w:hAnsi="Book Antiqua"/>
          <w:i/>
          <w:iCs/>
          <w:color w:val="000000" w:themeColor="text1"/>
        </w:rPr>
        <w:t xml:space="preserve"> </w:t>
      </w:r>
      <w:r w:rsidR="00E77485" w:rsidRPr="00C377DC">
        <w:rPr>
          <w:rFonts w:ascii="Book Antiqua" w:hAnsi="Book Antiqua"/>
          <w:i/>
          <w:iCs/>
          <w:color w:val="000000" w:themeColor="text1"/>
          <w:u w:val="single"/>
        </w:rPr>
        <w:t>representante</w:t>
      </w:r>
      <w:r w:rsidR="00E77485" w:rsidRPr="00C377DC">
        <w:rPr>
          <w:rFonts w:ascii="Book Antiqua" w:hAnsi="Book Antiqua"/>
          <w:i/>
          <w:iCs/>
          <w:color w:val="000000" w:themeColor="text1"/>
        </w:rPr>
        <w:t xml:space="preserve"> </w:t>
      </w:r>
      <w:r w:rsidRPr="00C377DC">
        <w:rPr>
          <w:rFonts w:ascii="Book Antiqua" w:hAnsi="Book Antiqua"/>
          <w:i/>
          <w:iCs/>
          <w:strike/>
          <w:color w:val="000000" w:themeColor="text1"/>
        </w:rPr>
        <w:t>agente</w:t>
      </w:r>
      <w:r w:rsidRPr="00C377DC">
        <w:rPr>
          <w:rFonts w:ascii="Book Antiqua" w:hAnsi="Book Antiqua"/>
          <w:i/>
          <w:iCs/>
          <w:color w:val="000000" w:themeColor="text1"/>
        </w:rPr>
        <w:t xml:space="preserve"> autorizado tendrá el deber afirmativo de orientar al solicitante o asegurado previo a la contratación, renovación, sustitución, cancelación o modificación de una póliza de seguros.</w:t>
      </w:r>
      <w:r w:rsidR="00B93CFF" w:rsidRPr="00C377DC">
        <w:rPr>
          <w:rFonts w:ascii="Book Antiqua" w:hAnsi="Book Antiqua"/>
          <w:i/>
          <w:iCs/>
          <w:color w:val="000000" w:themeColor="text1"/>
        </w:rPr>
        <w:t xml:space="preserve"> </w:t>
      </w:r>
      <w:r w:rsidR="00B93CFF" w:rsidRPr="00C377DC">
        <w:rPr>
          <w:i/>
          <w:color w:val="000000" w:themeColor="text1"/>
          <w:u w:val="single"/>
        </w:rPr>
        <w:t xml:space="preserve">Este deber afirmativo recae sobre el productor o </w:t>
      </w:r>
      <w:r w:rsidR="008B0184" w:rsidRPr="00C377DC">
        <w:rPr>
          <w:i/>
          <w:color w:val="000000" w:themeColor="text1"/>
          <w:u w:val="single"/>
        </w:rPr>
        <w:t xml:space="preserve">representante </w:t>
      </w:r>
      <w:r w:rsidR="00B93CFF" w:rsidRPr="00C377DC">
        <w:rPr>
          <w:i/>
          <w:color w:val="000000" w:themeColor="text1"/>
          <w:u w:val="single"/>
        </w:rPr>
        <w:t>autorizado, como profesional licenciado</w:t>
      </w:r>
      <w:r w:rsidR="00E77485" w:rsidRPr="00C377DC">
        <w:rPr>
          <w:i/>
          <w:color w:val="000000" w:themeColor="text1"/>
          <w:u w:val="single"/>
        </w:rPr>
        <w:t xml:space="preserve">, sin </w:t>
      </w:r>
      <w:r w:rsidR="00E77485" w:rsidRPr="00C377DC">
        <w:rPr>
          <w:i/>
          <w:color w:val="000000" w:themeColor="text1"/>
          <w:u w:val="single"/>
        </w:rPr>
        <w:lastRenderedPageBreak/>
        <w:t xml:space="preserve">que con ello se entienda que se elimina la responsabilidad </w:t>
      </w:r>
      <w:r w:rsidR="005D7315" w:rsidRPr="00C377DC">
        <w:rPr>
          <w:i/>
          <w:color w:val="000000" w:themeColor="text1"/>
          <w:u w:val="single"/>
        </w:rPr>
        <w:t xml:space="preserve">que tiene </w:t>
      </w:r>
      <w:r w:rsidR="00E77485" w:rsidRPr="00C377DC">
        <w:rPr>
          <w:i/>
          <w:color w:val="000000" w:themeColor="text1"/>
          <w:u w:val="single"/>
        </w:rPr>
        <w:t xml:space="preserve">el asegurador </w:t>
      </w:r>
      <w:r w:rsidR="005D7315" w:rsidRPr="00C377DC">
        <w:rPr>
          <w:i/>
          <w:color w:val="000000" w:themeColor="text1"/>
          <w:u w:val="single"/>
        </w:rPr>
        <w:t xml:space="preserve">hacia </w:t>
      </w:r>
      <w:r w:rsidR="00AA583E" w:rsidRPr="00C377DC">
        <w:rPr>
          <w:i/>
          <w:color w:val="000000" w:themeColor="text1"/>
          <w:u w:val="single"/>
        </w:rPr>
        <w:t>su asegurado</w:t>
      </w:r>
      <w:r w:rsidR="0066697D" w:rsidRPr="00C377DC">
        <w:rPr>
          <w:i/>
          <w:color w:val="000000" w:themeColor="text1"/>
          <w:u w:val="single"/>
        </w:rPr>
        <w:t>.</w:t>
      </w:r>
    </w:p>
    <w:p w14:paraId="6FC7515C" w14:textId="61FEF692" w:rsidR="000A1F2E" w:rsidRPr="00C377DC" w:rsidRDefault="00637740" w:rsidP="00DD2733">
      <w:pPr>
        <w:pStyle w:val="BodyTextIndent"/>
        <w:spacing w:line="480" w:lineRule="auto"/>
        <w:ind w:left="435" w:firstLine="285"/>
        <w:rPr>
          <w:rFonts w:ascii="Book Antiqua" w:hAnsi="Book Antiqua"/>
          <w:i/>
          <w:iCs/>
          <w:color w:val="000000" w:themeColor="text1"/>
        </w:rPr>
      </w:pPr>
      <w:r w:rsidRPr="00C377DC">
        <w:rPr>
          <w:rFonts w:ascii="Book Antiqua" w:hAnsi="Book Antiqua"/>
          <w:i/>
          <w:iCs/>
          <w:color w:val="000000" w:themeColor="text1"/>
        </w:rPr>
        <w:t xml:space="preserve">Esta </w:t>
      </w:r>
      <w:r w:rsidR="000A1F2E" w:rsidRPr="00C377DC">
        <w:rPr>
          <w:rFonts w:ascii="Book Antiqua" w:hAnsi="Book Antiqua"/>
          <w:i/>
          <w:iCs/>
          <w:color w:val="000000" w:themeColor="text1"/>
        </w:rPr>
        <w:t>orientación</w:t>
      </w:r>
      <w:r w:rsidRPr="00C377DC">
        <w:rPr>
          <w:rFonts w:ascii="Book Antiqua" w:hAnsi="Book Antiqua"/>
          <w:i/>
          <w:iCs/>
          <w:color w:val="000000" w:themeColor="text1"/>
        </w:rPr>
        <w:t xml:space="preserve"> incluirá</w:t>
      </w:r>
      <w:r w:rsidR="000A1F2E" w:rsidRPr="00C377DC">
        <w:rPr>
          <w:rFonts w:ascii="Book Antiqua" w:hAnsi="Book Antiqua"/>
          <w:i/>
          <w:iCs/>
          <w:color w:val="000000" w:themeColor="text1"/>
        </w:rPr>
        <w:t xml:space="preserve">, </w:t>
      </w:r>
      <w:r w:rsidR="000A1F2E" w:rsidRPr="00C377DC">
        <w:rPr>
          <w:rFonts w:ascii="Book Antiqua" w:hAnsi="Book Antiqua"/>
          <w:i/>
          <w:iCs/>
          <w:strike/>
          <w:color w:val="000000" w:themeColor="text1"/>
        </w:rPr>
        <w:t>sin limitarse a</w:t>
      </w:r>
      <w:r w:rsidR="001B6870" w:rsidRPr="00C377DC">
        <w:rPr>
          <w:rFonts w:ascii="Book Antiqua" w:hAnsi="Book Antiqua"/>
          <w:i/>
          <w:iCs/>
          <w:color w:val="000000" w:themeColor="text1"/>
        </w:rPr>
        <w:t>,</w:t>
      </w:r>
      <w:r w:rsidR="007D4989" w:rsidRPr="00C377DC">
        <w:rPr>
          <w:rFonts w:ascii="Book Antiqua" w:hAnsi="Book Antiqua"/>
          <w:i/>
          <w:iCs/>
          <w:color w:val="000000" w:themeColor="text1"/>
        </w:rPr>
        <w:t xml:space="preserve"> </w:t>
      </w:r>
      <w:r w:rsidR="007D4989" w:rsidRPr="00C377DC">
        <w:rPr>
          <w:i/>
          <w:color w:val="000000" w:themeColor="text1"/>
          <w:u w:val="single"/>
        </w:rPr>
        <w:t>según sea aplicable al tipo de póliza y línea de seguro</w:t>
      </w:r>
      <w:r w:rsidR="007D4989" w:rsidRPr="00C377DC">
        <w:rPr>
          <w:color w:val="000000" w:themeColor="text1"/>
        </w:rPr>
        <w:t>:</w:t>
      </w:r>
      <w:r w:rsidR="007D4989" w:rsidRPr="00C377DC">
        <w:rPr>
          <w:rFonts w:ascii="Book Antiqua" w:hAnsi="Book Antiqua"/>
          <w:i/>
          <w:iCs/>
          <w:color w:val="000000" w:themeColor="text1"/>
        </w:rPr>
        <w:t xml:space="preserve"> </w:t>
      </w:r>
    </w:p>
    <w:p w14:paraId="4754DD20" w14:textId="1ADFD819" w:rsidR="000A1F2E" w:rsidRPr="00C377DC" w:rsidRDefault="000A1F2E" w:rsidP="000A1F2E">
      <w:pPr>
        <w:pStyle w:val="BodyTextIndent"/>
        <w:spacing w:line="480" w:lineRule="auto"/>
        <w:ind w:left="1155"/>
        <w:rPr>
          <w:rFonts w:ascii="Book Antiqua" w:hAnsi="Book Antiqua"/>
          <w:i/>
          <w:iCs/>
          <w:strike/>
          <w:color w:val="000000" w:themeColor="text1"/>
        </w:rPr>
      </w:pPr>
      <w:r w:rsidRPr="00C377DC">
        <w:rPr>
          <w:rFonts w:ascii="Book Antiqua" w:hAnsi="Book Antiqua"/>
          <w:i/>
          <w:iCs/>
          <w:color w:val="000000" w:themeColor="text1"/>
        </w:rPr>
        <w:t>(a) Descripción clara de las cubiertas incluidas</w:t>
      </w:r>
      <w:r w:rsidR="00C53EF1" w:rsidRPr="00C377DC">
        <w:rPr>
          <w:rFonts w:ascii="Book Antiqua" w:hAnsi="Book Antiqua"/>
          <w:i/>
          <w:iCs/>
          <w:color w:val="000000" w:themeColor="text1"/>
        </w:rPr>
        <w:t>,</w:t>
      </w:r>
      <w:r w:rsidRPr="00C377DC">
        <w:rPr>
          <w:rFonts w:ascii="Book Antiqua" w:hAnsi="Book Antiqua"/>
          <w:i/>
          <w:iCs/>
          <w:color w:val="000000" w:themeColor="text1"/>
        </w:rPr>
        <w:t xml:space="preserve"> sus exclusiones</w:t>
      </w:r>
      <w:r w:rsidR="00C53EF1" w:rsidRPr="00C377DC">
        <w:rPr>
          <w:rFonts w:ascii="Book Antiqua" w:hAnsi="Book Antiqua"/>
          <w:i/>
          <w:iCs/>
          <w:color w:val="000000" w:themeColor="text1"/>
        </w:rPr>
        <w:t xml:space="preserve">, limitaciones y condiciones </w:t>
      </w:r>
      <w:r w:rsidR="008B0184" w:rsidRPr="00C377DC">
        <w:rPr>
          <w:rFonts w:ascii="Book Antiqua" w:hAnsi="Book Antiqua"/>
          <w:i/>
          <w:iCs/>
          <w:color w:val="000000" w:themeColor="text1"/>
        </w:rPr>
        <w:t>aplicables</w:t>
      </w:r>
      <w:r w:rsidRPr="00C377DC">
        <w:rPr>
          <w:rFonts w:ascii="Book Antiqua" w:hAnsi="Book Antiqua"/>
          <w:i/>
          <w:iCs/>
          <w:color w:val="000000" w:themeColor="text1"/>
        </w:rPr>
        <w:t>;</w:t>
      </w:r>
    </w:p>
    <w:p w14:paraId="19C4C8EF" w14:textId="039B92DC" w:rsidR="000A1F2E" w:rsidRPr="00C377DC" w:rsidRDefault="000A1F2E" w:rsidP="000A1F2E">
      <w:pPr>
        <w:pStyle w:val="BodyTextIndent"/>
        <w:spacing w:line="480" w:lineRule="auto"/>
        <w:ind w:left="1155"/>
        <w:rPr>
          <w:rFonts w:ascii="Book Antiqua" w:hAnsi="Book Antiqua"/>
          <w:i/>
          <w:iCs/>
          <w:color w:val="000000" w:themeColor="text1"/>
        </w:rPr>
      </w:pPr>
      <w:r w:rsidRPr="00C377DC">
        <w:rPr>
          <w:rFonts w:ascii="Book Antiqua" w:hAnsi="Book Antiqua"/>
          <w:i/>
          <w:iCs/>
          <w:color w:val="000000" w:themeColor="text1"/>
        </w:rPr>
        <w:t xml:space="preserve">(b) Términos de </w:t>
      </w:r>
      <w:r w:rsidR="00C6375F" w:rsidRPr="00C377DC">
        <w:rPr>
          <w:rFonts w:ascii="Book Antiqua" w:hAnsi="Book Antiqua"/>
          <w:i/>
          <w:iCs/>
          <w:color w:val="000000" w:themeColor="text1"/>
        </w:rPr>
        <w:t>espera, período</w:t>
      </w:r>
      <w:r w:rsidRPr="00C377DC">
        <w:rPr>
          <w:rFonts w:ascii="Book Antiqua" w:hAnsi="Book Antiqua"/>
          <w:i/>
          <w:iCs/>
          <w:color w:val="000000" w:themeColor="text1"/>
        </w:rPr>
        <w:t xml:space="preserve"> de gracia aplicable</w:t>
      </w:r>
      <w:r w:rsidR="00C53EF1" w:rsidRPr="00C377DC">
        <w:rPr>
          <w:rFonts w:ascii="Book Antiqua" w:hAnsi="Book Antiqua"/>
          <w:i/>
          <w:iCs/>
          <w:color w:val="000000" w:themeColor="text1"/>
        </w:rPr>
        <w:t>, vigencia renovaciones y cualquier otro término relevante</w:t>
      </w:r>
      <w:r w:rsidRPr="00C377DC">
        <w:rPr>
          <w:rFonts w:ascii="Book Antiqua" w:hAnsi="Book Antiqua"/>
          <w:i/>
          <w:iCs/>
          <w:color w:val="000000" w:themeColor="text1"/>
        </w:rPr>
        <w:t>;</w:t>
      </w:r>
    </w:p>
    <w:p w14:paraId="6A59B911" w14:textId="086A4881" w:rsidR="000A1F2E" w:rsidRPr="00C377DC" w:rsidRDefault="000A1F2E" w:rsidP="000A1F2E">
      <w:pPr>
        <w:pStyle w:val="BodyTextIndent"/>
        <w:spacing w:line="480" w:lineRule="auto"/>
        <w:ind w:left="1155"/>
        <w:rPr>
          <w:rFonts w:ascii="Book Antiqua" w:hAnsi="Book Antiqua"/>
          <w:i/>
          <w:iCs/>
          <w:color w:val="000000" w:themeColor="text1"/>
        </w:rPr>
      </w:pPr>
      <w:r w:rsidRPr="00C377DC">
        <w:rPr>
          <w:rFonts w:ascii="Book Antiqua" w:hAnsi="Book Antiqua"/>
          <w:i/>
          <w:iCs/>
          <w:color w:val="000000" w:themeColor="text1"/>
        </w:rPr>
        <w:t>(c) Límites monetarios, deducibles</w:t>
      </w:r>
      <w:r w:rsidR="00C53EF1" w:rsidRPr="00C377DC">
        <w:rPr>
          <w:rFonts w:ascii="Book Antiqua" w:hAnsi="Book Antiqua"/>
          <w:i/>
          <w:iCs/>
          <w:color w:val="000000" w:themeColor="text1"/>
        </w:rPr>
        <w:t>,</w:t>
      </w:r>
      <w:r w:rsidRPr="00C377DC">
        <w:rPr>
          <w:rFonts w:ascii="Book Antiqua" w:hAnsi="Book Antiqua"/>
          <w:i/>
          <w:iCs/>
          <w:color w:val="000000" w:themeColor="text1"/>
        </w:rPr>
        <w:t xml:space="preserve"> coaseguros</w:t>
      </w:r>
      <w:r w:rsidR="00C53EF1" w:rsidRPr="00C377DC">
        <w:rPr>
          <w:rFonts w:ascii="Book Antiqua" w:hAnsi="Book Antiqua"/>
          <w:i/>
          <w:iCs/>
          <w:color w:val="000000" w:themeColor="text1"/>
        </w:rPr>
        <w:t>, primas y cualquier otro cargo aplicable</w:t>
      </w:r>
      <w:r w:rsidRPr="00C377DC">
        <w:rPr>
          <w:rFonts w:ascii="Book Antiqua" w:hAnsi="Book Antiqua"/>
          <w:i/>
          <w:iCs/>
          <w:color w:val="000000" w:themeColor="text1"/>
        </w:rPr>
        <w:t>;</w:t>
      </w:r>
    </w:p>
    <w:p w14:paraId="7ECACEDF" w14:textId="06C91B7A" w:rsidR="000A1F2E" w:rsidRPr="00C377DC" w:rsidRDefault="000A1F2E" w:rsidP="000A1F2E">
      <w:pPr>
        <w:pStyle w:val="BodyTextIndent"/>
        <w:spacing w:line="480" w:lineRule="auto"/>
        <w:ind w:left="1155"/>
        <w:rPr>
          <w:rFonts w:ascii="Book Antiqua" w:hAnsi="Book Antiqua"/>
          <w:i/>
          <w:iCs/>
          <w:color w:val="000000" w:themeColor="text1"/>
        </w:rPr>
      </w:pPr>
      <w:r w:rsidRPr="00C377DC">
        <w:rPr>
          <w:rFonts w:ascii="Book Antiqua" w:hAnsi="Book Antiqua"/>
          <w:i/>
          <w:iCs/>
          <w:color w:val="000000" w:themeColor="text1"/>
        </w:rPr>
        <w:t xml:space="preserve">(d) Advertencia expresa sobre </w:t>
      </w:r>
      <w:r w:rsidR="00BD20C7" w:rsidRPr="00C377DC">
        <w:rPr>
          <w:rFonts w:ascii="Book Antiqua" w:hAnsi="Book Antiqua"/>
          <w:i/>
          <w:iCs/>
          <w:color w:val="000000" w:themeColor="text1"/>
        </w:rPr>
        <w:t>s</w:t>
      </w:r>
      <w:r w:rsidR="008B0184" w:rsidRPr="00C377DC">
        <w:rPr>
          <w:rFonts w:ascii="Book Antiqua" w:hAnsi="Book Antiqua"/>
          <w:i/>
          <w:iCs/>
          <w:color w:val="000000" w:themeColor="text1"/>
        </w:rPr>
        <w:t xml:space="preserve">cualquier </w:t>
      </w:r>
      <w:r w:rsidRPr="00C377DC">
        <w:rPr>
          <w:rFonts w:ascii="Book Antiqua" w:hAnsi="Book Antiqua"/>
          <w:i/>
          <w:iCs/>
          <w:color w:val="000000" w:themeColor="text1"/>
        </w:rPr>
        <w:t>reducción, eliminación o alteración de beneficios previamente adquiridos;</w:t>
      </w:r>
    </w:p>
    <w:p w14:paraId="5617A451" w14:textId="28239F04" w:rsidR="000A1F2E" w:rsidRPr="00C377DC" w:rsidRDefault="000A1F2E" w:rsidP="000A1F2E">
      <w:pPr>
        <w:pStyle w:val="BodyTextIndent"/>
        <w:spacing w:line="480" w:lineRule="auto"/>
        <w:ind w:left="1155"/>
        <w:rPr>
          <w:rFonts w:ascii="Book Antiqua" w:hAnsi="Book Antiqua"/>
          <w:i/>
          <w:iCs/>
          <w:color w:val="000000" w:themeColor="text1"/>
        </w:rPr>
      </w:pPr>
      <w:r w:rsidRPr="00C377DC">
        <w:rPr>
          <w:rFonts w:ascii="Book Antiqua" w:hAnsi="Book Antiqua"/>
          <w:i/>
          <w:iCs/>
          <w:color w:val="000000" w:themeColor="text1"/>
        </w:rPr>
        <w:t>(e) Impacto de la sustitución o cambio de cubierta en derechos acumulados o en la continuidad de tratamientos</w:t>
      </w:r>
      <w:r w:rsidR="00C53EF1" w:rsidRPr="00C377DC">
        <w:rPr>
          <w:rFonts w:ascii="Book Antiqua" w:hAnsi="Book Antiqua"/>
          <w:i/>
          <w:iCs/>
          <w:color w:val="000000" w:themeColor="text1"/>
        </w:rPr>
        <w:t xml:space="preserve"> o periodos de espera</w:t>
      </w:r>
      <w:r w:rsidR="001C3B09" w:rsidRPr="00C377DC">
        <w:rPr>
          <w:rFonts w:ascii="Book Antiqua" w:hAnsi="Book Antiqua"/>
          <w:i/>
          <w:iCs/>
          <w:color w:val="000000" w:themeColor="text1"/>
        </w:rPr>
        <w:t xml:space="preserve"> </w:t>
      </w:r>
      <w:r w:rsidR="001C3B09" w:rsidRPr="00C377DC">
        <w:rPr>
          <w:i/>
          <w:color w:val="000000" w:themeColor="text1"/>
          <w:u w:val="single"/>
        </w:rPr>
        <w:t>cuando aplique al tipo de póliza</w:t>
      </w:r>
      <w:r w:rsidRPr="00C377DC">
        <w:rPr>
          <w:rFonts w:ascii="Book Antiqua" w:hAnsi="Book Antiqua"/>
          <w:i/>
          <w:iCs/>
          <w:color w:val="000000" w:themeColor="text1"/>
        </w:rPr>
        <w:t>;</w:t>
      </w:r>
    </w:p>
    <w:p w14:paraId="15142492" w14:textId="1FB78DE8" w:rsidR="000A1F2E" w:rsidRPr="00C377DC" w:rsidRDefault="000A1F2E" w:rsidP="000A1F2E">
      <w:pPr>
        <w:pStyle w:val="BodyTextIndent"/>
        <w:spacing w:line="480" w:lineRule="auto"/>
        <w:ind w:left="1155"/>
        <w:rPr>
          <w:rFonts w:ascii="Book Antiqua" w:hAnsi="Book Antiqua"/>
          <w:color w:val="000000" w:themeColor="text1"/>
        </w:rPr>
      </w:pPr>
      <w:r w:rsidRPr="00C377DC">
        <w:rPr>
          <w:rFonts w:ascii="Book Antiqua" w:hAnsi="Book Antiqua"/>
          <w:i/>
          <w:iCs/>
          <w:color w:val="000000" w:themeColor="text1"/>
        </w:rPr>
        <w:t>(f) Procedimientos de reclamación</w:t>
      </w:r>
      <w:r w:rsidR="00BD0F45" w:rsidRPr="00C377DC">
        <w:rPr>
          <w:rFonts w:ascii="Book Antiqua" w:hAnsi="Book Antiqua"/>
          <w:i/>
          <w:iCs/>
          <w:color w:val="000000" w:themeColor="text1"/>
        </w:rPr>
        <w:t xml:space="preserve"> y</w:t>
      </w:r>
      <w:r w:rsidRPr="00C377DC">
        <w:rPr>
          <w:rFonts w:ascii="Book Antiqua" w:hAnsi="Book Antiqua"/>
          <w:i/>
          <w:iCs/>
          <w:color w:val="000000" w:themeColor="text1"/>
        </w:rPr>
        <w:t xml:space="preserve"> términos para presentar</w:t>
      </w:r>
      <w:r w:rsidR="00C53EF1" w:rsidRPr="00C377DC">
        <w:rPr>
          <w:rFonts w:ascii="Book Antiqua" w:hAnsi="Book Antiqua"/>
          <w:i/>
          <w:iCs/>
          <w:color w:val="000000" w:themeColor="text1"/>
        </w:rPr>
        <w:t xml:space="preserve"> reclamaciones</w:t>
      </w:r>
      <w:r w:rsidR="00C53EF1" w:rsidRPr="00C377DC">
        <w:rPr>
          <w:rFonts w:ascii="Book Antiqua" w:hAnsi="Book Antiqua"/>
          <w:i/>
          <w:iCs/>
          <w:strike/>
          <w:color w:val="000000" w:themeColor="text1"/>
        </w:rPr>
        <w:t>.</w:t>
      </w:r>
      <w:r w:rsidR="00637740" w:rsidRPr="00C377DC">
        <w:rPr>
          <w:rFonts w:ascii="Book Antiqua" w:hAnsi="Book Antiqua"/>
          <w:i/>
          <w:iCs/>
          <w:color w:val="000000" w:themeColor="text1"/>
        </w:rPr>
        <w:t xml:space="preserve"> </w:t>
      </w:r>
      <w:r w:rsidR="00634682" w:rsidRPr="00C377DC">
        <w:rPr>
          <w:rFonts w:ascii="Book Antiqua" w:hAnsi="Book Antiqua"/>
          <w:i/>
          <w:iCs/>
          <w:color w:val="000000" w:themeColor="text1"/>
          <w:u w:val="single"/>
        </w:rPr>
        <w:t>;</w:t>
      </w:r>
    </w:p>
    <w:p w14:paraId="24412EA6" w14:textId="5549E417" w:rsidR="00634682" w:rsidRPr="00C377DC" w:rsidRDefault="00FF6371" w:rsidP="00FF6371">
      <w:pPr>
        <w:spacing w:line="480" w:lineRule="auto"/>
        <w:ind w:left="1170"/>
        <w:jc w:val="both"/>
        <w:rPr>
          <w:i/>
          <w:color w:val="000000" w:themeColor="text1"/>
          <w:u w:val="single"/>
        </w:rPr>
      </w:pPr>
      <w:r w:rsidRPr="00C377DC">
        <w:rPr>
          <w:rFonts w:ascii="Book Antiqua" w:hAnsi="Book Antiqua"/>
          <w:i/>
          <w:iCs/>
          <w:color w:val="000000" w:themeColor="text1"/>
          <w:u w:val="single"/>
        </w:rPr>
        <w:t>(g)</w:t>
      </w:r>
      <w:r w:rsidRPr="00C377DC">
        <w:rPr>
          <w:i/>
          <w:color w:val="000000" w:themeColor="text1"/>
          <w:u w:val="single"/>
        </w:rPr>
        <w:t xml:space="preserve"> C</w:t>
      </w:r>
      <w:r w:rsidR="00E77485" w:rsidRPr="00C377DC">
        <w:rPr>
          <w:i/>
          <w:color w:val="000000" w:themeColor="text1"/>
          <w:u w:val="single"/>
        </w:rPr>
        <w:t xml:space="preserve">ubiertas </w:t>
      </w:r>
      <w:r w:rsidR="00E77485" w:rsidRPr="00C377DC">
        <w:rPr>
          <w:i/>
          <w:strike/>
          <w:color w:val="000000" w:themeColor="text1"/>
          <w:u w:val="single"/>
        </w:rPr>
        <w:t>o</w:t>
      </w:r>
      <w:r w:rsidRPr="00C377DC">
        <w:rPr>
          <w:i/>
          <w:strike/>
          <w:color w:val="000000" w:themeColor="text1"/>
          <w:u w:val="single"/>
        </w:rPr>
        <w:t xml:space="preserve">berturas </w:t>
      </w:r>
      <w:r w:rsidRPr="00C377DC">
        <w:rPr>
          <w:i/>
          <w:color w:val="000000" w:themeColor="text1"/>
          <w:u w:val="single"/>
        </w:rPr>
        <w:t>opcionales declinadas por el solicitante o asegurado, cuando aplique al tipo de póliza y línea de seguro.</w:t>
      </w:r>
    </w:p>
    <w:p w14:paraId="126ABA5B" w14:textId="77E18518" w:rsidR="000A1F2E" w:rsidRPr="00C377DC" w:rsidRDefault="00C53EF1" w:rsidP="00B52A05">
      <w:pPr>
        <w:spacing w:line="480" w:lineRule="auto"/>
        <w:ind w:left="720" w:firstLine="450"/>
        <w:jc w:val="both"/>
        <w:rPr>
          <w:strike/>
          <w:color w:val="000000" w:themeColor="text1"/>
        </w:rPr>
      </w:pPr>
      <w:r w:rsidRPr="00C377DC">
        <w:rPr>
          <w:rFonts w:ascii="Book Antiqua" w:hAnsi="Book Antiqua"/>
          <w:i/>
          <w:iCs/>
          <w:color w:val="000000" w:themeColor="text1"/>
        </w:rPr>
        <w:t>En los casos de sustitución o cambio de póliza,</w:t>
      </w:r>
      <w:r w:rsidR="009324AB" w:rsidRPr="00C377DC">
        <w:rPr>
          <w:rFonts w:ascii="Book Antiqua" w:hAnsi="Book Antiqua"/>
          <w:i/>
          <w:iCs/>
          <w:color w:val="000000" w:themeColor="text1"/>
        </w:rPr>
        <w:t xml:space="preserve"> </w:t>
      </w:r>
      <w:r w:rsidRPr="00C377DC">
        <w:rPr>
          <w:rFonts w:ascii="Book Antiqua" w:hAnsi="Book Antiqua"/>
          <w:i/>
          <w:iCs/>
          <w:color w:val="000000" w:themeColor="text1"/>
        </w:rPr>
        <w:t xml:space="preserve">el productor deberá proveer al asegurado un documento comparativo que detalle las diferencias </w:t>
      </w:r>
      <w:r w:rsidRPr="00C377DC">
        <w:rPr>
          <w:rFonts w:ascii="Book Antiqua" w:hAnsi="Book Antiqua"/>
          <w:i/>
          <w:iCs/>
          <w:strike/>
          <w:color w:val="000000" w:themeColor="text1"/>
        </w:rPr>
        <w:t>sustanciales</w:t>
      </w:r>
      <w:r w:rsidRPr="00C377DC">
        <w:rPr>
          <w:rFonts w:ascii="Book Antiqua" w:hAnsi="Book Antiqua"/>
          <w:i/>
          <w:iCs/>
          <w:color w:val="000000" w:themeColor="text1"/>
        </w:rPr>
        <w:t xml:space="preserve"> entre la cubierta vigente y la nueva propuesta, incluyendo, </w:t>
      </w:r>
      <w:r w:rsidRPr="00C377DC">
        <w:rPr>
          <w:rFonts w:ascii="Book Antiqua" w:hAnsi="Book Antiqua"/>
          <w:i/>
          <w:iCs/>
          <w:strike/>
          <w:color w:val="000000" w:themeColor="text1"/>
        </w:rPr>
        <w:t>como mínimo,</w:t>
      </w:r>
      <w:r w:rsidRPr="00C377DC">
        <w:rPr>
          <w:rFonts w:ascii="Book Antiqua" w:hAnsi="Book Antiqua"/>
          <w:i/>
          <w:iCs/>
          <w:color w:val="000000" w:themeColor="text1"/>
        </w:rPr>
        <w:t xml:space="preserve"> cubiertas, exclusiones, límites, deducibles, períodos de espera</w:t>
      </w:r>
      <w:r w:rsidR="00E77485" w:rsidRPr="00C377DC">
        <w:rPr>
          <w:rFonts w:ascii="Book Antiqua" w:hAnsi="Book Antiqua"/>
          <w:i/>
          <w:iCs/>
          <w:color w:val="000000" w:themeColor="text1"/>
        </w:rPr>
        <w:t xml:space="preserve">, </w:t>
      </w:r>
      <w:r w:rsidR="00E77485" w:rsidRPr="00C377DC">
        <w:rPr>
          <w:rFonts w:ascii="Book Antiqua" w:hAnsi="Book Antiqua"/>
          <w:i/>
          <w:iCs/>
          <w:color w:val="000000" w:themeColor="text1"/>
          <w:u w:val="single"/>
        </w:rPr>
        <w:t>requisitos de pruebas médicas adicionales</w:t>
      </w:r>
      <w:r w:rsidR="00E77485" w:rsidRPr="00C377DC">
        <w:rPr>
          <w:rFonts w:ascii="Book Antiqua" w:hAnsi="Book Antiqua"/>
          <w:i/>
          <w:iCs/>
          <w:color w:val="000000" w:themeColor="text1"/>
        </w:rPr>
        <w:t>,</w:t>
      </w:r>
      <w:r w:rsidRPr="00C377DC">
        <w:rPr>
          <w:rFonts w:ascii="Book Antiqua" w:hAnsi="Book Antiqua"/>
          <w:i/>
          <w:iCs/>
          <w:color w:val="000000" w:themeColor="text1"/>
        </w:rPr>
        <w:t xml:space="preserve"> y cualquier variación que pueda afectar derechos adquiridos.</w:t>
      </w:r>
      <w:r w:rsidR="004A4F73" w:rsidRPr="00C377DC">
        <w:rPr>
          <w:rFonts w:ascii="Book Antiqua" w:hAnsi="Book Antiqua"/>
          <w:i/>
          <w:iCs/>
          <w:color w:val="000000" w:themeColor="text1"/>
        </w:rPr>
        <w:t xml:space="preserve"> </w:t>
      </w:r>
    </w:p>
    <w:p w14:paraId="237BE2FE" w14:textId="0FFCB3D8" w:rsidR="000A1F2E" w:rsidRPr="00C377DC" w:rsidRDefault="000A1F2E" w:rsidP="00B52A05">
      <w:pPr>
        <w:pStyle w:val="BodyTextIndent"/>
        <w:spacing w:line="480" w:lineRule="auto"/>
        <w:ind w:firstLine="435"/>
        <w:rPr>
          <w:i/>
          <w:strike/>
          <w:color w:val="000000" w:themeColor="text1"/>
          <w:u w:val="single"/>
        </w:rPr>
      </w:pPr>
      <w:r w:rsidRPr="00C377DC">
        <w:rPr>
          <w:rFonts w:ascii="Book Antiqua" w:hAnsi="Book Antiqua"/>
          <w:i/>
          <w:iCs/>
          <w:color w:val="000000" w:themeColor="text1"/>
        </w:rPr>
        <w:lastRenderedPageBreak/>
        <w:t xml:space="preserve">El productor </w:t>
      </w:r>
      <w:r w:rsidR="00E77485" w:rsidRPr="00C377DC">
        <w:rPr>
          <w:rFonts w:ascii="Book Antiqua" w:hAnsi="Book Antiqua"/>
          <w:i/>
          <w:iCs/>
          <w:color w:val="000000" w:themeColor="text1"/>
          <w:u w:val="single"/>
        </w:rPr>
        <w:t>o representante autorizado</w:t>
      </w:r>
      <w:r w:rsidR="00E77485" w:rsidRPr="00C377DC">
        <w:rPr>
          <w:rFonts w:ascii="Book Antiqua" w:hAnsi="Book Antiqua"/>
          <w:i/>
          <w:iCs/>
          <w:color w:val="000000" w:themeColor="text1"/>
        </w:rPr>
        <w:t xml:space="preserve"> </w:t>
      </w:r>
      <w:r w:rsidRPr="00C377DC">
        <w:rPr>
          <w:rFonts w:ascii="Book Antiqua" w:hAnsi="Book Antiqua"/>
          <w:i/>
          <w:iCs/>
          <w:color w:val="000000" w:themeColor="text1"/>
        </w:rPr>
        <w:t>deberá obtener confirmación escrita o electrónica del asegurado acreditando que recibió la orientación requerida, la cual formará parte</w:t>
      </w:r>
      <w:r w:rsidR="00637740" w:rsidRPr="00C377DC">
        <w:rPr>
          <w:rFonts w:ascii="Book Antiqua" w:hAnsi="Book Antiqua"/>
          <w:i/>
          <w:iCs/>
          <w:color w:val="000000" w:themeColor="text1"/>
        </w:rPr>
        <w:t xml:space="preserve"> de su expediente</w:t>
      </w:r>
      <w:r w:rsidR="00E77485" w:rsidRPr="00C377DC">
        <w:rPr>
          <w:rFonts w:ascii="Book Antiqua" w:hAnsi="Book Antiqua"/>
          <w:i/>
          <w:iCs/>
          <w:color w:val="000000" w:themeColor="text1"/>
        </w:rPr>
        <w:t xml:space="preserve"> </w:t>
      </w:r>
      <w:r w:rsidR="00E77485" w:rsidRPr="00C377DC">
        <w:rPr>
          <w:rFonts w:ascii="Book Antiqua" w:hAnsi="Book Antiqua"/>
          <w:i/>
          <w:iCs/>
          <w:color w:val="000000" w:themeColor="text1"/>
          <w:u w:val="single"/>
        </w:rPr>
        <w:t>del trámite de la póliza</w:t>
      </w:r>
      <w:r w:rsidRPr="00C377DC">
        <w:rPr>
          <w:rFonts w:ascii="Book Antiqua" w:hAnsi="Book Antiqua"/>
          <w:i/>
          <w:iCs/>
          <w:color w:val="000000" w:themeColor="text1"/>
        </w:rPr>
        <w:t>.</w:t>
      </w:r>
      <w:r w:rsidR="008965EA" w:rsidRPr="00C377DC">
        <w:rPr>
          <w:i/>
          <w:color w:val="000000" w:themeColor="text1"/>
          <w:u w:val="single"/>
        </w:rPr>
        <w:t xml:space="preserve"> Se reconocerá como confirmación válida la firma física, la firma electrónica,</w:t>
      </w:r>
      <w:r w:rsidR="008B0184" w:rsidRPr="00C377DC">
        <w:rPr>
          <w:i/>
          <w:color w:val="000000" w:themeColor="text1"/>
          <w:u w:val="single"/>
        </w:rPr>
        <w:t xml:space="preserve"> expresando su conformidad con los términos y condiciones de la póliz</w:t>
      </w:r>
      <w:r w:rsidR="00242E49" w:rsidRPr="00C377DC">
        <w:rPr>
          <w:i/>
          <w:color w:val="000000" w:themeColor="text1"/>
          <w:u w:val="single"/>
        </w:rPr>
        <w:t>a</w:t>
      </w:r>
      <w:r w:rsidR="008965EA" w:rsidRPr="00C377DC">
        <w:rPr>
          <w:i/>
          <w:color w:val="000000" w:themeColor="text1"/>
          <w:u w:val="single"/>
        </w:rPr>
        <w:t xml:space="preserve"> luego de recibida y documentada la orientación. Cuando el asegurado, habiendo recibido la orientación, no </w:t>
      </w:r>
      <w:r w:rsidR="00BD20C7" w:rsidRPr="00C377DC">
        <w:rPr>
          <w:i/>
          <w:color w:val="000000" w:themeColor="text1"/>
          <w:u w:val="single"/>
        </w:rPr>
        <w:t xml:space="preserve">la </w:t>
      </w:r>
      <w:r w:rsidR="008965EA" w:rsidRPr="00C377DC">
        <w:rPr>
          <w:i/>
          <w:color w:val="000000" w:themeColor="text1"/>
          <w:u w:val="single"/>
        </w:rPr>
        <w:t>complete oportunamente</w:t>
      </w:r>
      <w:r w:rsidR="00242E49" w:rsidRPr="00C377DC">
        <w:rPr>
          <w:i/>
          <w:color w:val="000000" w:themeColor="text1"/>
          <w:u w:val="single"/>
        </w:rPr>
        <w:t xml:space="preserve"> la confirmación</w:t>
      </w:r>
      <w:r w:rsidR="008965EA" w:rsidRPr="00C377DC">
        <w:rPr>
          <w:i/>
          <w:color w:val="000000" w:themeColor="text1"/>
          <w:u w:val="single"/>
        </w:rPr>
        <w:t>, el productor document</w:t>
      </w:r>
      <w:r w:rsidR="00242E49" w:rsidRPr="00C377DC">
        <w:rPr>
          <w:i/>
          <w:color w:val="000000" w:themeColor="text1"/>
          <w:u w:val="single"/>
        </w:rPr>
        <w:t>ará</w:t>
      </w:r>
      <w:r w:rsidR="008965EA" w:rsidRPr="00C377DC">
        <w:rPr>
          <w:i/>
          <w:color w:val="000000" w:themeColor="text1"/>
          <w:u w:val="single"/>
        </w:rPr>
        <w:t xml:space="preserve"> en el expediente el ofrecimiento de la orientación</w:t>
      </w:r>
      <w:r w:rsidR="00242E49" w:rsidRPr="00C377DC">
        <w:rPr>
          <w:i/>
          <w:color w:val="000000" w:themeColor="text1"/>
          <w:u w:val="single"/>
        </w:rPr>
        <w:t>.</w:t>
      </w:r>
      <w:r w:rsidR="008965EA" w:rsidRPr="00C377DC">
        <w:rPr>
          <w:i/>
          <w:strike/>
          <w:color w:val="000000" w:themeColor="text1"/>
          <w:u w:val="single"/>
        </w:rPr>
        <w:t xml:space="preserve"> </w:t>
      </w:r>
    </w:p>
    <w:p w14:paraId="71DAC790" w14:textId="493829B9" w:rsidR="006272D9" w:rsidRPr="00C377DC" w:rsidRDefault="006272D9" w:rsidP="006272D9">
      <w:pPr>
        <w:spacing w:line="480" w:lineRule="auto"/>
        <w:ind w:left="720" w:firstLine="435"/>
        <w:jc w:val="both"/>
        <w:rPr>
          <w:i/>
          <w:color w:val="000000" w:themeColor="text1"/>
          <w:u w:val="single"/>
        </w:rPr>
      </w:pPr>
      <w:r w:rsidRPr="00C377DC">
        <w:rPr>
          <w:i/>
          <w:color w:val="000000" w:themeColor="text1"/>
          <w:u w:val="single"/>
        </w:rPr>
        <w:t>El productor, representante autorizado u apoderado, deberá cumplir con los siguientes deberes con su cliente o asegurado dentro de su trámite del negocio de seguros o fianzas, según sea el caso</w:t>
      </w:r>
      <w:r w:rsidR="00BD20C7" w:rsidRPr="00C377DC">
        <w:rPr>
          <w:i/>
          <w:color w:val="000000" w:themeColor="text1"/>
          <w:u w:val="single"/>
        </w:rPr>
        <w:t>, sin limitarse a lo siguiente</w:t>
      </w:r>
      <w:r w:rsidRPr="00C377DC">
        <w:rPr>
          <w:i/>
          <w:color w:val="000000" w:themeColor="text1"/>
          <w:u w:val="single"/>
        </w:rPr>
        <w:t>:</w:t>
      </w:r>
    </w:p>
    <w:p w14:paraId="7126DFD0" w14:textId="2E864BD9"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(a)</w:t>
      </w:r>
      <w:r w:rsidRPr="00C377DC">
        <w:rPr>
          <w:color w:val="000000" w:themeColor="text1"/>
        </w:rPr>
        <w:t xml:space="preserve"> </w:t>
      </w:r>
      <w:r w:rsidRPr="00C377DC">
        <w:rPr>
          <w:rFonts w:ascii="Book Antiqua" w:hAnsi="Book Antiqua"/>
          <w:i/>
          <w:iCs/>
          <w:color w:val="000000" w:themeColor="text1"/>
          <w:u w:val="single"/>
        </w:rPr>
        <w:t>El productor</w:t>
      </w:r>
      <w:r w:rsidR="00364A91" w:rsidRPr="00C377DC">
        <w:rPr>
          <w:rFonts w:ascii="Book Antiqua" w:hAnsi="Book Antiqua"/>
          <w:i/>
          <w:iCs/>
          <w:color w:val="000000" w:themeColor="text1"/>
          <w:u w:val="single"/>
        </w:rPr>
        <w:t xml:space="preserve"> y el representante autorizado</w:t>
      </w:r>
      <w:r w:rsidRPr="00C377DC">
        <w:rPr>
          <w:rFonts w:ascii="Book Antiqua" w:hAnsi="Book Antiqua"/>
          <w:i/>
          <w:iCs/>
          <w:color w:val="000000" w:themeColor="text1"/>
          <w:u w:val="single"/>
        </w:rPr>
        <w:t xml:space="preserve"> 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reunirse con el cliente previo a la colocación del riesgo, a los fines de evaluar la naturaleza del riesgo, el interés asegurable y las necesidades razonables de cobertura, conforme a la información provista por el asegurado.</w:t>
      </w:r>
    </w:p>
    <w:p w14:paraId="7B651C2E" w14:textId="4016E38F"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(b) </w:t>
      </w:r>
      <w:r w:rsidR="00364A91" w:rsidRPr="00C377DC">
        <w:rPr>
          <w:rFonts w:ascii="Book Antiqua" w:hAnsi="Book Antiqua"/>
          <w:i/>
          <w:iCs/>
          <w:color w:val="000000" w:themeColor="text1"/>
          <w:u w:val="single"/>
        </w:rPr>
        <w:t xml:space="preserve">El producto y el representante autorizado </w:t>
      </w:r>
      <w:r w:rsidR="00070DA0" w:rsidRPr="00C377DC">
        <w:rPr>
          <w:rFonts w:ascii="Book Antiqua" w:hAnsi="Book Antiqua"/>
          <w:i/>
          <w:iCs/>
          <w:color w:val="000000" w:themeColor="text1"/>
          <w:u w:val="single"/>
        </w:rPr>
        <w:t xml:space="preserve">deberán </w:t>
      </w:r>
      <w:r w:rsidR="00364A91" w:rsidRPr="00C377DC">
        <w:rPr>
          <w:rFonts w:ascii="Book Antiqua" w:hAnsi="Book Antiqua"/>
          <w:i/>
          <w:iCs/>
          <w:color w:val="000000" w:themeColor="text1"/>
          <w:u w:val="single"/>
        </w:rPr>
        <w:t>s</w:t>
      </w:r>
      <w:r w:rsidRPr="00C377DC">
        <w:rPr>
          <w:rFonts w:ascii="Book Antiqua" w:hAnsi="Book Antiqua"/>
          <w:i/>
          <w:iCs/>
          <w:color w:val="000000" w:themeColor="text1"/>
          <w:u w:val="single"/>
        </w:rPr>
        <w:t>olicita</w:t>
      </w:r>
      <w:r w:rsidR="00070DA0" w:rsidRPr="00C377DC">
        <w:rPr>
          <w:rFonts w:ascii="Book Antiqua" w:hAnsi="Book Antiqua"/>
          <w:i/>
          <w:iCs/>
          <w:color w:val="000000" w:themeColor="text1"/>
          <w:u w:val="single"/>
        </w:rPr>
        <w:t>r</w:t>
      </w:r>
      <w:r w:rsidRPr="00C377DC">
        <w:rPr>
          <w:rFonts w:ascii="Book Antiqua" w:hAnsi="Book Antiqua"/>
          <w:i/>
          <w:iCs/>
          <w:color w:val="000000" w:themeColor="text1"/>
          <w:u w:val="single"/>
        </w:rPr>
        <w:t xml:space="preserve"> autorización expresa del cliente respecto a si desea que su riesgo sea mercadeado, debiendo documentar dicha autorización de manera razonable en el expediente de su negocio de seguros.</w:t>
      </w:r>
    </w:p>
    <w:p w14:paraId="70F70705" w14:textId="06F40039"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(c)</w:t>
      </w:r>
      <w:r w:rsidRPr="00C377DC">
        <w:rPr>
          <w:rFonts w:ascii="Book Antiqua" w:hAnsi="Book Antiqua"/>
          <w:i/>
          <w:iCs/>
          <w:color w:val="000000" w:themeColor="text1"/>
          <w:u w:val="single"/>
        </w:rPr>
        <w:tab/>
        <w:t>En aquellos casos en que el riesgo deba ser colocado en el mercado de líneas excedentes, el productor</w:t>
      </w:r>
      <w:r w:rsidR="00364A91" w:rsidRPr="00C377DC">
        <w:rPr>
          <w:color w:val="000000" w:themeColor="text1"/>
        </w:rPr>
        <w:t xml:space="preserve"> </w:t>
      </w:r>
      <w:r w:rsidR="00364A91" w:rsidRPr="00C377DC">
        <w:rPr>
          <w:rFonts w:ascii="Book Antiqua" w:hAnsi="Book Antiqua"/>
          <w:i/>
          <w:iCs/>
          <w:color w:val="000000" w:themeColor="text1"/>
          <w:u w:val="single"/>
        </w:rPr>
        <w:t>y el representante autorizado</w:t>
      </w:r>
      <w:r w:rsidRPr="00C377DC">
        <w:rPr>
          <w:rFonts w:ascii="Book Antiqua" w:hAnsi="Book Antiqua"/>
          <w:i/>
          <w:iCs/>
          <w:color w:val="000000" w:themeColor="text1"/>
          <w:u w:val="single"/>
        </w:rPr>
        <w:t xml:space="preserve"> deberá</w:t>
      </w:r>
      <w:r w:rsidR="00070DA0"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informar claramente al cliente la aplicación del impuesto correspondiente requerido por la Oficina del Comisionado de Seguros, así como el hecho de que la póliza no estará cubierta por la Asociación de Garantía de Seguros Misceláneos, además de cualquier otra implicación material relacionada con la protección del consumidor.</w:t>
      </w:r>
    </w:p>
    <w:p w14:paraId="4FD543D3" w14:textId="6D812C2B"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lastRenderedPageBreak/>
        <w:t xml:space="preserve">(d) </w:t>
      </w:r>
      <w:r w:rsidR="00364A91" w:rsidRPr="00C377DC">
        <w:rPr>
          <w:rFonts w:ascii="Book Antiqua" w:hAnsi="Book Antiqua"/>
          <w:i/>
          <w:iCs/>
          <w:color w:val="000000" w:themeColor="text1"/>
          <w:u w:val="single"/>
        </w:rPr>
        <w:t xml:space="preserve">El productor 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aclarar que la determinación del valor asegurable recae en el asegurado. No obstante, el productor </w:t>
      </w:r>
      <w:r w:rsidR="00070DA0"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070DA0"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orientar al cliente, basado en la información disponible, sobre la importancia de establecer adecuadamente dicho valor, incluyendo la conveniencia de tasaciones o estimaciones de reconstrucción, así como los riesgos de una cubierta insuficiente o por encima del valor real del bien.</w:t>
      </w:r>
    </w:p>
    <w:p w14:paraId="4397DCFB" w14:textId="52C7D70B"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(e)</w:t>
      </w:r>
      <w:r w:rsidRPr="00C377DC">
        <w:rPr>
          <w:rFonts w:ascii="Book Antiqua" w:hAnsi="Book Antiqua"/>
          <w:i/>
          <w:iCs/>
          <w:color w:val="000000" w:themeColor="text1"/>
          <w:u w:val="single"/>
        </w:rPr>
        <w:tab/>
        <w:t xml:space="preserve">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advertir al asegurado que la información provista debe ser veraz y completa y que cualquier omisión o representación falsa de información por parte del cliente o asegurado puede conllevar consecuencias legales o la denegación de una reclamación.</w:t>
      </w:r>
    </w:p>
    <w:p w14:paraId="34054F2B" w14:textId="0D2263B6"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(f)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proveer al cliente, un detalle de las cotizaciones que tramitó para el cliente, incluyendo cubiertas, términos, condiciones, exclusiones, costos, límites, deducibles y obligaciones del asegurado.</w:t>
      </w:r>
    </w:p>
    <w:p w14:paraId="4ABAF11F" w14:textId="1AB48660"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(g)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informar al cliente la identidad del asegurador que asumió el riesgo cubierto por la póliza, así como proveerle la información de contacto necesaria para comunicarse con dicho asegurador.</w:t>
      </w:r>
    </w:p>
    <w:p w14:paraId="00C11D90" w14:textId="01BFA635"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(h)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orientar al cliente, en la medida razonable y basado en información pública disponible, sobre la condición general del asegurador propuesto, incluyendo, sin limitarse a, su solvencia, informes de acreditación de casas acreditadoras tales como AM Best, y detallar el capital que posee la aseguradora para afrontar cualquier pérdida, sin que ello constituya una garantía </w:t>
      </w:r>
      <w:r w:rsidRPr="00C377DC">
        <w:rPr>
          <w:rFonts w:ascii="Book Antiqua" w:hAnsi="Book Antiqua"/>
          <w:i/>
          <w:iCs/>
          <w:color w:val="000000" w:themeColor="text1"/>
          <w:u w:val="single"/>
        </w:rPr>
        <w:lastRenderedPageBreak/>
        <w:t xml:space="preserve">sobre el desempeño del asegurador ni una evaluación independiente de solvencia por parte del productor. </w:t>
      </w:r>
    </w:p>
    <w:p w14:paraId="0B97D4FD" w14:textId="0719DEBB"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(i)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informar al cliente la comisión</w:t>
      </w:r>
      <w:r w:rsidR="002B731B" w:rsidRPr="00C377DC">
        <w:rPr>
          <w:rFonts w:ascii="Book Antiqua" w:hAnsi="Book Antiqua"/>
          <w:i/>
          <w:iCs/>
          <w:color w:val="000000" w:themeColor="text1"/>
          <w:u w:val="single"/>
        </w:rPr>
        <w:t xml:space="preserve"> </w:t>
      </w:r>
      <w:r w:rsidRPr="00C377DC">
        <w:rPr>
          <w:rFonts w:ascii="Book Antiqua" w:hAnsi="Book Antiqua"/>
          <w:i/>
          <w:iCs/>
          <w:color w:val="000000" w:themeColor="text1"/>
          <w:u w:val="single"/>
        </w:rPr>
        <w:t>que devengar</w:t>
      </w:r>
      <w:r w:rsidR="002B731B" w:rsidRPr="00C377DC">
        <w:rPr>
          <w:rFonts w:ascii="Book Antiqua" w:hAnsi="Book Antiqua"/>
          <w:i/>
          <w:iCs/>
          <w:color w:val="000000" w:themeColor="text1"/>
          <w:u w:val="single"/>
        </w:rPr>
        <w:t>án</w:t>
      </w:r>
      <w:r w:rsidRPr="00C377DC">
        <w:rPr>
          <w:rFonts w:ascii="Book Antiqua" w:hAnsi="Book Antiqua"/>
          <w:i/>
          <w:iCs/>
          <w:color w:val="000000" w:themeColor="text1"/>
          <w:u w:val="single"/>
        </w:rPr>
        <w:t xml:space="preserve"> de la gestión de la colocación del seguro</w:t>
      </w:r>
      <w:r w:rsidR="002B731B" w:rsidRPr="00C377DC">
        <w:rPr>
          <w:rFonts w:ascii="Book Antiqua" w:hAnsi="Book Antiqua"/>
          <w:i/>
          <w:iCs/>
          <w:color w:val="000000" w:themeColor="text1"/>
          <w:u w:val="single"/>
        </w:rPr>
        <w:t>,</w:t>
      </w:r>
      <w:r w:rsidRPr="00C377DC">
        <w:rPr>
          <w:rFonts w:ascii="Book Antiqua" w:hAnsi="Book Antiqua"/>
          <w:i/>
          <w:iCs/>
          <w:color w:val="000000" w:themeColor="text1"/>
          <w:u w:val="single"/>
        </w:rPr>
        <w:t xml:space="preserve"> y que no posee algún </w:t>
      </w:r>
      <w:r w:rsidR="002B731B" w:rsidRPr="00C377DC">
        <w:rPr>
          <w:rFonts w:ascii="Book Antiqua" w:hAnsi="Book Antiqua"/>
          <w:i/>
          <w:iCs/>
          <w:color w:val="000000" w:themeColor="text1"/>
          <w:u w:val="single"/>
        </w:rPr>
        <w:t xml:space="preserve">interés adicional o </w:t>
      </w:r>
      <w:r w:rsidRPr="00C377DC">
        <w:rPr>
          <w:rFonts w:ascii="Book Antiqua" w:hAnsi="Book Antiqua"/>
          <w:i/>
          <w:iCs/>
          <w:color w:val="000000" w:themeColor="text1"/>
          <w:u w:val="single"/>
        </w:rPr>
        <w:t>conflicto de interés con la colocación del seguro.</w:t>
      </w:r>
    </w:p>
    <w:p w14:paraId="5AD29FD0" w14:textId="273289F5"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(j)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no podrá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reducir, ceder o compartir su comisión, directa o indirectamente, con el cliente o con cualquier tercero, cuando ello tenga el efecto o propósito de constituir una rebaja o incentivo para obtener, renovar o retener un negocio de seguros, conforme a las prohibiciones aplicables del Capítulo 27 de este Código.</w:t>
      </w:r>
    </w:p>
    <w:p w14:paraId="5D49D2DA" w14:textId="22F66D91"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(k)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asistir al cliente con cualquier reclamación que dicho cliente interese someter ante el asegurador, incluyendo orientación sobre la forma de presentarla, los documentos requeridos y los pasos aplicables al trámite de la reclamación.</w:t>
      </w:r>
    </w:p>
    <w:p w14:paraId="742AE715" w14:textId="70A83AF6"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(l) Previo a la sustitución de una póliza, el productor o representante autorizado deberá orientar por escrito al cliente sobre: </w:t>
      </w:r>
    </w:p>
    <w:p w14:paraId="2CF0146E" w14:textId="73C53813" w:rsidR="006272D9" w:rsidRPr="00C377DC" w:rsidRDefault="006272D9" w:rsidP="006272D9">
      <w:pPr>
        <w:spacing w:line="480" w:lineRule="auto"/>
        <w:ind w:left="1440"/>
        <w:jc w:val="both"/>
        <w:rPr>
          <w:rFonts w:ascii="Book Antiqua" w:hAnsi="Book Antiqua"/>
          <w:i/>
          <w:iCs/>
          <w:color w:val="000000" w:themeColor="text1"/>
          <w:u w:val="single"/>
        </w:rPr>
      </w:pPr>
      <w:r w:rsidRPr="00C377DC">
        <w:rPr>
          <w:rFonts w:ascii="Book Antiqua" w:hAnsi="Book Antiqua"/>
          <w:i/>
          <w:iCs/>
          <w:color w:val="000000" w:themeColor="text1"/>
          <w:u w:val="single"/>
        </w:rPr>
        <w:t>1.</w:t>
      </w:r>
      <w:r w:rsidR="00364A91" w:rsidRPr="00C377DC">
        <w:rPr>
          <w:rFonts w:ascii="Book Antiqua" w:hAnsi="Book Antiqua"/>
          <w:i/>
          <w:iCs/>
          <w:color w:val="000000" w:themeColor="text1"/>
          <w:u w:val="single"/>
        </w:rPr>
        <w:t xml:space="preserve"> </w:t>
      </w:r>
      <w:r w:rsidRPr="00C377DC">
        <w:rPr>
          <w:rFonts w:ascii="Book Antiqua" w:hAnsi="Book Antiqua"/>
          <w:i/>
          <w:iCs/>
          <w:color w:val="000000" w:themeColor="text1"/>
          <w:u w:val="single"/>
        </w:rPr>
        <w:t>las consecuencias del cambio, incluyendo variaciones en cubiertas, exclusiones, limitaciones o beneficios;</w:t>
      </w:r>
    </w:p>
    <w:p w14:paraId="114C86EC" w14:textId="228A219C" w:rsidR="006272D9" w:rsidRPr="00C377DC" w:rsidRDefault="006272D9" w:rsidP="006272D9">
      <w:pPr>
        <w:spacing w:line="480" w:lineRule="auto"/>
        <w:ind w:left="1440"/>
        <w:jc w:val="both"/>
        <w:rPr>
          <w:rFonts w:ascii="Book Antiqua" w:hAnsi="Book Antiqua"/>
          <w:i/>
          <w:iCs/>
          <w:color w:val="000000" w:themeColor="text1"/>
          <w:u w:val="single"/>
        </w:rPr>
      </w:pPr>
      <w:r w:rsidRPr="00C377DC">
        <w:rPr>
          <w:rFonts w:ascii="Book Antiqua" w:hAnsi="Book Antiqua"/>
          <w:i/>
          <w:iCs/>
          <w:color w:val="000000" w:themeColor="text1"/>
          <w:u w:val="single"/>
        </w:rPr>
        <w:t>2.</w:t>
      </w:r>
      <w:r w:rsidR="00364A91" w:rsidRPr="00C377DC">
        <w:rPr>
          <w:rFonts w:ascii="Book Antiqua" w:hAnsi="Book Antiqua"/>
          <w:i/>
          <w:iCs/>
          <w:color w:val="000000" w:themeColor="text1"/>
          <w:u w:val="single"/>
        </w:rPr>
        <w:t xml:space="preserve"> </w:t>
      </w:r>
      <w:r w:rsidRPr="00C377DC">
        <w:rPr>
          <w:rFonts w:ascii="Book Antiqua" w:hAnsi="Book Antiqua"/>
          <w:i/>
          <w:iCs/>
          <w:color w:val="000000" w:themeColor="text1"/>
          <w:u w:val="single"/>
        </w:rPr>
        <w:t>las consecuencias en el manejo o cómo reportar reclamaciones;</w:t>
      </w:r>
    </w:p>
    <w:p w14:paraId="3FE0BFBC" w14:textId="4C2D5E4C" w:rsidR="006272D9" w:rsidRPr="00C377DC" w:rsidRDefault="006272D9" w:rsidP="006272D9">
      <w:pPr>
        <w:spacing w:line="480" w:lineRule="auto"/>
        <w:ind w:left="1440"/>
        <w:jc w:val="both"/>
        <w:rPr>
          <w:rFonts w:ascii="Book Antiqua" w:hAnsi="Book Antiqua"/>
          <w:i/>
          <w:iCs/>
          <w:color w:val="000000" w:themeColor="text1"/>
          <w:u w:val="single"/>
        </w:rPr>
      </w:pPr>
      <w:r w:rsidRPr="00C377DC">
        <w:rPr>
          <w:rFonts w:ascii="Book Antiqua" w:hAnsi="Book Antiqua"/>
          <w:i/>
          <w:iCs/>
          <w:color w:val="000000" w:themeColor="text1"/>
          <w:u w:val="single"/>
        </w:rPr>
        <w:t>3.</w:t>
      </w:r>
      <w:r w:rsidR="00364A91" w:rsidRPr="00C377DC">
        <w:rPr>
          <w:rFonts w:ascii="Book Antiqua" w:hAnsi="Book Antiqua"/>
          <w:i/>
          <w:iCs/>
          <w:color w:val="000000" w:themeColor="text1"/>
          <w:u w:val="single"/>
        </w:rPr>
        <w:t xml:space="preserve"> </w:t>
      </w:r>
      <w:r w:rsidRPr="00C377DC">
        <w:rPr>
          <w:rFonts w:ascii="Book Antiqua" w:hAnsi="Book Antiqua"/>
          <w:i/>
          <w:iCs/>
          <w:color w:val="000000" w:themeColor="text1"/>
          <w:u w:val="single"/>
        </w:rPr>
        <w:t>el impacto en la necesidad de un nuevo examen médico, condiciones o posibles denegaciones de cubiertas; y,</w:t>
      </w:r>
    </w:p>
    <w:p w14:paraId="2C286B63" w14:textId="7AFF560F" w:rsidR="006272D9" w:rsidRPr="00C377DC" w:rsidRDefault="006272D9" w:rsidP="006272D9">
      <w:pPr>
        <w:spacing w:line="480" w:lineRule="auto"/>
        <w:ind w:left="1440"/>
        <w:jc w:val="both"/>
        <w:rPr>
          <w:rFonts w:ascii="Book Antiqua" w:hAnsi="Book Antiqua"/>
          <w:i/>
          <w:iCs/>
          <w:color w:val="000000" w:themeColor="text1"/>
          <w:u w:val="single"/>
        </w:rPr>
      </w:pPr>
      <w:r w:rsidRPr="00C377DC">
        <w:rPr>
          <w:rFonts w:ascii="Book Antiqua" w:hAnsi="Book Antiqua"/>
          <w:i/>
          <w:iCs/>
          <w:color w:val="000000" w:themeColor="text1"/>
          <w:u w:val="single"/>
        </w:rPr>
        <w:lastRenderedPageBreak/>
        <w:t>4.</w:t>
      </w:r>
      <w:r w:rsidR="00364A91" w:rsidRPr="00C377DC">
        <w:rPr>
          <w:rFonts w:ascii="Book Antiqua" w:hAnsi="Book Antiqua"/>
          <w:i/>
          <w:iCs/>
          <w:color w:val="000000" w:themeColor="text1"/>
          <w:u w:val="single"/>
        </w:rPr>
        <w:t xml:space="preserve"> </w:t>
      </w:r>
      <w:r w:rsidRPr="00C377DC">
        <w:rPr>
          <w:rFonts w:ascii="Book Antiqua" w:hAnsi="Book Antiqua"/>
          <w:i/>
          <w:iCs/>
          <w:color w:val="000000" w:themeColor="text1"/>
          <w:u w:val="single"/>
        </w:rPr>
        <w:t>orientar sobre aspectos básicos del manejo de cómo reportar reclamaciones, incluyendo las diferencias entre pólizas de occurencia o “claims-made”, lapsos aplicables a pólizas de vida, así como las consecuencias de no reportar una reclamación o una reclamación potencial dentro del término dispuesto en la póliza.</w:t>
      </w:r>
    </w:p>
    <w:p w14:paraId="25AC7182" w14:textId="35B38152"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(m)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0528F0"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informar claramente las obligaciones de pago del asegurado y las consecuencias de su incumplimiento. </w:t>
      </w:r>
    </w:p>
    <w:p w14:paraId="638B5913" w14:textId="51072FB2"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(n) En el caso de seguros de vida y anualidades,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evaluar, basado en la información provista por el cliente, si el producto es consistente con la información y objetivos provistos por el cliente y el producto recomendado, considerando factores tales como edad, situación financiera, objetivos de protección o inversión, horizonte temporal y necesidades de liquidez.</w:t>
      </w:r>
    </w:p>
    <w:p w14:paraId="73E5075D" w14:textId="471FF713"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(o) El productor</w:t>
      </w:r>
      <w:r w:rsidR="00364A91" w:rsidRPr="00C377DC">
        <w:rPr>
          <w:color w:val="000000" w:themeColor="text1"/>
        </w:rPr>
        <w:t xml:space="preserve"> </w:t>
      </w:r>
      <w:r w:rsidR="00364A91" w:rsidRPr="00C377DC">
        <w:rPr>
          <w:rFonts w:ascii="Book Antiqua" w:hAnsi="Book Antiqua"/>
          <w:i/>
          <w:iCs/>
          <w:color w:val="000000" w:themeColor="text1"/>
          <w:u w:val="single"/>
        </w:rPr>
        <w:t>y el representante autorizado</w:t>
      </w:r>
      <w:r w:rsidRPr="00C377DC">
        <w:rPr>
          <w:rFonts w:ascii="Book Antiqua" w:hAnsi="Book Antiqua"/>
          <w:i/>
          <w:iCs/>
          <w:color w:val="000000" w:themeColor="text1"/>
          <w:u w:val="single"/>
        </w:rPr>
        <w:t xml:space="preserve"> deberá</w:t>
      </w:r>
      <w:r w:rsidR="000528F0"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explicar la naturaleza del producto, incluyendo si se trata de un seguro de vida tradicional, universal, variable o una anualidad fija, indexada o variable, así como sus características principales, beneficios y limitaciones.</w:t>
      </w:r>
    </w:p>
    <w:p w14:paraId="34587658" w14:textId="7B3ED8CD"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(p)El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divulgar claramente cargos aplicables, incluyendo cargos por rescate</w:t>
      </w:r>
      <w:r w:rsidR="008467FD" w:rsidRPr="00C377DC">
        <w:rPr>
          <w:rFonts w:ascii="Book Antiqua" w:hAnsi="Book Antiqua"/>
          <w:i/>
          <w:iCs/>
          <w:color w:val="000000" w:themeColor="text1"/>
          <w:u w:val="single"/>
        </w:rPr>
        <w:t xml:space="preserve"> o cargos por cancelación</w:t>
      </w:r>
      <w:r w:rsidRPr="00C377DC">
        <w:rPr>
          <w:rFonts w:ascii="Book Antiqua" w:hAnsi="Book Antiqua"/>
          <w:i/>
          <w:iCs/>
          <w:color w:val="000000" w:themeColor="text1"/>
          <w:u w:val="single"/>
        </w:rPr>
        <w:t>, penalidades por retiros anticipados, periodos de acumulación y restricciones de liquidez.</w:t>
      </w:r>
    </w:p>
    <w:p w14:paraId="40C0D5AD" w14:textId="3AC95180"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(q)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orientar sobre los riesgos del producto, incluyendo la posible variabilidad de rendimientos y la ausencia de garantías cuando aplique.</w:t>
      </w:r>
    </w:p>
    <w:p w14:paraId="40D2212B" w14:textId="1677D80D"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lastRenderedPageBreak/>
        <w:t>(r) En casos de reemplazo de pólizas de vida o anualidades, el productor</w:t>
      </w:r>
      <w:r w:rsidR="00364A91" w:rsidRPr="00C377DC">
        <w:rPr>
          <w:color w:val="000000" w:themeColor="text1"/>
        </w:rPr>
        <w:t xml:space="preserve"> </w:t>
      </w:r>
      <w:r w:rsidR="00364A91" w:rsidRPr="00C377DC">
        <w:rPr>
          <w:rFonts w:ascii="Book Antiqua" w:hAnsi="Book Antiqua"/>
          <w:i/>
          <w:iCs/>
          <w:color w:val="000000" w:themeColor="text1"/>
          <w:u w:val="single"/>
        </w:rPr>
        <w:t>y el representante autorizado</w:t>
      </w:r>
      <w:r w:rsidRPr="00C377DC">
        <w:rPr>
          <w:rFonts w:ascii="Book Antiqua" w:hAnsi="Book Antiqua"/>
          <w:i/>
          <w:iCs/>
          <w:color w:val="000000" w:themeColor="text1"/>
          <w:u w:val="single"/>
        </w:rPr>
        <w:t xml:space="preserve"> 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orientar sobre la posible pérdida de beneficios acumulados, cargos por rescate</w:t>
      </w:r>
      <w:r w:rsidR="008467FD" w:rsidRPr="00C377DC">
        <w:rPr>
          <w:rFonts w:ascii="Book Antiqua" w:hAnsi="Book Antiqua"/>
          <w:i/>
          <w:iCs/>
          <w:color w:val="000000" w:themeColor="text1"/>
          <w:u w:val="single"/>
        </w:rPr>
        <w:t xml:space="preserve"> o cargos por cancelación</w:t>
      </w:r>
      <w:r w:rsidRPr="00C377DC">
        <w:rPr>
          <w:rFonts w:ascii="Book Antiqua" w:hAnsi="Book Antiqua"/>
          <w:i/>
          <w:iCs/>
          <w:color w:val="000000" w:themeColor="text1"/>
          <w:u w:val="single"/>
        </w:rPr>
        <w:t>, implicaciones contributivas y otros efectos materiales.</w:t>
      </w:r>
    </w:p>
    <w:p w14:paraId="584F47DC" w14:textId="7D17B1A3"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(s)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actuar con diligencia profesional, buena fe y en el mejor interés del cliente dentro del ámbito de su gestión como intermediario de seguros conforme a las disposiciones del Código de Seguros de Puerto Rico. </w:t>
      </w:r>
    </w:p>
    <w:p w14:paraId="7484A992" w14:textId="5E4CC5EC"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 xml:space="preserve">(t) El productor </w:t>
      </w:r>
      <w:r w:rsidR="00364A91" w:rsidRPr="00C377DC">
        <w:rPr>
          <w:rFonts w:ascii="Book Antiqua" w:hAnsi="Book Antiqua"/>
          <w:i/>
          <w:iCs/>
          <w:color w:val="000000" w:themeColor="text1"/>
          <w:u w:val="single"/>
        </w:rPr>
        <w:t xml:space="preserve">y el representante autorizado </w:t>
      </w:r>
      <w:r w:rsidRPr="00C377DC">
        <w:rPr>
          <w:rFonts w:ascii="Book Antiqua" w:hAnsi="Book Antiqua"/>
          <w:i/>
          <w:iCs/>
          <w:color w:val="000000" w:themeColor="text1"/>
          <w:u w:val="single"/>
        </w:rPr>
        <w:t>deberá</w:t>
      </w:r>
      <w:r w:rsidR="00364A91" w:rsidRPr="00C377DC">
        <w:rPr>
          <w:rFonts w:ascii="Book Antiqua" w:hAnsi="Book Antiqua"/>
          <w:i/>
          <w:iCs/>
          <w:color w:val="000000" w:themeColor="text1"/>
          <w:u w:val="single"/>
        </w:rPr>
        <w:t>n</w:t>
      </w:r>
      <w:r w:rsidRPr="00C377DC">
        <w:rPr>
          <w:rFonts w:ascii="Book Antiqua" w:hAnsi="Book Antiqua"/>
          <w:i/>
          <w:iCs/>
          <w:color w:val="000000" w:themeColor="text1"/>
          <w:u w:val="single"/>
        </w:rPr>
        <w:t xml:space="preserve"> procurar documentar de manera razonable la información obtenida del cliente y la ofrecida al cliente sin requerir formalidades particulares, siempre que permita razonablemente evidenciar el cumplimiento del deber de orientación y documentar en el expediente. Como parte de la orientación, el deber de incluir una cláusula de limitación que establece que la orientación provista no constituye asesoría legal, financiera o crediticia.</w:t>
      </w:r>
    </w:p>
    <w:p w14:paraId="206A4066" w14:textId="77777777"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(u) En el caso de las fianzas, se recomienda incluir la obligación de un apoderado de orientar al afianzado sobre la naturaleza particular de este producto, incluyendo que el mismo no constituye un seguro tradicional sino una garantía de cumplimiento frente a un tercero.</w:t>
      </w:r>
    </w:p>
    <w:p w14:paraId="2735545C" w14:textId="77777777"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t>(v) El apoderado deberá explicar que, en una fianza, el principal o afianzado mantiene la obligación primaria de cumplimiento y que el fiador podrá ejercer su derecho de ir contra el principal en caso de pago bajo la fianza.</w:t>
      </w:r>
    </w:p>
    <w:p w14:paraId="43F215F4" w14:textId="77777777" w:rsidR="006272D9" w:rsidRPr="00C377DC" w:rsidRDefault="006272D9" w:rsidP="006272D9">
      <w:pPr>
        <w:spacing w:line="480" w:lineRule="auto"/>
        <w:ind w:left="1170"/>
        <w:jc w:val="both"/>
        <w:rPr>
          <w:rFonts w:ascii="Book Antiqua" w:hAnsi="Book Antiqua"/>
          <w:i/>
          <w:iCs/>
          <w:color w:val="000000" w:themeColor="text1"/>
          <w:u w:val="single"/>
        </w:rPr>
      </w:pPr>
      <w:r w:rsidRPr="00C377DC">
        <w:rPr>
          <w:rFonts w:ascii="Book Antiqua" w:hAnsi="Book Antiqua"/>
          <w:i/>
          <w:iCs/>
          <w:color w:val="000000" w:themeColor="text1"/>
          <w:u w:val="single"/>
        </w:rPr>
        <w:lastRenderedPageBreak/>
        <w:t>(w) El apoderado deberá orientar, en la medida que sea razonable, sobre la importancia de la capacidad financiera del principal o afianzado, incluyendo que la emisión de la fianza puede estar sujeta a evaluación crediticia o financiera.</w:t>
      </w:r>
    </w:p>
    <w:p w14:paraId="394104E3" w14:textId="77777777" w:rsidR="006272D9" w:rsidRPr="00C377DC" w:rsidRDefault="006272D9" w:rsidP="006272D9">
      <w:pPr>
        <w:spacing w:line="480" w:lineRule="auto"/>
        <w:ind w:left="1170"/>
        <w:jc w:val="both"/>
        <w:rPr>
          <w:color w:val="000000" w:themeColor="text1"/>
        </w:rPr>
      </w:pPr>
      <w:r w:rsidRPr="00C377DC">
        <w:rPr>
          <w:rFonts w:ascii="Book Antiqua" w:hAnsi="Book Antiqua"/>
          <w:i/>
          <w:iCs/>
          <w:color w:val="000000" w:themeColor="text1"/>
          <w:u w:val="single"/>
        </w:rPr>
        <w:t>(x) El apoderado deberá advertir al afianzado sobre las consecuencias de incumplimiento, incluyendo la posibilidad de reclamaciones directas, la obligación de reembolsar al fiador y cualquier otra implicación económica relevante</w:t>
      </w:r>
    </w:p>
    <w:p w14:paraId="3BD131BE" w14:textId="79BD602C" w:rsidR="0089737F" w:rsidRPr="00C377DC" w:rsidRDefault="000A1F2E" w:rsidP="00B51C56">
      <w:pPr>
        <w:spacing w:line="480" w:lineRule="auto"/>
        <w:ind w:left="720" w:firstLine="540"/>
        <w:jc w:val="both"/>
        <w:rPr>
          <w:color w:val="000000" w:themeColor="text1"/>
        </w:rPr>
      </w:pPr>
      <w:r w:rsidRPr="00C377DC">
        <w:rPr>
          <w:rFonts w:ascii="Book Antiqua" w:hAnsi="Book Antiqua"/>
          <w:i/>
          <w:iCs/>
          <w:color w:val="000000" w:themeColor="text1"/>
        </w:rPr>
        <w:t>El incumplimiento con lo dispuesto en este incis</w:t>
      </w:r>
      <w:r w:rsidR="001B3C3D" w:rsidRPr="00C377DC">
        <w:rPr>
          <w:rFonts w:ascii="Book Antiqua" w:hAnsi="Book Antiqua"/>
          <w:i/>
          <w:iCs/>
          <w:color w:val="000000" w:themeColor="text1"/>
        </w:rPr>
        <w:t xml:space="preserve">o </w:t>
      </w:r>
      <w:r w:rsidR="0039356B" w:rsidRPr="00C377DC">
        <w:rPr>
          <w:rFonts w:ascii="Book Antiqua" w:hAnsi="Book Antiqua"/>
          <w:i/>
          <w:iCs/>
          <w:color w:val="000000" w:themeColor="text1"/>
        </w:rPr>
        <w:t>dará lugar</w:t>
      </w:r>
      <w:r w:rsidRPr="00C377DC">
        <w:rPr>
          <w:rFonts w:ascii="Book Antiqua" w:hAnsi="Book Antiqua"/>
          <w:i/>
          <w:iCs/>
          <w:color w:val="000000" w:themeColor="text1"/>
        </w:rPr>
        <w:t xml:space="preserve"> a la imposición de </w:t>
      </w:r>
      <w:r w:rsidRPr="00C377DC">
        <w:rPr>
          <w:rFonts w:ascii="Book Antiqua" w:hAnsi="Book Antiqua"/>
          <w:i/>
          <w:iCs/>
          <w:strike/>
          <w:color w:val="000000" w:themeColor="text1"/>
        </w:rPr>
        <w:t>multas administrativas, suspensión o revocación de licencia</w:t>
      </w:r>
      <w:r w:rsidRPr="00C377DC">
        <w:rPr>
          <w:rFonts w:ascii="Book Antiqua" w:hAnsi="Book Antiqua"/>
          <w:i/>
          <w:iCs/>
          <w:color w:val="000000" w:themeColor="text1"/>
        </w:rPr>
        <w:t xml:space="preserve">, </w:t>
      </w:r>
      <w:r w:rsidR="00BD20C7" w:rsidRPr="00C377DC">
        <w:rPr>
          <w:rFonts w:ascii="Book Antiqua" w:hAnsi="Book Antiqua"/>
          <w:i/>
          <w:iCs/>
          <w:color w:val="000000" w:themeColor="text1"/>
        </w:rPr>
        <w:t xml:space="preserve">sanciones </w:t>
      </w:r>
      <w:r w:rsidR="0089737F" w:rsidRPr="00C377DC">
        <w:rPr>
          <w:i/>
          <w:strike/>
          <w:color w:val="000000" w:themeColor="text1"/>
          <w:u w:val="single"/>
        </w:rPr>
        <w:t>según se disponga reglamentariamente por la Oficina del Comisionado de Seguros</w:t>
      </w:r>
      <w:r w:rsidR="00E34068" w:rsidRPr="00C377DC">
        <w:rPr>
          <w:i/>
          <w:strike/>
          <w:color w:val="000000" w:themeColor="text1"/>
          <w:u w:val="single"/>
        </w:rPr>
        <w:t>,</w:t>
      </w:r>
      <w:r w:rsidR="0089737F" w:rsidRPr="00C377DC">
        <w:rPr>
          <w:color w:val="000000" w:themeColor="text1"/>
        </w:rPr>
        <w:t xml:space="preserve"> </w:t>
      </w:r>
      <w:r w:rsidR="0089737F" w:rsidRPr="00C377DC">
        <w:rPr>
          <w:i/>
          <w:iCs/>
          <w:color w:val="000000" w:themeColor="text1"/>
        </w:rPr>
        <w:t>conforme a las disposiciones de este Capítulo.</w:t>
      </w:r>
      <w:r w:rsidR="0089737F" w:rsidRPr="00C377DC">
        <w:rPr>
          <w:color w:val="000000" w:themeColor="text1"/>
        </w:rPr>
        <w:t xml:space="preserve"> </w:t>
      </w:r>
      <w:r w:rsidR="0089737F" w:rsidRPr="00C377DC">
        <w:rPr>
          <w:i/>
          <w:color w:val="000000" w:themeColor="text1"/>
          <w:u w:val="single"/>
        </w:rPr>
        <w:t xml:space="preserve">Todo productor </w:t>
      </w:r>
      <w:r w:rsidR="00AA583E" w:rsidRPr="00C377DC">
        <w:rPr>
          <w:i/>
          <w:color w:val="000000" w:themeColor="text1"/>
          <w:u w:val="single"/>
        </w:rPr>
        <w:t xml:space="preserve">o representante autorizado </w:t>
      </w:r>
      <w:r w:rsidR="0089737F" w:rsidRPr="00C377DC">
        <w:rPr>
          <w:i/>
          <w:color w:val="000000" w:themeColor="text1"/>
          <w:u w:val="single"/>
        </w:rPr>
        <w:t xml:space="preserve">sancionado tendrá derecho a impugnar la sanción mediante procedimiento administrativo </w:t>
      </w:r>
      <w:r w:rsidR="0089737F" w:rsidRPr="00C377DC">
        <w:rPr>
          <w:i/>
          <w:strike/>
          <w:color w:val="000000" w:themeColor="text1"/>
          <w:u w:val="single"/>
        </w:rPr>
        <w:t>formal</w:t>
      </w:r>
      <w:r w:rsidR="0089737F" w:rsidRPr="00C377DC">
        <w:rPr>
          <w:i/>
          <w:color w:val="000000" w:themeColor="text1"/>
          <w:u w:val="single"/>
        </w:rPr>
        <w:t xml:space="preserve">, con derecho a vista y representación legal, antes de que la sanción advenga final y firme. La Oficina del Comisionado de Seguros mantendrá un registro público, accesible al consumidor, de los productores </w:t>
      </w:r>
      <w:r w:rsidR="00AA583E" w:rsidRPr="00C377DC">
        <w:rPr>
          <w:i/>
          <w:color w:val="000000" w:themeColor="text1"/>
          <w:u w:val="single"/>
        </w:rPr>
        <w:t xml:space="preserve">y representantes autorizados </w:t>
      </w:r>
      <w:r w:rsidR="0089737F" w:rsidRPr="00C377DC">
        <w:rPr>
          <w:i/>
          <w:color w:val="000000" w:themeColor="text1"/>
          <w:u w:val="single"/>
        </w:rPr>
        <w:t>sancionados al amparo de este Artículo.</w:t>
      </w:r>
      <w:r w:rsidR="0089737F" w:rsidRPr="00C377DC">
        <w:rPr>
          <w:i/>
          <w:color w:val="000000" w:themeColor="text1"/>
        </w:rPr>
        <w:t>”</w:t>
      </w:r>
    </w:p>
    <w:p w14:paraId="0286B019" w14:textId="67040E7E" w:rsidR="000A1F2E" w:rsidRPr="00C377DC" w:rsidRDefault="000A1F2E" w:rsidP="00033005">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 xml:space="preserve">(2) </w:t>
      </w:r>
      <w:r w:rsidR="0063143E" w:rsidRPr="00C377DC">
        <w:rPr>
          <w:rFonts w:ascii="Book Antiqua" w:hAnsi="Book Antiqua"/>
          <w:color w:val="000000" w:themeColor="text1"/>
        </w:rPr>
        <w:t>…</w:t>
      </w:r>
    </w:p>
    <w:p w14:paraId="61B544EF" w14:textId="287A2FC1" w:rsidR="000A1F2E" w:rsidRPr="00C377DC" w:rsidRDefault="000A1F2E" w:rsidP="00033005">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 xml:space="preserve">(3) </w:t>
      </w:r>
      <w:r w:rsidR="0063143E" w:rsidRPr="00C377DC">
        <w:rPr>
          <w:rFonts w:ascii="Book Antiqua" w:hAnsi="Book Antiqua"/>
          <w:color w:val="000000" w:themeColor="text1"/>
        </w:rPr>
        <w:t>…</w:t>
      </w:r>
    </w:p>
    <w:p w14:paraId="44DD35C4" w14:textId="66424D41" w:rsidR="000A1F2E" w:rsidRPr="00C377DC" w:rsidRDefault="000A1F2E" w:rsidP="00033005">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(4)</w:t>
      </w:r>
      <w:r w:rsidR="0063143E" w:rsidRPr="00C377DC">
        <w:rPr>
          <w:rFonts w:ascii="Book Antiqua" w:hAnsi="Book Antiqua"/>
          <w:color w:val="000000" w:themeColor="text1"/>
        </w:rPr>
        <w:t xml:space="preserve"> ..</w:t>
      </w:r>
      <w:r w:rsidRPr="00C377DC">
        <w:rPr>
          <w:rFonts w:ascii="Book Antiqua" w:hAnsi="Book Antiqua"/>
          <w:color w:val="000000" w:themeColor="text1"/>
        </w:rPr>
        <w:t>.</w:t>
      </w:r>
    </w:p>
    <w:p w14:paraId="52A393B1" w14:textId="77777777" w:rsidR="00D1749D" w:rsidRPr="00C377DC" w:rsidRDefault="00D1749D" w:rsidP="00D1749D">
      <w:pPr>
        <w:pStyle w:val="BodyTextIndent"/>
        <w:spacing w:line="480" w:lineRule="auto"/>
        <w:ind w:left="0" w:firstLine="720"/>
        <w:rPr>
          <w:rFonts w:ascii="Book Antiqua" w:hAnsi="Book Antiqua"/>
          <w:color w:val="000000" w:themeColor="text1"/>
        </w:rPr>
      </w:pPr>
      <w:r w:rsidRPr="00C377DC">
        <w:rPr>
          <w:rFonts w:ascii="Book Antiqua" w:hAnsi="Book Antiqua"/>
          <w:color w:val="000000" w:themeColor="text1"/>
        </w:rPr>
        <w:t>Sección 2. — Reglamentación</w:t>
      </w:r>
    </w:p>
    <w:p w14:paraId="6865BE72" w14:textId="780A63D7" w:rsidR="00D1749D" w:rsidRPr="00C377DC" w:rsidRDefault="00D1749D" w:rsidP="00D1749D">
      <w:pPr>
        <w:pStyle w:val="BodyTextIndent"/>
        <w:spacing w:line="480" w:lineRule="auto"/>
        <w:rPr>
          <w:rFonts w:ascii="Book Antiqua" w:hAnsi="Book Antiqua"/>
          <w:color w:val="000000" w:themeColor="text1"/>
        </w:rPr>
      </w:pPr>
      <w:r w:rsidRPr="00C377DC">
        <w:rPr>
          <w:rFonts w:ascii="Book Antiqua" w:hAnsi="Book Antiqua"/>
          <w:color w:val="000000" w:themeColor="text1"/>
        </w:rPr>
        <w:t xml:space="preserve">La Oficina del Comisionado de </w:t>
      </w:r>
      <w:r w:rsidR="00C6375F" w:rsidRPr="00C377DC">
        <w:rPr>
          <w:rFonts w:ascii="Book Antiqua" w:hAnsi="Book Antiqua"/>
          <w:color w:val="000000" w:themeColor="text1"/>
        </w:rPr>
        <w:t>Seguros adoptará</w:t>
      </w:r>
      <w:r w:rsidRPr="00C377DC">
        <w:rPr>
          <w:rFonts w:ascii="Book Antiqua" w:hAnsi="Book Antiqua"/>
          <w:color w:val="000000" w:themeColor="text1"/>
        </w:rPr>
        <w:t xml:space="preserve"> o enmendar</w:t>
      </w:r>
      <w:r w:rsidR="00094082" w:rsidRPr="00C377DC">
        <w:rPr>
          <w:rFonts w:ascii="Book Antiqua" w:hAnsi="Book Antiqua"/>
          <w:color w:val="000000" w:themeColor="text1"/>
        </w:rPr>
        <w:t>á</w:t>
      </w:r>
      <w:r w:rsidRPr="00C377DC">
        <w:rPr>
          <w:rFonts w:ascii="Book Antiqua" w:hAnsi="Book Antiqua"/>
          <w:color w:val="000000" w:themeColor="text1"/>
        </w:rPr>
        <w:t xml:space="preserve"> los reglamentos que sean necesarios para la implementación de lo dispuesto en esta Ley.</w:t>
      </w:r>
    </w:p>
    <w:p w14:paraId="41B780D3" w14:textId="77777777" w:rsidR="00D1749D" w:rsidRPr="00C377DC" w:rsidRDefault="00D1749D" w:rsidP="00D1749D">
      <w:pPr>
        <w:pStyle w:val="BodyTextIndent"/>
        <w:spacing w:line="480" w:lineRule="auto"/>
        <w:rPr>
          <w:rFonts w:ascii="Book Antiqua" w:hAnsi="Book Antiqua"/>
          <w:color w:val="000000" w:themeColor="text1"/>
        </w:rPr>
      </w:pPr>
      <w:r w:rsidRPr="00C377DC">
        <w:rPr>
          <w:rFonts w:ascii="Book Antiqua" w:hAnsi="Book Antiqua"/>
          <w:color w:val="000000" w:themeColor="text1"/>
        </w:rPr>
        <w:t>Sección 3. — Vigencia</w:t>
      </w:r>
    </w:p>
    <w:p w14:paraId="2A27A728" w14:textId="1474FDC6" w:rsidR="00094082" w:rsidRPr="00C377DC" w:rsidRDefault="00D1749D" w:rsidP="001B3C3D">
      <w:pPr>
        <w:pStyle w:val="BodyTextIndent"/>
        <w:spacing w:line="480" w:lineRule="auto"/>
        <w:ind w:left="0"/>
        <w:rPr>
          <w:rFonts w:ascii="Book Antiqua" w:hAnsi="Book Antiqua"/>
          <w:color w:val="000000" w:themeColor="text1"/>
        </w:rPr>
      </w:pPr>
      <w:r w:rsidRPr="00C377DC">
        <w:rPr>
          <w:rFonts w:ascii="Book Antiqua" w:hAnsi="Book Antiqua"/>
          <w:color w:val="000000" w:themeColor="text1"/>
        </w:rPr>
        <w:lastRenderedPageBreak/>
        <w:t>Esta Ley entrará en vigor inmediatamente después de su aprobación</w:t>
      </w:r>
      <w:r w:rsidR="001B3C3D" w:rsidRPr="00C377DC">
        <w:rPr>
          <w:rFonts w:ascii="Book Antiqua" w:hAnsi="Book Antiqua"/>
          <w:color w:val="000000" w:themeColor="text1"/>
        </w:rPr>
        <w:t>.</w:t>
      </w:r>
    </w:p>
    <w:sectPr w:rsidR="00094082" w:rsidRPr="00C377DC"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1213C" w14:textId="77777777" w:rsidR="004B026F" w:rsidRDefault="004B026F">
      <w:r>
        <w:separator/>
      </w:r>
    </w:p>
  </w:endnote>
  <w:endnote w:type="continuationSeparator" w:id="0">
    <w:p w14:paraId="1CD3B62A" w14:textId="77777777" w:rsidR="004B026F" w:rsidRDefault="004B0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1E73B" w14:textId="77777777" w:rsidR="004B026F" w:rsidRDefault="004B026F">
      <w:r>
        <w:separator/>
      </w:r>
    </w:p>
  </w:footnote>
  <w:footnote w:type="continuationSeparator" w:id="0">
    <w:p w14:paraId="7EC27378" w14:textId="77777777" w:rsidR="004B026F" w:rsidRDefault="004B0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7777777"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13B843" w14:textId="77777777" w:rsidR="00157DEC" w:rsidRDefault="00157D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601E1172" w:rsidR="00157DEC" w:rsidRDefault="00157DE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3B69">
      <w:rPr>
        <w:rStyle w:val="PageNumber"/>
        <w:noProof/>
      </w:rPr>
      <w:t>7</w:t>
    </w:r>
    <w:r>
      <w:rPr>
        <w:rStyle w:val="PageNumber"/>
      </w:rPr>
      <w:fldChar w:fldCharType="end"/>
    </w:r>
  </w:p>
  <w:p w14:paraId="35DCD5A5" w14:textId="77777777" w:rsidR="00157DEC" w:rsidRDefault="00157D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4"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01C5AD4"/>
    <w:multiLevelType w:val="hybridMultilevel"/>
    <w:tmpl w:val="77D46970"/>
    <w:lvl w:ilvl="0" w:tplc="52FC1906">
      <w:start w:val="1"/>
      <w:numFmt w:val="decimal"/>
      <w:lvlText w:val="(%1)"/>
      <w:lvlJc w:val="left"/>
      <w:pPr>
        <w:ind w:left="1155" w:hanging="375"/>
      </w:pPr>
      <w:rPr>
        <w:rFonts w:hint="default"/>
        <w:i w:val="0"/>
        <w:iCs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10"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2"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12"/>
  </w:num>
  <w:num w:numId="2" w16cid:durableId="1835877556">
    <w:abstractNumId w:val="3"/>
  </w:num>
  <w:num w:numId="3" w16cid:durableId="1345857465">
    <w:abstractNumId w:val="9"/>
  </w:num>
  <w:num w:numId="4" w16cid:durableId="1821731611">
    <w:abstractNumId w:val="1"/>
  </w:num>
  <w:num w:numId="5" w16cid:durableId="1233999773">
    <w:abstractNumId w:val="0"/>
  </w:num>
  <w:num w:numId="6" w16cid:durableId="77987866">
    <w:abstractNumId w:val="10"/>
  </w:num>
  <w:num w:numId="7" w16cid:durableId="2032611750">
    <w:abstractNumId w:val="2"/>
  </w:num>
  <w:num w:numId="8" w16cid:durableId="799151325">
    <w:abstractNumId w:val="4"/>
  </w:num>
  <w:num w:numId="9" w16cid:durableId="126164546">
    <w:abstractNumId w:val="7"/>
  </w:num>
  <w:num w:numId="10" w16cid:durableId="917445451">
    <w:abstractNumId w:val="6"/>
  </w:num>
  <w:num w:numId="11" w16cid:durableId="503712915">
    <w:abstractNumId w:val="5"/>
  </w:num>
  <w:num w:numId="12" w16cid:durableId="441533561">
    <w:abstractNumId w:val="11"/>
  </w:num>
  <w:num w:numId="13" w16cid:durableId="9283876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07D2F"/>
    <w:rsid w:val="00011613"/>
    <w:rsid w:val="00015CC4"/>
    <w:rsid w:val="000165F4"/>
    <w:rsid w:val="0002369E"/>
    <w:rsid w:val="00025E98"/>
    <w:rsid w:val="00026BD2"/>
    <w:rsid w:val="000273AF"/>
    <w:rsid w:val="00033005"/>
    <w:rsid w:val="0003768E"/>
    <w:rsid w:val="000419A1"/>
    <w:rsid w:val="000440AD"/>
    <w:rsid w:val="0004738F"/>
    <w:rsid w:val="000528F0"/>
    <w:rsid w:val="00053E8B"/>
    <w:rsid w:val="00055150"/>
    <w:rsid w:val="00060A5F"/>
    <w:rsid w:val="00063F12"/>
    <w:rsid w:val="00064431"/>
    <w:rsid w:val="00064933"/>
    <w:rsid w:val="0006494F"/>
    <w:rsid w:val="00064C69"/>
    <w:rsid w:val="00065CFB"/>
    <w:rsid w:val="00066359"/>
    <w:rsid w:val="00070DA0"/>
    <w:rsid w:val="00072871"/>
    <w:rsid w:val="00072918"/>
    <w:rsid w:val="00075D7F"/>
    <w:rsid w:val="00080117"/>
    <w:rsid w:val="00083A2C"/>
    <w:rsid w:val="0008566C"/>
    <w:rsid w:val="00086883"/>
    <w:rsid w:val="00087E91"/>
    <w:rsid w:val="00090BD4"/>
    <w:rsid w:val="00093440"/>
    <w:rsid w:val="00094082"/>
    <w:rsid w:val="00094B76"/>
    <w:rsid w:val="00096479"/>
    <w:rsid w:val="000A179F"/>
    <w:rsid w:val="000A1F2E"/>
    <w:rsid w:val="000A4390"/>
    <w:rsid w:val="000A4C93"/>
    <w:rsid w:val="000A5530"/>
    <w:rsid w:val="000A586A"/>
    <w:rsid w:val="000A5E18"/>
    <w:rsid w:val="000A7593"/>
    <w:rsid w:val="000A79D8"/>
    <w:rsid w:val="000B1626"/>
    <w:rsid w:val="000B23A3"/>
    <w:rsid w:val="000B56AE"/>
    <w:rsid w:val="000B5F96"/>
    <w:rsid w:val="000B679B"/>
    <w:rsid w:val="000B7921"/>
    <w:rsid w:val="000C5EAF"/>
    <w:rsid w:val="000C72DA"/>
    <w:rsid w:val="000C72DF"/>
    <w:rsid w:val="000C76DF"/>
    <w:rsid w:val="000D0667"/>
    <w:rsid w:val="000D2711"/>
    <w:rsid w:val="000D30AC"/>
    <w:rsid w:val="000D3C71"/>
    <w:rsid w:val="000D3DC0"/>
    <w:rsid w:val="000D3F31"/>
    <w:rsid w:val="000D407F"/>
    <w:rsid w:val="000D600F"/>
    <w:rsid w:val="000D6CC2"/>
    <w:rsid w:val="000E18FB"/>
    <w:rsid w:val="000E1998"/>
    <w:rsid w:val="000E257D"/>
    <w:rsid w:val="000E38E0"/>
    <w:rsid w:val="000E4482"/>
    <w:rsid w:val="000E600A"/>
    <w:rsid w:val="000E6444"/>
    <w:rsid w:val="000E7E9E"/>
    <w:rsid w:val="000F0712"/>
    <w:rsid w:val="000F294D"/>
    <w:rsid w:val="000F4832"/>
    <w:rsid w:val="000F74D2"/>
    <w:rsid w:val="00100D57"/>
    <w:rsid w:val="0010350C"/>
    <w:rsid w:val="0010379A"/>
    <w:rsid w:val="00105C29"/>
    <w:rsid w:val="00105E88"/>
    <w:rsid w:val="001109D7"/>
    <w:rsid w:val="00110B10"/>
    <w:rsid w:val="00111732"/>
    <w:rsid w:val="00112E6A"/>
    <w:rsid w:val="00114137"/>
    <w:rsid w:val="001179BE"/>
    <w:rsid w:val="00117E3A"/>
    <w:rsid w:val="00120091"/>
    <w:rsid w:val="001219F2"/>
    <w:rsid w:val="00123109"/>
    <w:rsid w:val="001239E1"/>
    <w:rsid w:val="00125AF1"/>
    <w:rsid w:val="0012625F"/>
    <w:rsid w:val="00131C3B"/>
    <w:rsid w:val="00134278"/>
    <w:rsid w:val="001370DF"/>
    <w:rsid w:val="00143B39"/>
    <w:rsid w:val="00152A70"/>
    <w:rsid w:val="00156080"/>
    <w:rsid w:val="0015729E"/>
    <w:rsid w:val="00157C62"/>
    <w:rsid w:val="00157DEC"/>
    <w:rsid w:val="001627D3"/>
    <w:rsid w:val="00163991"/>
    <w:rsid w:val="00163BC2"/>
    <w:rsid w:val="00163FE4"/>
    <w:rsid w:val="00165206"/>
    <w:rsid w:val="0016593A"/>
    <w:rsid w:val="00166FE5"/>
    <w:rsid w:val="00167E41"/>
    <w:rsid w:val="001709C3"/>
    <w:rsid w:val="00170CDF"/>
    <w:rsid w:val="0017269A"/>
    <w:rsid w:val="00173109"/>
    <w:rsid w:val="001731F2"/>
    <w:rsid w:val="00180893"/>
    <w:rsid w:val="001837B5"/>
    <w:rsid w:val="00184B9F"/>
    <w:rsid w:val="00184CA4"/>
    <w:rsid w:val="0018538F"/>
    <w:rsid w:val="00185988"/>
    <w:rsid w:val="00185E13"/>
    <w:rsid w:val="00185EB7"/>
    <w:rsid w:val="00187D74"/>
    <w:rsid w:val="00192816"/>
    <w:rsid w:val="001934ED"/>
    <w:rsid w:val="001947BA"/>
    <w:rsid w:val="00194C3D"/>
    <w:rsid w:val="00195186"/>
    <w:rsid w:val="00196666"/>
    <w:rsid w:val="001A117A"/>
    <w:rsid w:val="001A2E68"/>
    <w:rsid w:val="001A3522"/>
    <w:rsid w:val="001A5DF1"/>
    <w:rsid w:val="001B0904"/>
    <w:rsid w:val="001B25B1"/>
    <w:rsid w:val="001B2A56"/>
    <w:rsid w:val="001B3C3D"/>
    <w:rsid w:val="001B40C9"/>
    <w:rsid w:val="001B479F"/>
    <w:rsid w:val="001B59A7"/>
    <w:rsid w:val="001B6870"/>
    <w:rsid w:val="001B777C"/>
    <w:rsid w:val="001C1287"/>
    <w:rsid w:val="001C1F4F"/>
    <w:rsid w:val="001C3B09"/>
    <w:rsid w:val="001C3FCD"/>
    <w:rsid w:val="001C5C99"/>
    <w:rsid w:val="001C7B7A"/>
    <w:rsid w:val="001C7E25"/>
    <w:rsid w:val="001D083D"/>
    <w:rsid w:val="001D2F22"/>
    <w:rsid w:val="001D41E4"/>
    <w:rsid w:val="001E1E66"/>
    <w:rsid w:val="001E297A"/>
    <w:rsid w:val="001E3A6F"/>
    <w:rsid w:val="001F148B"/>
    <w:rsid w:val="001F18A1"/>
    <w:rsid w:val="001F27C2"/>
    <w:rsid w:val="001F3D8D"/>
    <w:rsid w:val="001F472B"/>
    <w:rsid w:val="001F4E16"/>
    <w:rsid w:val="001F5ECD"/>
    <w:rsid w:val="001F6158"/>
    <w:rsid w:val="001F6E5A"/>
    <w:rsid w:val="001F76E5"/>
    <w:rsid w:val="002018CE"/>
    <w:rsid w:val="00203083"/>
    <w:rsid w:val="00204B50"/>
    <w:rsid w:val="0020661F"/>
    <w:rsid w:val="00207284"/>
    <w:rsid w:val="002116FA"/>
    <w:rsid w:val="00212BF2"/>
    <w:rsid w:val="00214615"/>
    <w:rsid w:val="0021492C"/>
    <w:rsid w:val="00216718"/>
    <w:rsid w:val="002167B6"/>
    <w:rsid w:val="0021684F"/>
    <w:rsid w:val="002175FD"/>
    <w:rsid w:val="00220D69"/>
    <w:rsid w:val="0022295E"/>
    <w:rsid w:val="002229CE"/>
    <w:rsid w:val="00222D59"/>
    <w:rsid w:val="00223020"/>
    <w:rsid w:val="002230DE"/>
    <w:rsid w:val="00223AF6"/>
    <w:rsid w:val="00224569"/>
    <w:rsid w:val="00226E34"/>
    <w:rsid w:val="0023183B"/>
    <w:rsid w:val="0023240F"/>
    <w:rsid w:val="00232D3F"/>
    <w:rsid w:val="00232DB8"/>
    <w:rsid w:val="00232EF8"/>
    <w:rsid w:val="0023333C"/>
    <w:rsid w:val="0023694B"/>
    <w:rsid w:val="00236D78"/>
    <w:rsid w:val="00237A83"/>
    <w:rsid w:val="00242E49"/>
    <w:rsid w:val="0024302B"/>
    <w:rsid w:val="002431C4"/>
    <w:rsid w:val="0024616A"/>
    <w:rsid w:val="00246FF2"/>
    <w:rsid w:val="00250155"/>
    <w:rsid w:val="00253B30"/>
    <w:rsid w:val="00256313"/>
    <w:rsid w:val="00257274"/>
    <w:rsid w:val="00257DA8"/>
    <w:rsid w:val="00260C8F"/>
    <w:rsid w:val="00262FE0"/>
    <w:rsid w:val="00263C2E"/>
    <w:rsid w:val="0026654F"/>
    <w:rsid w:val="00270C9F"/>
    <w:rsid w:val="0027306D"/>
    <w:rsid w:val="00274301"/>
    <w:rsid w:val="00276EFC"/>
    <w:rsid w:val="00280C9D"/>
    <w:rsid w:val="002818F9"/>
    <w:rsid w:val="002857CD"/>
    <w:rsid w:val="002858A6"/>
    <w:rsid w:val="00286FC3"/>
    <w:rsid w:val="002871ED"/>
    <w:rsid w:val="00290AA1"/>
    <w:rsid w:val="00294526"/>
    <w:rsid w:val="0029692F"/>
    <w:rsid w:val="002A0E75"/>
    <w:rsid w:val="002A159D"/>
    <w:rsid w:val="002A1608"/>
    <w:rsid w:val="002A3050"/>
    <w:rsid w:val="002A32C1"/>
    <w:rsid w:val="002A3EBB"/>
    <w:rsid w:val="002A5BF3"/>
    <w:rsid w:val="002B52ED"/>
    <w:rsid w:val="002B701C"/>
    <w:rsid w:val="002B731B"/>
    <w:rsid w:val="002B7B7C"/>
    <w:rsid w:val="002B7E2A"/>
    <w:rsid w:val="002C16F4"/>
    <w:rsid w:val="002C4398"/>
    <w:rsid w:val="002C5DF6"/>
    <w:rsid w:val="002C6B85"/>
    <w:rsid w:val="002C6D0A"/>
    <w:rsid w:val="002C6DDD"/>
    <w:rsid w:val="002C7820"/>
    <w:rsid w:val="002C7DBC"/>
    <w:rsid w:val="002D0E0E"/>
    <w:rsid w:val="002D2181"/>
    <w:rsid w:val="002D3C69"/>
    <w:rsid w:val="002D5B75"/>
    <w:rsid w:val="002E2216"/>
    <w:rsid w:val="002E3336"/>
    <w:rsid w:val="002E5AF3"/>
    <w:rsid w:val="002E643F"/>
    <w:rsid w:val="002E6591"/>
    <w:rsid w:val="002F3320"/>
    <w:rsid w:val="002F3B1B"/>
    <w:rsid w:val="002F4C97"/>
    <w:rsid w:val="00300128"/>
    <w:rsid w:val="00302261"/>
    <w:rsid w:val="00302E55"/>
    <w:rsid w:val="003041F6"/>
    <w:rsid w:val="0030467D"/>
    <w:rsid w:val="00310E5D"/>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3EA"/>
    <w:rsid w:val="00335BFC"/>
    <w:rsid w:val="0033680B"/>
    <w:rsid w:val="00337345"/>
    <w:rsid w:val="00340709"/>
    <w:rsid w:val="003409FA"/>
    <w:rsid w:val="003416E0"/>
    <w:rsid w:val="0034281B"/>
    <w:rsid w:val="0034476D"/>
    <w:rsid w:val="00345023"/>
    <w:rsid w:val="00345B99"/>
    <w:rsid w:val="003531B5"/>
    <w:rsid w:val="00355CE5"/>
    <w:rsid w:val="003567F8"/>
    <w:rsid w:val="00360175"/>
    <w:rsid w:val="00360A40"/>
    <w:rsid w:val="0036113B"/>
    <w:rsid w:val="00361AAB"/>
    <w:rsid w:val="00362335"/>
    <w:rsid w:val="003632D7"/>
    <w:rsid w:val="00364A91"/>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1D0"/>
    <w:rsid w:val="00392CB5"/>
    <w:rsid w:val="003932DF"/>
    <w:rsid w:val="0039356B"/>
    <w:rsid w:val="003A21F6"/>
    <w:rsid w:val="003A4030"/>
    <w:rsid w:val="003A6BC4"/>
    <w:rsid w:val="003B0A77"/>
    <w:rsid w:val="003B1A70"/>
    <w:rsid w:val="003B207C"/>
    <w:rsid w:val="003B2377"/>
    <w:rsid w:val="003B2B9D"/>
    <w:rsid w:val="003B2F34"/>
    <w:rsid w:val="003B356B"/>
    <w:rsid w:val="003B71C5"/>
    <w:rsid w:val="003C05F6"/>
    <w:rsid w:val="003C177C"/>
    <w:rsid w:val="003C1B55"/>
    <w:rsid w:val="003C2603"/>
    <w:rsid w:val="003C3878"/>
    <w:rsid w:val="003C5126"/>
    <w:rsid w:val="003C5EDC"/>
    <w:rsid w:val="003C7316"/>
    <w:rsid w:val="003D0B07"/>
    <w:rsid w:val="003D183D"/>
    <w:rsid w:val="003D1D06"/>
    <w:rsid w:val="003D2941"/>
    <w:rsid w:val="003D2DC6"/>
    <w:rsid w:val="003D333B"/>
    <w:rsid w:val="003D59EF"/>
    <w:rsid w:val="003D5CB1"/>
    <w:rsid w:val="003E02ED"/>
    <w:rsid w:val="003E2DF8"/>
    <w:rsid w:val="003E501B"/>
    <w:rsid w:val="003E7D8B"/>
    <w:rsid w:val="003F0EA2"/>
    <w:rsid w:val="003F34F5"/>
    <w:rsid w:val="003F3F50"/>
    <w:rsid w:val="003F44AF"/>
    <w:rsid w:val="003F48D4"/>
    <w:rsid w:val="003F604A"/>
    <w:rsid w:val="00401C96"/>
    <w:rsid w:val="004050B8"/>
    <w:rsid w:val="00406AA9"/>
    <w:rsid w:val="00410C8A"/>
    <w:rsid w:val="00411147"/>
    <w:rsid w:val="00411D89"/>
    <w:rsid w:val="00412899"/>
    <w:rsid w:val="00412947"/>
    <w:rsid w:val="00412CB1"/>
    <w:rsid w:val="00412D7C"/>
    <w:rsid w:val="00414B9F"/>
    <w:rsid w:val="00421B7C"/>
    <w:rsid w:val="00424065"/>
    <w:rsid w:val="0042463D"/>
    <w:rsid w:val="00424810"/>
    <w:rsid w:val="00425CDE"/>
    <w:rsid w:val="0042690F"/>
    <w:rsid w:val="00426A75"/>
    <w:rsid w:val="004305D9"/>
    <w:rsid w:val="004316F4"/>
    <w:rsid w:val="0043256C"/>
    <w:rsid w:val="00432D13"/>
    <w:rsid w:val="004332FC"/>
    <w:rsid w:val="00433BF5"/>
    <w:rsid w:val="00436DEB"/>
    <w:rsid w:val="00436E0B"/>
    <w:rsid w:val="00440869"/>
    <w:rsid w:val="0044169D"/>
    <w:rsid w:val="0044194D"/>
    <w:rsid w:val="00441AB6"/>
    <w:rsid w:val="00441E3E"/>
    <w:rsid w:val="004441D3"/>
    <w:rsid w:val="0044427B"/>
    <w:rsid w:val="00445E0E"/>
    <w:rsid w:val="00446994"/>
    <w:rsid w:val="00450FA3"/>
    <w:rsid w:val="004539FB"/>
    <w:rsid w:val="004551E4"/>
    <w:rsid w:val="00457185"/>
    <w:rsid w:val="0046051F"/>
    <w:rsid w:val="004612CE"/>
    <w:rsid w:val="0046246F"/>
    <w:rsid w:val="004624CB"/>
    <w:rsid w:val="00463092"/>
    <w:rsid w:val="00464C4B"/>
    <w:rsid w:val="00465252"/>
    <w:rsid w:val="0047095B"/>
    <w:rsid w:val="0047254A"/>
    <w:rsid w:val="0047260E"/>
    <w:rsid w:val="00474BA7"/>
    <w:rsid w:val="00475B22"/>
    <w:rsid w:val="00476098"/>
    <w:rsid w:val="004767AD"/>
    <w:rsid w:val="00476FD3"/>
    <w:rsid w:val="004775FD"/>
    <w:rsid w:val="00477648"/>
    <w:rsid w:val="00477EFF"/>
    <w:rsid w:val="004816D7"/>
    <w:rsid w:val="004823D0"/>
    <w:rsid w:val="00482E94"/>
    <w:rsid w:val="00483026"/>
    <w:rsid w:val="00484230"/>
    <w:rsid w:val="004877B2"/>
    <w:rsid w:val="00491726"/>
    <w:rsid w:val="0049234B"/>
    <w:rsid w:val="004941FD"/>
    <w:rsid w:val="00496C67"/>
    <w:rsid w:val="00497315"/>
    <w:rsid w:val="004A058F"/>
    <w:rsid w:val="004A1410"/>
    <w:rsid w:val="004A1ECD"/>
    <w:rsid w:val="004A261B"/>
    <w:rsid w:val="004A2CE5"/>
    <w:rsid w:val="004A4F73"/>
    <w:rsid w:val="004A7FD5"/>
    <w:rsid w:val="004B026F"/>
    <w:rsid w:val="004B153E"/>
    <w:rsid w:val="004B2861"/>
    <w:rsid w:val="004B53C6"/>
    <w:rsid w:val="004B693A"/>
    <w:rsid w:val="004C0AA9"/>
    <w:rsid w:val="004C3399"/>
    <w:rsid w:val="004C40EA"/>
    <w:rsid w:val="004C58CC"/>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7CA4"/>
    <w:rsid w:val="00520AC9"/>
    <w:rsid w:val="00520D04"/>
    <w:rsid w:val="00522BDF"/>
    <w:rsid w:val="00523BBF"/>
    <w:rsid w:val="00523E86"/>
    <w:rsid w:val="00531544"/>
    <w:rsid w:val="00531D1B"/>
    <w:rsid w:val="00532953"/>
    <w:rsid w:val="00534914"/>
    <w:rsid w:val="00542AC2"/>
    <w:rsid w:val="00543543"/>
    <w:rsid w:val="00545FF4"/>
    <w:rsid w:val="0054697C"/>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23CF"/>
    <w:rsid w:val="005730C5"/>
    <w:rsid w:val="005762A8"/>
    <w:rsid w:val="00580443"/>
    <w:rsid w:val="00584353"/>
    <w:rsid w:val="005853E0"/>
    <w:rsid w:val="00586495"/>
    <w:rsid w:val="005947AB"/>
    <w:rsid w:val="005947B9"/>
    <w:rsid w:val="005952BC"/>
    <w:rsid w:val="005A0074"/>
    <w:rsid w:val="005A1675"/>
    <w:rsid w:val="005A22DE"/>
    <w:rsid w:val="005A3EB6"/>
    <w:rsid w:val="005A7358"/>
    <w:rsid w:val="005B0552"/>
    <w:rsid w:val="005B11EF"/>
    <w:rsid w:val="005B35D5"/>
    <w:rsid w:val="005B3B70"/>
    <w:rsid w:val="005C3B39"/>
    <w:rsid w:val="005C519E"/>
    <w:rsid w:val="005C7663"/>
    <w:rsid w:val="005D03D8"/>
    <w:rsid w:val="005D03F1"/>
    <w:rsid w:val="005D203F"/>
    <w:rsid w:val="005D215E"/>
    <w:rsid w:val="005D4E7C"/>
    <w:rsid w:val="005D672C"/>
    <w:rsid w:val="005D7315"/>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988"/>
    <w:rsid w:val="006047F5"/>
    <w:rsid w:val="00604832"/>
    <w:rsid w:val="0060705E"/>
    <w:rsid w:val="0061293F"/>
    <w:rsid w:val="006136CD"/>
    <w:rsid w:val="006146F1"/>
    <w:rsid w:val="006178FE"/>
    <w:rsid w:val="00624EFE"/>
    <w:rsid w:val="00625BD9"/>
    <w:rsid w:val="006272D9"/>
    <w:rsid w:val="00627588"/>
    <w:rsid w:val="0063143E"/>
    <w:rsid w:val="00631684"/>
    <w:rsid w:val="00631BFD"/>
    <w:rsid w:val="0063266F"/>
    <w:rsid w:val="00632DAC"/>
    <w:rsid w:val="00634682"/>
    <w:rsid w:val="00634D12"/>
    <w:rsid w:val="0063544C"/>
    <w:rsid w:val="00636DD0"/>
    <w:rsid w:val="00637071"/>
    <w:rsid w:val="00637740"/>
    <w:rsid w:val="006377EC"/>
    <w:rsid w:val="00640CEA"/>
    <w:rsid w:val="00644152"/>
    <w:rsid w:val="00645F16"/>
    <w:rsid w:val="006471EC"/>
    <w:rsid w:val="006479C8"/>
    <w:rsid w:val="006538E5"/>
    <w:rsid w:val="00653A96"/>
    <w:rsid w:val="00654BE5"/>
    <w:rsid w:val="00654EFB"/>
    <w:rsid w:val="00660942"/>
    <w:rsid w:val="00661E51"/>
    <w:rsid w:val="00662AD8"/>
    <w:rsid w:val="00663E62"/>
    <w:rsid w:val="00664271"/>
    <w:rsid w:val="00664A46"/>
    <w:rsid w:val="00665E3C"/>
    <w:rsid w:val="0066697D"/>
    <w:rsid w:val="006673CB"/>
    <w:rsid w:val="006702AF"/>
    <w:rsid w:val="00670BCC"/>
    <w:rsid w:val="00670EFA"/>
    <w:rsid w:val="00670F92"/>
    <w:rsid w:val="006716A5"/>
    <w:rsid w:val="0067336C"/>
    <w:rsid w:val="00674B4F"/>
    <w:rsid w:val="00674C02"/>
    <w:rsid w:val="00674FCF"/>
    <w:rsid w:val="00676212"/>
    <w:rsid w:val="006770BD"/>
    <w:rsid w:val="006807BD"/>
    <w:rsid w:val="006824E3"/>
    <w:rsid w:val="006841E4"/>
    <w:rsid w:val="00686060"/>
    <w:rsid w:val="00686543"/>
    <w:rsid w:val="00687DC3"/>
    <w:rsid w:val="00687FF4"/>
    <w:rsid w:val="006902A9"/>
    <w:rsid w:val="0069271D"/>
    <w:rsid w:val="0069349A"/>
    <w:rsid w:val="0069503F"/>
    <w:rsid w:val="00696F47"/>
    <w:rsid w:val="00697360"/>
    <w:rsid w:val="006A0C1E"/>
    <w:rsid w:val="006A2F86"/>
    <w:rsid w:val="006A3854"/>
    <w:rsid w:val="006B21BE"/>
    <w:rsid w:val="006B2322"/>
    <w:rsid w:val="006B4B24"/>
    <w:rsid w:val="006B69CD"/>
    <w:rsid w:val="006C03F9"/>
    <w:rsid w:val="006C0E0E"/>
    <w:rsid w:val="006C135D"/>
    <w:rsid w:val="006C2C62"/>
    <w:rsid w:val="006C3007"/>
    <w:rsid w:val="006C358F"/>
    <w:rsid w:val="006C4013"/>
    <w:rsid w:val="006C42F9"/>
    <w:rsid w:val="006C533A"/>
    <w:rsid w:val="006D0217"/>
    <w:rsid w:val="006D09F2"/>
    <w:rsid w:val="006D0D2D"/>
    <w:rsid w:val="006D26DD"/>
    <w:rsid w:val="006D39A1"/>
    <w:rsid w:val="006D4FC5"/>
    <w:rsid w:val="006D674B"/>
    <w:rsid w:val="006D68A6"/>
    <w:rsid w:val="006E002B"/>
    <w:rsid w:val="006E3E60"/>
    <w:rsid w:val="006E4BD5"/>
    <w:rsid w:val="006E636B"/>
    <w:rsid w:val="006E74EF"/>
    <w:rsid w:val="006F0042"/>
    <w:rsid w:val="006F05EC"/>
    <w:rsid w:val="006F0BB7"/>
    <w:rsid w:val="006F43AC"/>
    <w:rsid w:val="006F563D"/>
    <w:rsid w:val="006F6CB9"/>
    <w:rsid w:val="006F7C35"/>
    <w:rsid w:val="006F7E57"/>
    <w:rsid w:val="00700822"/>
    <w:rsid w:val="00700F52"/>
    <w:rsid w:val="007013AF"/>
    <w:rsid w:val="00702AA9"/>
    <w:rsid w:val="00703627"/>
    <w:rsid w:val="00707C0E"/>
    <w:rsid w:val="0071021B"/>
    <w:rsid w:val="00710AFA"/>
    <w:rsid w:val="00710CCD"/>
    <w:rsid w:val="007143BC"/>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7603"/>
    <w:rsid w:val="00737AB1"/>
    <w:rsid w:val="00742608"/>
    <w:rsid w:val="00744626"/>
    <w:rsid w:val="007455F2"/>
    <w:rsid w:val="007501AE"/>
    <w:rsid w:val="00750C5B"/>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6C8"/>
    <w:rsid w:val="00786CB7"/>
    <w:rsid w:val="0079020A"/>
    <w:rsid w:val="007943B7"/>
    <w:rsid w:val="0079495F"/>
    <w:rsid w:val="00795867"/>
    <w:rsid w:val="007A0296"/>
    <w:rsid w:val="007A1136"/>
    <w:rsid w:val="007A727A"/>
    <w:rsid w:val="007B044D"/>
    <w:rsid w:val="007B1A2E"/>
    <w:rsid w:val="007B1BCA"/>
    <w:rsid w:val="007B1E79"/>
    <w:rsid w:val="007B2414"/>
    <w:rsid w:val="007B2C82"/>
    <w:rsid w:val="007B3751"/>
    <w:rsid w:val="007B3AD5"/>
    <w:rsid w:val="007B412C"/>
    <w:rsid w:val="007B51AB"/>
    <w:rsid w:val="007B5D3F"/>
    <w:rsid w:val="007B6C22"/>
    <w:rsid w:val="007B6E44"/>
    <w:rsid w:val="007C0966"/>
    <w:rsid w:val="007C0B05"/>
    <w:rsid w:val="007C30E8"/>
    <w:rsid w:val="007C4ACC"/>
    <w:rsid w:val="007C60EE"/>
    <w:rsid w:val="007C6163"/>
    <w:rsid w:val="007D1FC8"/>
    <w:rsid w:val="007D4989"/>
    <w:rsid w:val="007D5D42"/>
    <w:rsid w:val="007D60E4"/>
    <w:rsid w:val="007E2488"/>
    <w:rsid w:val="007E2829"/>
    <w:rsid w:val="007E3D66"/>
    <w:rsid w:val="007E46B2"/>
    <w:rsid w:val="007E4969"/>
    <w:rsid w:val="007F704B"/>
    <w:rsid w:val="00800AF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5FE7"/>
    <w:rsid w:val="00826155"/>
    <w:rsid w:val="0082761B"/>
    <w:rsid w:val="00827F49"/>
    <w:rsid w:val="00834ED5"/>
    <w:rsid w:val="00837997"/>
    <w:rsid w:val="00841FDB"/>
    <w:rsid w:val="00842749"/>
    <w:rsid w:val="00844C79"/>
    <w:rsid w:val="00845D9D"/>
    <w:rsid w:val="00846486"/>
    <w:rsid w:val="008467FD"/>
    <w:rsid w:val="0084689E"/>
    <w:rsid w:val="00851D89"/>
    <w:rsid w:val="00852226"/>
    <w:rsid w:val="0085771C"/>
    <w:rsid w:val="008623EF"/>
    <w:rsid w:val="008624AD"/>
    <w:rsid w:val="00862668"/>
    <w:rsid w:val="008632C9"/>
    <w:rsid w:val="008637A4"/>
    <w:rsid w:val="00864A6D"/>
    <w:rsid w:val="00864B07"/>
    <w:rsid w:val="00871608"/>
    <w:rsid w:val="00871C41"/>
    <w:rsid w:val="0087285F"/>
    <w:rsid w:val="00874A86"/>
    <w:rsid w:val="0087797F"/>
    <w:rsid w:val="00881BEA"/>
    <w:rsid w:val="00885486"/>
    <w:rsid w:val="0088608E"/>
    <w:rsid w:val="00886C31"/>
    <w:rsid w:val="0089008B"/>
    <w:rsid w:val="0089368A"/>
    <w:rsid w:val="008965EA"/>
    <w:rsid w:val="00896760"/>
    <w:rsid w:val="0089737F"/>
    <w:rsid w:val="00897AA5"/>
    <w:rsid w:val="008A1E29"/>
    <w:rsid w:val="008A2B2E"/>
    <w:rsid w:val="008A402F"/>
    <w:rsid w:val="008A4191"/>
    <w:rsid w:val="008A6006"/>
    <w:rsid w:val="008B0184"/>
    <w:rsid w:val="008B19DA"/>
    <w:rsid w:val="008C1372"/>
    <w:rsid w:val="008C18D4"/>
    <w:rsid w:val="008C48B0"/>
    <w:rsid w:val="008C51E9"/>
    <w:rsid w:val="008D0558"/>
    <w:rsid w:val="008D1636"/>
    <w:rsid w:val="008D44BA"/>
    <w:rsid w:val="008D47B6"/>
    <w:rsid w:val="008D4F0E"/>
    <w:rsid w:val="008E07E2"/>
    <w:rsid w:val="008E08E4"/>
    <w:rsid w:val="008E17D6"/>
    <w:rsid w:val="008E323F"/>
    <w:rsid w:val="008E7A2F"/>
    <w:rsid w:val="008E7B09"/>
    <w:rsid w:val="008F29E9"/>
    <w:rsid w:val="008F2B41"/>
    <w:rsid w:val="008F2D29"/>
    <w:rsid w:val="008F3420"/>
    <w:rsid w:val="008F3891"/>
    <w:rsid w:val="00900193"/>
    <w:rsid w:val="00904DBA"/>
    <w:rsid w:val="009068C6"/>
    <w:rsid w:val="0091225C"/>
    <w:rsid w:val="00912BA6"/>
    <w:rsid w:val="00914FAB"/>
    <w:rsid w:val="00915851"/>
    <w:rsid w:val="00916F7B"/>
    <w:rsid w:val="00920864"/>
    <w:rsid w:val="00920B34"/>
    <w:rsid w:val="00921300"/>
    <w:rsid w:val="009217BB"/>
    <w:rsid w:val="00922364"/>
    <w:rsid w:val="009227F6"/>
    <w:rsid w:val="009276D5"/>
    <w:rsid w:val="009308DE"/>
    <w:rsid w:val="00930A4A"/>
    <w:rsid w:val="00930E08"/>
    <w:rsid w:val="00930EB5"/>
    <w:rsid w:val="009324AB"/>
    <w:rsid w:val="00932C34"/>
    <w:rsid w:val="00932D0C"/>
    <w:rsid w:val="0093366D"/>
    <w:rsid w:val="009351D5"/>
    <w:rsid w:val="009367AA"/>
    <w:rsid w:val="009369A0"/>
    <w:rsid w:val="00943EE1"/>
    <w:rsid w:val="0094493C"/>
    <w:rsid w:val="009460D9"/>
    <w:rsid w:val="00946688"/>
    <w:rsid w:val="009511F9"/>
    <w:rsid w:val="0095223E"/>
    <w:rsid w:val="009525CA"/>
    <w:rsid w:val="00952952"/>
    <w:rsid w:val="00953D02"/>
    <w:rsid w:val="00956448"/>
    <w:rsid w:val="00957829"/>
    <w:rsid w:val="009612B9"/>
    <w:rsid w:val="009620CC"/>
    <w:rsid w:val="009647F5"/>
    <w:rsid w:val="009711BE"/>
    <w:rsid w:val="00972315"/>
    <w:rsid w:val="00972344"/>
    <w:rsid w:val="009727DF"/>
    <w:rsid w:val="00972AE4"/>
    <w:rsid w:val="00972C2E"/>
    <w:rsid w:val="00973317"/>
    <w:rsid w:val="0097480D"/>
    <w:rsid w:val="00977814"/>
    <w:rsid w:val="00977C44"/>
    <w:rsid w:val="00981575"/>
    <w:rsid w:val="00981E0A"/>
    <w:rsid w:val="009832A0"/>
    <w:rsid w:val="00984D17"/>
    <w:rsid w:val="00985F95"/>
    <w:rsid w:val="0098767C"/>
    <w:rsid w:val="00987B7D"/>
    <w:rsid w:val="0099340A"/>
    <w:rsid w:val="009952BD"/>
    <w:rsid w:val="00995BCD"/>
    <w:rsid w:val="0099671D"/>
    <w:rsid w:val="00997296"/>
    <w:rsid w:val="009972D7"/>
    <w:rsid w:val="009A0830"/>
    <w:rsid w:val="009A140E"/>
    <w:rsid w:val="009A22CF"/>
    <w:rsid w:val="009A5039"/>
    <w:rsid w:val="009A61C9"/>
    <w:rsid w:val="009A6724"/>
    <w:rsid w:val="009A6B27"/>
    <w:rsid w:val="009A7B21"/>
    <w:rsid w:val="009B199D"/>
    <w:rsid w:val="009B1F5F"/>
    <w:rsid w:val="009B2E3E"/>
    <w:rsid w:val="009B389E"/>
    <w:rsid w:val="009B3999"/>
    <w:rsid w:val="009B4458"/>
    <w:rsid w:val="009B622C"/>
    <w:rsid w:val="009B6FF9"/>
    <w:rsid w:val="009B75CC"/>
    <w:rsid w:val="009C0EE1"/>
    <w:rsid w:val="009C295C"/>
    <w:rsid w:val="009C327D"/>
    <w:rsid w:val="009C370D"/>
    <w:rsid w:val="009C40CA"/>
    <w:rsid w:val="009C78AC"/>
    <w:rsid w:val="009C7D8F"/>
    <w:rsid w:val="009D24FB"/>
    <w:rsid w:val="009D3924"/>
    <w:rsid w:val="009D4A2A"/>
    <w:rsid w:val="009D6A98"/>
    <w:rsid w:val="009E2093"/>
    <w:rsid w:val="009E2794"/>
    <w:rsid w:val="009E3385"/>
    <w:rsid w:val="009E40F2"/>
    <w:rsid w:val="009E5460"/>
    <w:rsid w:val="009E76C2"/>
    <w:rsid w:val="009E7D04"/>
    <w:rsid w:val="009E7F7A"/>
    <w:rsid w:val="009F0EC2"/>
    <w:rsid w:val="009F150E"/>
    <w:rsid w:val="009F2F8C"/>
    <w:rsid w:val="009F43B4"/>
    <w:rsid w:val="009F5F0E"/>
    <w:rsid w:val="009F73AD"/>
    <w:rsid w:val="009F76FF"/>
    <w:rsid w:val="00A01DD6"/>
    <w:rsid w:val="00A02B6D"/>
    <w:rsid w:val="00A06CEE"/>
    <w:rsid w:val="00A07294"/>
    <w:rsid w:val="00A106A3"/>
    <w:rsid w:val="00A11B13"/>
    <w:rsid w:val="00A148EC"/>
    <w:rsid w:val="00A14CCC"/>
    <w:rsid w:val="00A1511F"/>
    <w:rsid w:val="00A15902"/>
    <w:rsid w:val="00A16297"/>
    <w:rsid w:val="00A163C6"/>
    <w:rsid w:val="00A16445"/>
    <w:rsid w:val="00A2003F"/>
    <w:rsid w:val="00A2026F"/>
    <w:rsid w:val="00A21A8C"/>
    <w:rsid w:val="00A21FC3"/>
    <w:rsid w:val="00A22137"/>
    <w:rsid w:val="00A269DD"/>
    <w:rsid w:val="00A32A0A"/>
    <w:rsid w:val="00A32CC8"/>
    <w:rsid w:val="00A336E3"/>
    <w:rsid w:val="00A37078"/>
    <w:rsid w:val="00A41FFD"/>
    <w:rsid w:val="00A42302"/>
    <w:rsid w:val="00A42387"/>
    <w:rsid w:val="00A44AAA"/>
    <w:rsid w:val="00A46182"/>
    <w:rsid w:val="00A47455"/>
    <w:rsid w:val="00A47E9D"/>
    <w:rsid w:val="00A501AE"/>
    <w:rsid w:val="00A514B6"/>
    <w:rsid w:val="00A536E3"/>
    <w:rsid w:val="00A55CC0"/>
    <w:rsid w:val="00A6065F"/>
    <w:rsid w:val="00A62B79"/>
    <w:rsid w:val="00A63061"/>
    <w:rsid w:val="00A63356"/>
    <w:rsid w:val="00A64268"/>
    <w:rsid w:val="00A6549C"/>
    <w:rsid w:val="00A65570"/>
    <w:rsid w:val="00A7111B"/>
    <w:rsid w:val="00A72893"/>
    <w:rsid w:val="00A74DAF"/>
    <w:rsid w:val="00A75526"/>
    <w:rsid w:val="00A7659C"/>
    <w:rsid w:val="00A76BC3"/>
    <w:rsid w:val="00A86207"/>
    <w:rsid w:val="00A90683"/>
    <w:rsid w:val="00A90EA1"/>
    <w:rsid w:val="00A9221E"/>
    <w:rsid w:val="00AA12B5"/>
    <w:rsid w:val="00AA1DBC"/>
    <w:rsid w:val="00AA2DD6"/>
    <w:rsid w:val="00AA4097"/>
    <w:rsid w:val="00AA583E"/>
    <w:rsid w:val="00AA5B84"/>
    <w:rsid w:val="00AA6962"/>
    <w:rsid w:val="00AA7433"/>
    <w:rsid w:val="00AB0943"/>
    <w:rsid w:val="00AB0BA7"/>
    <w:rsid w:val="00AB1C2C"/>
    <w:rsid w:val="00AB1DB5"/>
    <w:rsid w:val="00AB5D32"/>
    <w:rsid w:val="00AC414E"/>
    <w:rsid w:val="00AC4F52"/>
    <w:rsid w:val="00AC76BD"/>
    <w:rsid w:val="00AD1A92"/>
    <w:rsid w:val="00AD28F4"/>
    <w:rsid w:val="00AE218F"/>
    <w:rsid w:val="00AE48CF"/>
    <w:rsid w:val="00AE7A5F"/>
    <w:rsid w:val="00AE7F79"/>
    <w:rsid w:val="00AF3C04"/>
    <w:rsid w:val="00AF67BD"/>
    <w:rsid w:val="00AF7873"/>
    <w:rsid w:val="00B000EC"/>
    <w:rsid w:val="00B00203"/>
    <w:rsid w:val="00B01AA3"/>
    <w:rsid w:val="00B02133"/>
    <w:rsid w:val="00B02663"/>
    <w:rsid w:val="00B0360B"/>
    <w:rsid w:val="00B03E0A"/>
    <w:rsid w:val="00B05DEE"/>
    <w:rsid w:val="00B0655B"/>
    <w:rsid w:val="00B068B1"/>
    <w:rsid w:val="00B20612"/>
    <w:rsid w:val="00B20B58"/>
    <w:rsid w:val="00B21008"/>
    <w:rsid w:val="00B21457"/>
    <w:rsid w:val="00B2293A"/>
    <w:rsid w:val="00B22D14"/>
    <w:rsid w:val="00B25FAA"/>
    <w:rsid w:val="00B26257"/>
    <w:rsid w:val="00B30DD7"/>
    <w:rsid w:val="00B314D9"/>
    <w:rsid w:val="00B330DB"/>
    <w:rsid w:val="00B36D8B"/>
    <w:rsid w:val="00B36F5E"/>
    <w:rsid w:val="00B36FD7"/>
    <w:rsid w:val="00B376A8"/>
    <w:rsid w:val="00B401FA"/>
    <w:rsid w:val="00B4441D"/>
    <w:rsid w:val="00B44726"/>
    <w:rsid w:val="00B44DBE"/>
    <w:rsid w:val="00B46D17"/>
    <w:rsid w:val="00B47E7E"/>
    <w:rsid w:val="00B51C56"/>
    <w:rsid w:val="00B52A05"/>
    <w:rsid w:val="00B567CF"/>
    <w:rsid w:val="00B62C9C"/>
    <w:rsid w:val="00B64B47"/>
    <w:rsid w:val="00B64C79"/>
    <w:rsid w:val="00B67834"/>
    <w:rsid w:val="00B729F1"/>
    <w:rsid w:val="00B7418B"/>
    <w:rsid w:val="00B77495"/>
    <w:rsid w:val="00B803E5"/>
    <w:rsid w:val="00B8280A"/>
    <w:rsid w:val="00B831F9"/>
    <w:rsid w:val="00B93CFF"/>
    <w:rsid w:val="00B94617"/>
    <w:rsid w:val="00B94A29"/>
    <w:rsid w:val="00BA0839"/>
    <w:rsid w:val="00BA104A"/>
    <w:rsid w:val="00BA143F"/>
    <w:rsid w:val="00BA3498"/>
    <w:rsid w:val="00BA60BC"/>
    <w:rsid w:val="00BA6577"/>
    <w:rsid w:val="00BB04CE"/>
    <w:rsid w:val="00BB225A"/>
    <w:rsid w:val="00BB242D"/>
    <w:rsid w:val="00BB3EC0"/>
    <w:rsid w:val="00BB49BC"/>
    <w:rsid w:val="00BB52F5"/>
    <w:rsid w:val="00BC3CD3"/>
    <w:rsid w:val="00BC43B1"/>
    <w:rsid w:val="00BC492C"/>
    <w:rsid w:val="00BC526F"/>
    <w:rsid w:val="00BC6EA1"/>
    <w:rsid w:val="00BC7630"/>
    <w:rsid w:val="00BC7A26"/>
    <w:rsid w:val="00BD07A1"/>
    <w:rsid w:val="00BD0BBA"/>
    <w:rsid w:val="00BD0C1A"/>
    <w:rsid w:val="00BD0F45"/>
    <w:rsid w:val="00BD0F70"/>
    <w:rsid w:val="00BD20C7"/>
    <w:rsid w:val="00BD2C28"/>
    <w:rsid w:val="00BD2C97"/>
    <w:rsid w:val="00BD333C"/>
    <w:rsid w:val="00BD34F1"/>
    <w:rsid w:val="00BD3C5C"/>
    <w:rsid w:val="00BD63B4"/>
    <w:rsid w:val="00BD7001"/>
    <w:rsid w:val="00BD7AEC"/>
    <w:rsid w:val="00BE1B72"/>
    <w:rsid w:val="00BE5EB3"/>
    <w:rsid w:val="00BE65A4"/>
    <w:rsid w:val="00BE7994"/>
    <w:rsid w:val="00BE7C57"/>
    <w:rsid w:val="00BF21EB"/>
    <w:rsid w:val="00BF350C"/>
    <w:rsid w:val="00BF53E9"/>
    <w:rsid w:val="00BF5BA2"/>
    <w:rsid w:val="00BF6E0A"/>
    <w:rsid w:val="00C00C5C"/>
    <w:rsid w:val="00C01C91"/>
    <w:rsid w:val="00C0215C"/>
    <w:rsid w:val="00C05F74"/>
    <w:rsid w:val="00C06D99"/>
    <w:rsid w:val="00C06FC3"/>
    <w:rsid w:val="00C07FDE"/>
    <w:rsid w:val="00C11E19"/>
    <w:rsid w:val="00C152E1"/>
    <w:rsid w:val="00C1601C"/>
    <w:rsid w:val="00C210FE"/>
    <w:rsid w:val="00C2231B"/>
    <w:rsid w:val="00C22B4B"/>
    <w:rsid w:val="00C2796F"/>
    <w:rsid w:val="00C31748"/>
    <w:rsid w:val="00C377DC"/>
    <w:rsid w:val="00C40E8B"/>
    <w:rsid w:val="00C45826"/>
    <w:rsid w:val="00C45FED"/>
    <w:rsid w:val="00C50EC1"/>
    <w:rsid w:val="00C524BA"/>
    <w:rsid w:val="00C52715"/>
    <w:rsid w:val="00C5304D"/>
    <w:rsid w:val="00C53EF1"/>
    <w:rsid w:val="00C54DF1"/>
    <w:rsid w:val="00C5665C"/>
    <w:rsid w:val="00C5705D"/>
    <w:rsid w:val="00C57D06"/>
    <w:rsid w:val="00C61A53"/>
    <w:rsid w:val="00C626A0"/>
    <w:rsid w:val="00C6375F"/>
    <w:rsid w:val="00C65FCE"/>
    <w:rsid w:val="00C67A1D"/>
    <w:rsid w:val="00C70FA1"/>
    <w:rsid w:val="00C73445"/>
    <w:rsid w:val="00C73589"/>
    <w:rsid w:val="00C75E13"/>
    <w:rsid w:val="00C75F56"/>
    <w:rsid w:val="00C762D1"/>
    <w:rsid w:val="00C80AD2"/>
    <w:rsid w:val="00C825DE"/>
    <w:rsid w:val="00C82F66"/>
    <w:rsid w:val="00C845D2"/>
    <w:rsid w:val="00C846B9"/>
    <w:rsid w:val="00C90A2C"/>
    <w:rsid w:val="00C91CF4"/>
    <w:rsid w:val="00C93B96"/>
    <w:rsid w:val="00C944C8"/>
    <w:rsid w:val="00C95D3C"/>
    <w:rsid w:val="00C9761B"/>
    <w:rsid w:val="00CA081F"/>
    <w:rsid w:val="00CA3466"/>
    <w:rsid w:val="00CA42AB"/>
    <w:rsid w:val="00CA5882"/>
    <w:rsid w:val="00CA684E"/>
    <w:rsid w:val="00CA75C2"/>
    <w:rsid w:val="00CA7C42"/>
    <w:rsid w:val="00CB0442"/>
    <w:rsid w:val="00CB18F8"/>
    <w:rsid w:val="00CB27DA"/>
    <w:rsid w:val="00CB58D5"/>
    <w:rsid w:val="00CC021B"/>
    <w:rsid w:val="00CC4DAB"/>
    <w:rsid w:val="00CC5DCD"/>
    <w:rsid w:val="00CC79F2"/>
    <w:rsid w:val="00CD06CE"/>
    <w:rsid w:val="00CD0BE0"/>
    <w:rsid w:val="00CD0C03"/>
    <w:rsid w:val="00CD177B"/>
    <w:rsid w:val="00CD18B4"/>
    <w:rsid w:val="00CD2A08"/>
    <w:rsid w:val="00CD4327"/>
    <w:rsid w:val="00CD58B7"/>
    <w:rsid w:val="00CD6172"/>
    <w:rsid w:val="00CD7487"/>
    <w:rsid w:val="00CE0D79"/>
    <w:rsid w:val="00CE0F42"/>
    <w:rsid w:val="00CE3F0E"/>
    <w:rsid w:val="00CE426A"/>
    <w:rsid w:val="00CE4896"/>
    <w:rsid w:val="00CE581E"/>
    <w:rsid w:val="00CE71C6"/>
    <w:rsid w:val="00CF35AC"/>
    <w:rsid w:val="00CF4084"/>
    <w:rsid w:val="00CF48C2"/>
    <w:rsid w:val="00CF615A"/>
    <w:rsid w:val="00CF789D"/>
    <w:rsid w:val="00D0054E"/>
    <w:rsid w:val="00D014CE"/>
    <w:rsid w:val="00D052B3"/>
    <w:rsid w:val="00D101BA"/>
    <w:rsid w:val="00D1375D"/>
    <w:rsid w:val="00D16B85"/>
    <w:rsid w:val="00D1749D"/>
    <w:rsid w:val="00D20183"/>
    <w:rsid w:val="00D202BE"/>
    <w:rsid w:val="00D2139B"/>
    <w:rsid w:val="00D24988"/>
    <w:rsid w:val="00D251BB"/>
    <w:rsid w:val="00D272DF"/>
    <w:rsid w:val="00D3367B"/>
    <w:rsid w:val="00D3430F"/>
    <w:rsid w:val="00D34B35"/>
    <w:rsid w:val="00D42182"/>
    <w:rsid w:val="00D42655"/>
    <w:rsid w:val="00D42C53"/>
    <w:rsid w:val="00D43027"/>
    <w:rsid w:val="00D431D8"/>
    <w:rsid w:val="00D43A23"/>
    <w:rsid w:val="00D444AB"/>
    <w:rsid w:val="00D446D3"/>
    <w:rsid w:val="00D47265"/>
    <w:rsid w:val="00D507C3"/>
    <w:rsid w:val="00D52EA6"/>
    <w:rsid w:val="00D5399E"/>
    <w:rsid w:val="00D54E10"/>
    <w:rsid w:val="00D57B00"/>
    <w:rsid w:val="00D6099A"/>
    <w:rsid w:val="00D61802"/>
    <w:rsid w:val="00D625A1"/>
    <w:rsid w:val="00D63269"/>
    <w:rsid w:val="00D63637"/>
    <w:rsid w:val="00D6368E"/>
    <w:rsid w:val="00D63956"/>
    <w:rsid w:val="00D63E5C"/>
    <w:rsid w:val="00D65A78"/>
    <w:rsid w:val="00D6660E"/>
    <w:rsid w:val="00D7397C"/>
    <w:rsid w:val="00D73B4B"/>
    <w:rsid w:val="00D73E54"/>
    <w:rsid w:val="00D74804"/>
    <w:rsid w:val="00D7561F"/>
    <w:rsid w:val="00D75F28"/>
    <w:rsid w:val="00D7657C"/>
    <w:rsid w:val="00D81A3A"/>
    <w:rsid w:val="00D84E7D"/>
    <w:rsid w:val="00D85B76"/>
    <w:rsid w:val="00D945FF"/>
    <w:rsid w:val="00DA30D4"/>
    <w:rsid w:val="00DA3DB6"/>
    <w:rsid w:val="00DA449F"/>
    <w:rsid w:val="00DA736B"/>
    <w:rsid w:val="00DA7F5D"/>
    <w:rsid w:val="00DB0451"/>
    <w:rsid w:val="00DB3CCF"/>
    <w:rsid w:val="00DB56B5"/>
    <w:rsid w:val="00DC0DDA"/>
    <w:rsid w:val="00DC2C59"/>
    <w:rsid w:val="00DC312D"/>
    <w:rsid w:val="00DC455B"/>
    <w:rsid w:val="00DC5DA7"/>
    <w:rsid w:val="00DC714A"/>
    <w:rsid w:val="00DD25E3"/>
    <w:rsid w:val="00DD25FC"/>
    <w:rsid w:val="00DD2733"/>
    <w:rsid w:val="00DD4C3B"/>
    <w:rsid w:val="00DD5FD8"/>
    <w:rsid w:val="00DE1C04"/>
    <w:rsid w:val="00DE303B"/>
    <w:rsid w:val="00DE3458"/>
    <w:rsid w:val="00DE3DBD"/>
    <w:rsid w:val="00DE4784"/>
    <w:rsid w:val="00DE626E"/>
    <w:rsid w:val="00DE7900"/>
    <w:rsid w:val="00DF00D6"/>
    <w:rsid w:val="00DF2C0B"/>
    <w:rsid w:val="00DF3859"/>
    <w:rsid w:val="00DF3DBE"/>
    <w:rsid w:val="00DF60A0"/>
    <w:rsid w:val="00E01968"/>
    <w:rsid w:val="00E02EA7"/>
    <w:rsid w:val="00E03106"/>
    <w:rsid w:val="00E03E22"/>
    <w:rsid w:val="00E05749"/>
    <w:rsid w:val="00E06515"/>
    <w:rsid w:val="00E10A1E"/>
    <w:rsid w:val="00E11DFD"/>
    <w:rsid w:val="00E14339"/>
    <w:rsid w:val="00E15CCB"/>
    <w:rsid w:val="00E17F4E"/>
    <w:rsid w:val="00E20083"/>
    <w:rsid w:val="00E225C6"/>
    <w:rsid w:val="00E226E6"/>
    <w:rsid w:val="00E22E09"/>
    <w:rsid w:val="00E2431A"/>
    <w:rsid w:val="00E25613"/>
    <w:rsid w:val="00E26A69"/>
    <w:rsid w:val="00E33996"/>
    <w:rsid w:val="00E34068"/>
    <w:rsid w:val="00E349BB"/>
    <w:rsid w:val="00E3563D"/>
    <w:rsid w:val="00E35839"/>
    <w:rsid w:val="00E41F7F"/>
    <w:rsid w:val="00E4207B"/>
    <w:rsid w:val="00E42206"/>
    <w:rsid w:val="00E4330A"/>
    <w:rsid w:val="00E43DA2"/>
    <w:rsid w:val="00E445C3"/>
    <w:rsid w:val="00E51DB2"/>
    <w:rsid w:val="00E53CA6"/>
    <w:rsid w:val="00E54A58"/>
    <w:rsid w:val="00E562E0"/>
    <w:rsid w:val="00E57F28"/>
    <w:rsid w:val="00E60078"/>
    <w:rsid w:val="00E62EDE"/>
    <w:rsid w:val="00E649C8"/>
    <w:rsid w:val="00E658B7"/>
    <w:rsid w:val="00E66300"/>
    <w:rsid w:val="00E67501"/>
    <w:rsid w:val="00E70E76"/>
    <w:rsid w:val="00E74016"/>
    <w:rsid w:val="00E77485"/>
    <w:rsid w:val="00E80E0A"/>
    <w:rsid w:val="00E81C4D"/>
    <w:rsid w:val="00E84918"/>
    <w:rsid w:val="00E85A64"/>
    <w:rsid w:val="00E8638F"/>
    <w:rsid w:val="00E9621C"/>
    <w:rsid w:val="00E96B79"/>
    <w:rsid w:val="00EA027E"/>
    <w:rsid w:val="00EA1BAC"/>
    <w:rsid w:val="00EA3FEE"/>
    <w:rsid w:val="00EA6533"/>
    <w:rsid w:val="00EB1AF1"/>
    <w:rsid w:val="00EB2263"/>
    <w:rsid w:val="00EB2A57"/>
    <w:rsid w:val="00EB371B"/>
    <w:rsid w:val="00EB4D7D"/>
    <w:rsid w:val="00EB5763"/>
    <w:rsid w:val="00EB5846"/>
    <w:rsid w:val="00EB7229"/>
    <w:rsid w:val="00EB7FBD"/>
    <w:rsid w:val="00EC0742"/>
    <w:rsid w:val="00EC0D53"/>
    <w:rsid w:val="00EC198A"/>
    <w:rsid w:val="00EC2015"/>
    <w:rsid w:val="00EC4057"/>
    <w:rsid w:val="00EC41B3"/>
    <w:rsid w:val="00EC4B18"/>
    <w:rsid w:val="00EC5F1E"/>
    <w:rsid w:val="00ED01E4"/>
    <w:rsid w:val="00ED03D6"/>
    <w:rsid w:val="00ED28DE"/>
    <w:rsid w:val="00ED2F5A"/>
    <w:rsid w:val="00ED515A"/>
    <w:rsid w:val="00ED6A0D"/>
    <w:rsid w:val="00ED7214"/>
    <w:rsid w:val="00ED7C8C"/>
    <w:rsid w:val="00EE0032"/>
    <w:rsid w:val="00EE0C2D"/>
    <w:rsid w:val="00EE3DEC"/>
    <w:rsid w:val="00EE7C59"/>
    <w:rsid w:val="00EF0823"/>
    <w:rsid w:val="00EF0E14"/>
    <w:rsid w:val="00EF2A9A"/>
    <w:rsid w:val="00EF3B69"/>
    <w:rsid w:val="00EF6A8D"/>
    <w:rsid w:val="00F03A68"/>
    <w:rsid w:val="00F040D7"/>
    <w:rsid w:val="00F05AA2"/>
    <w:rsid w:val="00F05AEB"/>
    <w:rsid w:val="00F0605D"/>
    <w:rsid w:val="00F0665F"/>
    <w:rsid w:val="00F06C3D"/>
    <w:rsid w:val="00F12F7E"/>
    <w:rsid w:val="00F14D80"/>
    <w:rsid w:val="00F16291"/>
    <w:rsid w:val="00F16C40"/>
    <w:rsid w:val="00F16D40"/>
    <w:rsid w:val="00F2689C"/>
    <w:rsid w:val="00F2720C"/>
    <w:rsid w:val="00F2753A"/>
    <w:rsid w:val="00F278EB"/>
    <w:rsid w:val="00F30912"/>
    <w:rsid w:val="00F31F48"/>
    <w:rsid w:val="00F3466E"/>
    <w:rsid w:val="00F3760A"/>
    <w:rsid w:val="00F43A1F"/>
    <w:rsid w:val="00F45203"/>
    <w:rsid w:val="00F505DF"/>
    <w:rsid w:val="00F50713"/>
    <w:rsid w:val="00F5078C"/>
    <w:rsid w:val="00F513B0"/>
    <w:rsid w:val="00F5297A"/>
    <w:rsid w:val="00F572AC"/>
    <w:rsid w:val="00F57B0B"/>
    <w:rsid w:val="00F6033F"/>
    <w:rsid w:val="00F610C0"/>
    <w:rsid w:val="00F63246"/>
    <w:rsid w:val="00F67419"/>
    <w:rsid w:val="00F71717"/>
    <w:rsid w:val="00F71C89"/>
    <w:rsid w:val="00F722D9"/>
    <w:rsid w:val="00F731B0"/>
    <w:rsid w:val="00F732C7"/>
    <w:rsid w:val="00F73A55"/>
    <w:rsid w:val="00F73B8D"/>
    <w:rsid w:val="00F7697A"/>
    <w:rsid w:val="00F777C0"/>
    <w:rsid w:val="00F800D8"/>
    <w:rsid w:val="00F8641E"/>
    <w:rsid w:val="00F95B31"/>
    <w:rsid w:val="00F95C7C"/>
    <w:rsid w:val="00F97610"/>
    <w:rsid w:val="00FA08DB"/>
    <w:rsid w:val="00FA1AB1"/>
    <w:rsid w:val="00FA230A"/>
    <w:rsid w:val="00FA23FE"/>
    <w:rsid w:val="00FA2906"/>
    <w:rsid w:val="00FA293F"/>
    <w:rsid w:val="00FA627E"/>
    <w:rsid w:val="00FA6661"/>
    <w:rsid w:val="00FA7AF6"/>
    <w:rsid w:val="00FB0D0B"/>
    <w:rsid w:val="00FB533A"/>
    <w:rsid w:val="00FB602A"/>
    <w:rsid w:val="00FB690C"/>
    <w:rsid w:val="00FB6BF0"/>
    <w:rsid w:val="00FB7430"/>
    <w:rsid w:val="00FC4766"/>
    <w:rsid w:val="00FC4D52"/>
    <w:rsid w:val="00FC6B0E"/>
    <w:rsid w:val="00FC7700"/>
    <w:rsid w:val="00FC7FB0"/>
    <w:rsid w:val="00FD06F3"/>
    <w:rsid w:val="00FD27A9"/>
    <w:rsid w:val="00FD2A8B"/>
    <w:rsid w:val="00FD358F"/>
    <w:rsid w:val="00FD3E92"/>
    <w:rsid w:val="00FD4DF9"/>
    <w:rsid w:val="00FD57E8"/>
    <w:rsid w:val="00FD5AFB"/>
    <w:rsid w:val="00FE1915"/>
    <w:rsid w:val="00FE3D9D"/>
    <w:rsid w:val="00FE5DC0"/>
    <w:rsid w:val="00FE66AF"/>
    <w:rsid w:val="00FE738C"/>
    <w:rsid w:val="00FF50BD"/>
    <w:rsid w:val="00FF5171"/>
    <w:rsid w:val="00FF6371"/>
    <w:rsid w:val="00FF7091"/>
    <w:rsid w:val="00FF7505"/>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Heading1">
    <w:name w:val="heading 1"/>
    <w:basedOn w:val="Normal"/>
    <w:next w:val="Normal"/>
    <w:qFormat/>
    <w:rsid w:val="003F44AF"/>
    <w:pPr>
      <w:keepNext/>
      <w:suppressLineNumbers/>
      <w:jc w:val="center"/>
      <w:outlineLvl w:val="0"/>
    </w:pPr>
    <w:rPr>
      <w:b/>
      <w:sz w:val="36"/>
      <w:szCs w:val="20"/>
      <w:lang w:val="es-ES"/>
    </w:rPr>
  </w:style>
  <w:style w:type="paragraph" w:styleId="Heading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3F44AF"/>
    <w:pPr>
      <w:keepNext/>
      <w:jc w:val="center"/>
      <w:outlineLvl w:val="2"/>
    </w:pPr>
    <w:rPr>
      <w:rFonts w:ascii="Arial" w:hAnsi="Arial"/>
      <w:b/>
      <w:szCs w:val="20"/>
      <w:lang w:val="es-ES_tradnl"/>
    </w:rPr>
  </w:style>
  <w:style w:type="paragraph" w:styleId="Heading4">
    <w:name w:val="heading 4"/>
    <w:basedOn w:val="Normal"/>
    <w:next w:val="Normal"/>
    <w:qFormat/>
    <w:rsid w:val="003F44AF"/>
    <w:pPr>
      <w:keepNext/>
      <w:jc w:val="center"/>
      <w:outlineLvl w:val="3"/>
    </w:pPr>
    <w:rPr>
      <w:rFonts w:ascii="Arial" w:hAnsi="Arial"/>
      <w:b/>
      <w:szCs w:val="20"/>
      <w:lang w:val="es-ES_tradnl"/>
    </w:rPr>
  </w:style>
  <w:style w:type="paragraph" w:styleId="Heading5">
    <w:name w:val="heading 5"/>
    <w:next w:val="Normal"/>
    <w:qFormat/>
    <w:rsid w:val="003F44AF"/>
    <w:pPr>
      <w:outlineLvl w:val="4"/>
    </w:pPr>
    <w:rPr>
      <w:noProof/>
    </w:rPr>
  </w:style>
  <w:style w:type="paragraph" w:styleId="Heading6">
    <w:name w:val="heading 6"/>
    <w:basedOn w:val="Normal"/>
    <w:next w:val="Normal"/>
    <w:qFormat/>
    <w:rsid w:val="003F44AF"/>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F44AF"/>
    <w:pPr>
      <w:jc w:val="both"/>
    </w:pPr>
  </w:style>
  <w:style w:type="paragraph" w:styleId="BodyTextIndent">
    <w:name w:val="Body Text Indent"/>
    <w:basedOn w:val="Normal"/>
    <w:link w:val="BodyTextIndentChar"/>
    <w:rsid w:val="003F44AF"/>
    <w:pPr>
      <w:ind w:left="720"/>
      <w:jc w:val="both"/>
    </w:pPr>
  </w:style>
  <w:style w:type="paragraph" w:styleId="Header">
    <w:name w:val="header"/>
    <w:basedOn w:val="Normal"/>
    <w:rsid w:val="003F44AF"/>
    <w:pPr>
      <w:tabs>
        <w:tab w:val="center" w:pos="4320"/>
        <w:tab w:val="right" w:pos="8640"/>
      </w:tabs>
    </w:pPr>
  </w:style>
  <w:style w:type="character" w:styleId="PageNumber">
    <w:name w:val="page number"/>
    <w:basedOn w:val="DefaultParagraphFont"/>
    <w:rsid w:val="003F44AF"/>
  </w:style>
  <w:style w:type="paragraph" w:styleId="Footer">
    <w:name w:val="footer"/>
    <w:basedOn w:val="Normal"/>
    <w:rsid w:val="003F44AF"/>
    <w:pPr>
      <w:tabs>
        <w:tab w:val="center" w:pos="4320"/>
        <w:tab w:val="right" w:pos="8640"/>
      </w:tabs>
    </w:pPr>
  </w:style>
  <w:style w:type="character" w:styleId="LineNumber">
    <w:name w:val="line number"/>
    <w:basedOn w:val="DefaultParagraphFont"/>
    <w:rsid w:val="003F44AF"/>
  </w:style>
  <w:style w:type="paragraph" w:styleId="BalloonText">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yperlink">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ListParagraph">
    <w:name w:val="List Paragraph"/>
    <w:basedOn w:val="Normal"/>
    <w:uiPriority w:val="34"/>
    <w:qFormat/>
    <w:rsid w:val="00327B78"/>
    <w:pPr>
      <w:ind w:left="720"/>
      <w:contextualSpacing/>
    </w:pPr>
  </w:style>
  <w:style w:type="character" w:customStyle="1" w:styleId="BodyTextIndentChar">
    <w:name w:val="Body Text Indent Char"/>
    <w:basedOn w:val="DefaultParagraphFont"/>
    <w:link w:val="BodyTextIndent"/>
    <w:rsid w:val="004877B2"/>
    <w:rPr>
      <w:sz w:val="24"/>
      <w:szCs w:val="24"/>
    </w:rPr>
  </w:style>
  <w:style w:type="character" w:styleId="CommentReference">
    <w:name w:val="annotation reference"/>
    <w:basedOn w:val="DefaultParagraphFont"/>
    <w:semiHidden/>
    <w:unhideWhenUsed/>
    <w:rsid w:val="005E1100"/>
    <w:rPr>
      <w:sz w:val="16"/>
      <w:szCs w:val="16"/>
    </w:rPr>
  </w:style>
  <w:style w:type="paragraph" w:styleId="CommentText">
    <w:name w:val="annotation text"/>
    <w:basedOn w:val="Normal"/>
    <w:link w:val="CommentTextChar"/>
    <w:unhideWhenUsed/>
    <w:rsid w:val="005E1100"/>
    <w:rPr>
      <w:sz w:val="20"/>
      <w:szCs w:val="20"/>
    </w:rPr>
  </w:style>
  <w:style w:type="character" w:customStyle="1" w:styleId="CommentTextChar">
    <w:name w:val="Comment Text Char"/>
    <w:basedOn w:val="DefaultParagraphFont"/>
    <w:link w:val="CommentText"/>
    <w:rsid w:val="005E1100"/>
  </w:style>
  <w:style w:type="paragraph" w:styleId="CommentSubject">
    <w:name w:val="annotation subject"/>
    <w:basedOn w:val="CommentText"/>
    <w:next w:val="CommentText"/>
    <w:link w:val="CommentSubjectChar"/>
    <w:semiHidden/>
    <w:unhideWhenUsed/>
    <w:rsid w:val="005E1100"/>
    <w:rPr>
      <w:b/>
      <w:bCs/>
    </w:rPr>
  </w:style>
  <w:style w:type="character" w:customStyle="1" w:styleId="CommentSubjectChar">
    <w:name w:val="Comment Subject Char"/>
    <w:basedOn w:val="CommentTextChar"/>
    <w:link w:val="CommentSubject"/>
    <w:semiHidden/>
    <w:rsid w:val="005E1100"/>
    <w:rPr>
      <w:b/>
      <w:bCs/>
    </w:rPr>
  </w:style>
  <w:style w:type="paragraph" w:styleId="FootnoteText">
    <w:name w:val="footnote text"/>
    <w:basedOn w:val="Normal"/>
    <w:link w:val="FootnoteTextChar"/>
    <w:unhideWhenUsed/>
    <w:rsid w:val="002D0E0E"/>
    <w:rPr>
      <w:sz w:val="20"/>
      <w:szCs w:val="20"/>
    </w:rPr>
  </w:style>
  <w:style w:type="character" w:customStyle="1" w:styleId="FootnoteTextChar">
    <w:name w:val="Footnote Text Char"/>
    <w:basedOn w:val="DefaultParagraphFont"/>
    <w:link w:val="FootnoteText"/>
    <w:rsid w:val="002D0E0E"/>
  </w:style>
  <w:style w:type="character" w:styleId="FootnoteReference">
    <w:name w:val="footnote reference"/>
    <w:basedOn w:val="DefaultParagraphFont"/>
    <w:unhideWhenUsed/>
    <w:rsid w:val="002D0E0E"/>
    <w:rPr>
      <w:vertAlign w:val="superscript"/>
    </w:rPr>
  </w:style>
  <w:style w:type="character" w:customStyle="1" w:styleId="UnresolvedMention1">
    <w:name w:val="Unresolved Mention1"/>
    <w:basedOn w:val="DefaultParagraphFont"/>
    <w:uiPriority w:val="99"/>
    <w:semiHidden/>
    <w:unhideWhenUsed/>
    <w:rsid w:val="00FD3E92"/>
    <w:rPr>
      <w:color w:val="605E5C"/>
      <w:shd w:val="clear" w:color="auto" w:fill="E1DFDD"/>
    </w:rPr>
  </w:style>
  <w:style w:type="paragraph" w:styleId="NoSpacing">
    <w:name w:val="No Spacing"/>
    <w:uiPriority w:val="99"/>
    <w:qFormat/>
    <w:rsid w:val="00B36FD7"/>
    <w:rPr>
      <w:rFonts w:ascii="Calibri" w:hAnsi="Calibri"/>
      <w:sz w:val="22"/>
      <w:szCs w:val="22"/>
      <w:lang w:val="es-PR"/>
    </w:rPr>
  </w:style>
  <w:style w:type="paragraph" w:styleId="Revision">
    <w:name w:val="Revision"/>
    <w:hidden/>
    <w:uiPriority w:val="99"/>
    <w:semiHidden/>
    <w:rsid w:val="003F0EA2"/>
    <w:rPr>
      <w:sz w:val="24"/>
      <w:szCs w:val="24"/>
      <w:lang w:val="es-PR"/>
    </w:rPr>
  </w:style>
  <w:style w:type="character" w:customStyle="1" w:styleId="cf01">
    <w:name w:val="cf01"/>
    <w:basedOn w:val="DefaultParagraphFont"/>
    <w:rsid w:val="0009408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2199</Words>
  <Characters>12538</Characters>
  <Application>Microsoft Office Word</Application>
  <DocSecurity>4</DocSecurity>
  <Lines>104</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14708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Camyl Moreno Pantojas</cp:lastModifiedBy>
  <cp:revision>2</cp:revision>
  <cp:lastPrinted>2026-06-15T13:56:00Z</cp:lastPrinted>
  <dcterms:created xsi:type="dcterms:W3CDTF">2026-06-15T19:09:00Z</dcterms:created>
  <dcterms:modified xsi:type="dcterms:W3CDTF">2026-06-15T19:09:00Z</dcterms:modified>
</cp:coreProperties>
</file>