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D2BDB" w14:textId="77777777" w:rsidR="00D325A5" w:rsidRPr="00D325A5" w:rsidRDefault="00D325A5" w:rsidP="00D325A5">
      <w:pPr>
        <w:suppressLineNumbers/>
        <w:spacing w:after="0" w:line="240" w:lineRule="auto"/>
        <w:jc w:val="center"/>
        <w:rPr>
          <w:rFonts w:ascii="Book Antiqua" w:eastAsia="Times New Roman" w:hAnsi="Book Antiqua" w:cs="Times New Roman"/>
          <w:bCs/>
          <w:color w:val="000000"/>
          <w:kern w:val="0"/>
          <w:sz w:val="28"/>
          <w:szCs w:val="28"/>
          <w:lang w:val="es-ES_tradnl"/>
          <w14:ligatures w14:val="none"/>
        </w:rPr>
      </w:pPr>
      <w:r w:rsidRPr="00D325A5">
        <w:rPr>
          <w:rFonts w:ascii="Book Antiqua" w:eastAsia="Times New Roman" w:hAnsi="Book Antiqua" w:cs="Times New Roman"/>
          <w:bCs/>
          <w:color w:val="000000"/>
          <w:kern w:val="0"/>
          <w:sz w:val="28"/>
          <w:szCs w:val="28"/>
          <w:lang w:val="es-ES_tradnl"/>
          <w14:ligatures w14:val="none"/>
        </w:rPr>
        <w:t>GOBIERNO DE PUERTO RICO</w:t>
      </w:r>
    </w:p>
    <w:p w14:paraId="51A84A52" w14:textId="77777777" w:rsidR="00D325A5" w:rsidRPr="00D325A5" w:rsidRDefault="00D325A5" w:rsidP="00D325A5">
      <w:pPr>
        <w:suppressLineNumbers/>
        <w:spacing w:after="0" w:line="240" w:lineRule="auto"/>
        <w:jc w:val="center"/>
        <w:rPr>
          <w:rFonts w:ascii="Book Antiqua" w:eastAsia="Times New Roman" w:hAnsi="Book Antiqua" w:cs="Times New Roman"/>
          <w:bCs/>
          <w:color w:val="000000"/>
          <w:kern w:val="0"/>
          <w:lang w:val="es-ES_tradnl"/>
          <w14:ligatures w14:val="none"/>
        </w:rPr>
      </w:pPr>
    </w:p>
    <w:p w14:paraId="40381CDB" w14:textId="77777777" w:rsidR="00D325A5" w:rsidRPr="00D325A5" w:rsidRDefault="00D325A5" w:rsidP="00D325A5">
      <w:pPr>
        <w:suppressLineNumbers/>
        <w:spacing w:after="0" w:line="240" w:lineRule="auto"/>
        <w:rPr>
          <w:rFonts w:ascii="Book Antiqua" w:eastAsia="Times New Roman" w:hAnsi="Book Antiqua" w:cs="Times New Roman"/>
          <w:bCs/>
          <w:color w:val="000000"/>
          <w:kern w:val="0"/>
          <w:lang w:val="es-PR"/>
          <w14:ligatures w14:val="none"/>
        </w:rPr>
      </w:pPr>
      <w:r w:rsidRPr="00D325A5">
        <w:rPr>
          <w:rFonts w:ascii="Book Antiqua" w:eastAsia="Times New Roman" w:hAnsi="Book Antiqua" w:cs="Times New Roman"/>
          <w:bCs/>
          <w:color w:val="000000"/>
          <w:kern w:val="0"/>
          <w:lang w:val="es-PR"/>
          <w14:ligatures w14:val="none"/>
        </w:rPr>
        <w:t>20ma.</w:t>
      </w:r>
      <w:r w:rsidRPr="00D325A5">
        <w:rPr>
          <w:rFonts w:ascii="Book Antiqua" w:eastAsia="Times New Roman" w:hAnsi="Book Antiqua" w:cs="Times New Roman"/>
          <w:bCs/>
          <w:color w:val="000000"/>
          <w:kern w:val="0"/>
          <w:lang w:val="es-PR"/>
          <w14:ligatures w14:val="none"/>
        </w:rPr>
        <w:tab/>
        <w:t xml:space="preserve">Asamblea </w:t>
      </w:r>
      <w:r w:rsidRPr="00D325A5">
        <w:rPr>
          <w:rFonts w:ascii="Book Antiqua" w:eastAsia="Times New Roman" w:hAnsi="Book Antiqua" w:cs="Times New Roman"/>
          <w:bCs/>
          <w:color w:val="000000"/>
          <w:kern w:val="0"/>
          <w:lang w:val="es-PR"/>
          <w14:ligatures w14:val="none"/>
        </w:rPr>
        <w:tab/>
      </w:r>
      <w:r w:rsidRPr="00D325A5">
        <w:rPr>
          <w:rFonts w:ascii="Book Antiqua" w:eastAsia="Times New Roman" w:hAnsi="Book Antiqua" w:cs="Times New Roman"/>
          <w:bCs/>
          <w:color w:val="000000"/>
          <w:kern w:val="0"/>
          <w:lang w:val="es-PR"/>
          <w14:ligatures w14:val="none"/>
        </w:rPr>
        <w:tab/>
      </w:r>
      <w:r w:rsidRPr="00D325A5">
        <w:rPr>
          <w:rFonts w:ascii="Book Antiqua" w:eastAsia="Times New Roman" w:hAnsi="Book Antiqua" w:cs="Times New Roman"/>
          <w:bCs/>
          <w:color w:val="000000"/>
          <w:kern w:val="0"/>
          <w:lang w:val="es-PR"/>
          <w14:ligatures w14:val="none"/>
        </w:rPr>
        <w:tab/>
      </w:r>
      <w:r w:rsidRPr="00D325A5">
        <w:rPr>
          <w:rFonts w:ascii="Book Antiqua" w:eastAsia="Times New Roman" w:hAnsi="Book Antiqua" w:cs="Times New Roman"/>
          <w:bCs/>
          <w:color w:val="000000"/>
          <w:kern w:val="0"/>
          <w:lang w:val="es-PR"/>
          <w14:ligatures w14:val="none"/>
        </w:rPr>
        <w:tab/>
      </w:r>
      <w:r w:rsidRPr="00D325A5">
        <w:rPr>
          <w:rFonts w:ascii="Book Antiqua" w:eastAsia="Times New Roman" w:hAnsi="Book Antiqua" w:cs="Times New Roman"/>
          <w:bCs/>
          <w:color w:val="000000"/>
          <w:kern w:val="0"/>
          <w:lang w:val="es-PR"/>
          <w14:ligatures w14:val="none"/>
        </w:rPr>
        <w:tab/>
      </w:r>
      <w:r w:rsidRPr="00D325A5">
        <w:rPr>
          <w:rFonts w:ascii="Book Antiqua" w:eastAsia="Times New Roman" w:hAnsi="Book Antiqua" w:cs="Times New Roman"/>
          <w:bCs/>
          <w:color w:val="000000"/>
          <w:kern w:val="0"/>
          <w:lang w:val="es-PR"/>
          <w14:ligatures w14:val="none"/>
        </w:rPr>
        <w:tab/>
      </w:r>
      <w:r w:rsidRPr="00D325A5">
        <w:rPr>
          <w:rFonts w:ascii="Book Antiqua" w:eastAsia="Times New Roman" w:hAnsi="Book Antiqua" w:cs="Times New Roman"/>
          <w:bCs/>
          <w:color w:val="000000"/>
          <w:kern w:val="0"/>
          <w:lang w:val="es-PR"/>
          <w14:ligatures w14:val="none"/>
        </w:rPr>
        <w:tab/>
      </w:r>
      <w:r w:rsidRPr="00D325A5">
        <w:rPr>
          <w:rFonts w:ascii="Book Antiqua" w:eastAsia="Times New Roman" w:hAnsi="Book Antiqua" w:cs="Times New Roman"/>
          <w:bCs/>
          <w:color w:val="000000"/>
          <w:kern w:val="0"/>
          <w:lang w:val="es-PR"/>
          <w14:ligatures w14:val="none"/>
        </w:rPr>
        <w:tab/>
        <w:t xml:space="preserve">          3ra. Sesión</w:t>
      </w:r>
    </w:p>
    <w:p w14:paraId="43B7DB12" w14:textId="77777777" w:rsidR="00D325A5" w:rsidRPr="00D325A5" w:rsidRDefault="00D325A5" w:rsidP="00D325A5">
      <w:pPr>
        <w:suppressLineNumbers/>
        <w:spacing w:after="0" w:line="240" w:lineRule="auto"/>
        <w:rPr>
          <w:rFonts w:ascii="Book Antiqua" w:eastAsia="Times New Roman" w:hAnsi="Book Antiqua" w:cs="Times New Roman"/>
          <w:bCs/>
          <w:color w:val="000000"/>
          <w:kern w:val="0"/>
          <w:lang w:val="es-PR"/>
          <w14:ligatures w14:val="none"/>
        </w:rPr>
      </w:pPr>
      <w:r w:rsidRPr="00D325A5">
        <w:rPr>
          <w:rFonts w:ascii="Book Antiqua" w:eastAsia="Times New Roman" w:hAnsi="Book Antiqua" w:cs="Times New Roman"/>
          <w:bCs/>
          <w:color w:val="000000"/>
          <w:kern w:val="0"/>
          <w:lang w:val="es-PR"/>
          <w14:ligatures w14:val="none"/>
        </w:rPr>
        <w:tab/>
        <w:t>Legislativa</w:t>
      </w:r>
      <w:r w:rsidRPr="00D325A5">
        <w:rPr>
          <w:rFonts w:ascii="Book Antiqua" w:eastAsia="Times New Roman" w:hAnsi="Book Antiqua" w:cs="Times New Roman"/>
          <w:bCs/>
          <w:color w:val="000000"/>
          <w:kern w:val="0"/>
          <w:lang w:val="es-PR"/>
          <w14:ligatures w14:val="none"/>
        </w:rPr>
        <w:tab/>
        <w:t xml:space="preserve">                                                                                                      Ordinaria</w:t>
      </w:r>
    </w:p>
    <w:p w14:paraId="7F5C0F63" w14:textId="77777777" w:rsidR="00D325A5" w:rsidRPr="00D325A5" w:rsidRDefault="00D325A5" w:rsidP="00D325A5">
      <w:pPr>
        <w:suppressLineNumbers/>
        <w:spacing w:after="0" w:line="240" w:lineRule="auto"/>
        <w:rPr>
          <w:rFonts w:ascii="Book Antiqua" w:eastAsia="Times New Roman" w:hAnsi="Book Antiqua" w:cs="Times New Roman"/>
          <w:bCs/>
          <w:color w:val="000000"/>
          <w:kern w:val="0"/>
          <w:lang w:val="es-PR"/>
          <w14:ligatures w14:val="none"/>
        </w:rPr>
      </w:pPr>
    </w:p>
    <w:p w14:paraId="09C73E9B" w14:textId="77777777" w:rsidR="00D325A5" w:rsidRPr="00D325A5" w:rsidRDefault="00D325A5" w:rsidP="00D325A5">
      <w:pPr>
        <w:suppressLineNumbers/>
        <w:spacing w:after="0" w:line="240" w:lineRule="auto"/>
        <w:jc w:val="center"/>
        <w:rPr>
          <w:rFonts w:ascii="Book Antiqua" w:eastAsia="Times New Roman" w:hAnsi="Book Antiqua" w:cs="Times New Roman"/>
          <w:b/>
          <w:bCs/>
          <w:color w:val="000000"/>
          <w:kern w:val="0"/>
          <w:sz w:val="36"/>
          <w:szCs w:val="36"/>
          <w:lang w:val="es-PR"/>
          <w14:ligatures w14:val="none"/>
        </w:rPr>
      </w:pPr>
      <w:r w:rsidRPr="00D325A5">
        <w:rPr>
          <w:rFonts w:ascii="Book Antiqua" w:eastAsia="Times New Roman" w:hAnsi="Book Antiqua" w:cs="Times New Roman"/>
          <w:b/>
          <w:bCs/>
          <w:color w:val="000000"/>
          <w:kern w:val="0"/>
          <w:sz w:val="36"/>
          <w:szCs w:val="36"/>
          <w:lang w:val="es-PR"/>
          <w14:ligatures w14:val="none"/>
        </w:rPr>
        <w:t>CÁMARA DE REPRESENTANTES</w:t>
      </w:r>
    </w:p>
    <w:p w14:paraId="3BB97AAE" w14:textId="77777777" w:rsidR="00D325A5" w:rsidRPr="00D325A5" w:rsidRDefault="00D325A5" w:rsidP="00D325A5">
      <w:pPr>
        <w:suppressLineNumbers/>
        <w:spacing w:after="0" w:line="240" w:lineRule="auto"/>
        <w:rPr>
          <w:rFonts w:ascii="Book Antiqua" w:eastAsia="Times New Roman" w:hAnsi="Book Antiqua" w:cs="Times New Roman"/>
          <w:b/>
          <w:bCs/>
          <w:color w:val="000000"/>
          <w:kern w:val="0"/>
          <w:lang w:val="es-PR"/>
          <w14:ligatures w14:val="none"/>
        </w:rPr>
      </w:pPr>
    </w:p>
    <w:p w14:paraId="55A42BCB" w14:textId="17173CE9" w:rsidR="00D325A5" w:rsidRPr="00D325A5" w:rsidRDefault="00D325A5" w:rsidP="00D325A5">
      <w:pPr>
        <w:suppressLineNumbers/>
        <w:spacing w:after="0" w:line="240" w:lineRule="auto"/>
        <w:jc w:val="center"/>
        <w:rPr>
          <w:rFonts w:ascii="Book Antiqua" w:eastAsia="Times New Roman" w:hAnsi="Book Antiqua" w:cs="Times New Roman"/>
          <w:b/>
          <w:bCs/>
          <w:color w:val="000000"/>
          <w:kern w:val="0"/>
          <w:sz w:val="52"/>
          <w:szCs w:val="52"/>
          <w:lang w:val="es-PR"/>
          <w14:ligatures w14:val="none"/>
        </w:rPr>
      </w:pPr>
      <w:r w:rsidRPr="00D325A5">
        <w:rPr>
          <w:rFonts w:ascii="Book Antiqua" w:eastAsia="Times New Roman" w:hAnsi="Book Antiqua" w:cs="Times New Roman"/>
          <w:b/>
          <w:bCs/>
          <w:color w:val="000000"/>
          <w:kern w:val="0"/>
          <w:sz w:val="52"/>
          <w:szCs w:val="52"/>
          <w:lang w:val="es-PR"/>
          <w14:ligatures w14:val="none"/>
        </w:rPr>
        <w:t>R. C. de la C. 3</w:t>
      </w:r>
      <w:r>
        <w:rPr>
          <w:rFonts w:ascii="Book Antiqua" w:eastAsia="Times New Roman" w:hAnsi="Book Antiqua" w:cs="Times New Roman"/>
          <w:b/>
          <w:bCs/>
          <w:color w:val="000000"/>
          <w:kern w:val="0"/>
          <w:sz w:val="52"/>
          <w:szCs w:val="52"/>
          <w:lang w:val="es-PR"/>
          <w14:ligatures w14:val="none"/>
        </w:rPr>
        <w:t>22</w:t>
      </w:r>
    </w:p>
    <w:p w14:paraId="2EBB90EA" w14:textId="77777777" w:rsidR="00764C39" w:rsidRPr="001630C6" w:rsidRDefault="00764C39" w:rsidP="001630C6">
      <w:pPr>
        <w:spacing w:after="0" w:line="240" w:lineRule="auto"/>
        <w:jc w:val="center"/>
        <w:rPr>
          <w:rFonts w:ascii="Book Antiqua" w:hAnsi="Book Antiqua"/>
          <w:lang w:val="es-ES"/>
        </w:rPr>
      </w:pPr>
    </w:p>
    <w:p w14:paraId="6BB1E8A3" w14:textId="02D1B033" w:rsidR="00764C39" w:rsidRPr="001630C6" w:rsidRDefault="00E30111" w:rsidP="001630C6">
      <w:pPr>
        <w:spacing w:after="0" w:line="240" w:lineRule="auto"/>
        <w:jc w:val="center"/>
        <w:rPr>
          <w:rFonts w:ascii="Book Antiqua" w:hAnsi="Book Antiqua"/>
          <w:lang w:val="es-ES"/>
        </w:rPr>
      </w:pPr>
      <w:r w:rsidRPr="001630C6">
        <w:rPr>
          <w:rFonts w:ascii="Book Antiqua" w:hAnsi="Book Antiqua"/>
          <w:lang w:val="es-ES"/>
        </w:rPr>
        <w:t>23</w:t>
      </w:r>
      <w:r w:rsidR="00764C39" w:rsidRPr="001630C6">
        <w:rPr>
          <w:rFonts w:ascii="Book Antiqua" w:hAnsi="Book Antiqua"/>
          <w:lang w:val="es-ES"/>
        </w:rPr>
        <w:t xml:space="preserve"> </w:t>
      </w:r>
      <w:r w:rsidR="001630C6">
        <w:rPr>
          <w:rFonts w:ascii="Book Antiqua" w:hAnsi="Book Antiqua"/>
          <w:lang w:val="es-ES"/>
        </w:rPr>
        <w:t>DE MARZO</w:t>
      </w:r>
      <w:r w:rsidR="00764C39" w:rsidRPr="001630C6">
        <w:rPr>
          <w:rFonts w:ascii="Book Antiqua" w:hAnsi="Book Antiqua"/>
          <w:lang w:val="es-ES"/>
        </w:rPr>
        <w:t xml:space="preserve"> 2026</w:t>
      </w:r>
    </w:p>
    <w:p w14:paraId="72A6A86E" w14:textId="77777777" w:rsidR="00764C39" w:rsidRPr="001630C6" w:rsidRDefault="00764C39" w:rsidP="001630C6">
      <w:pPr>
        <w:spacing w:after="0" w:line="240" w:lineRule="auto"/>
        <w:jc w:val="center"/>
        <w:rPr>
          <w:rFonts w:ascii="Book Antiqua" w:hAnsi="Book Antiqua"/>
          <w:lang w:val="es-ES"/>
        </w:rPr>
      </w:pPr>
    </w:p>
    <w:p w14:paraId="33F17F6B" w14:textId="77777777" w:rsidR="001630C6" w:rsidRDefault="00764C39" w:rsidP="001630C6">
      <w:pPr>
        <w:spacing w:after="0" w:line="240" w:lineRule="auto"/>
        <w:jc w:val="center"/>
        <w:rPr>
          <w:rFonts w:ascii="Book Antiqua" w:hAnsi="Book Antiqua"/>
          <w:lang w:val="es-ES"/>
        </w:rPr>
      </w:pPr>
      <w:r w:rsidRPr="001630C6">
        <w:rPr>
          <w:rFonts w:ascii="Book Antiqua" w:hAnsi="Book Antiqua"/>
          <w:lang w:val="es-ES"/>
        </w:rPr>
        <w:t xml:space="preserve">Presentada por el </w:t>
      </w:r>
      <w:r w:rsidR="00B27BC7" w:rsidRPr="001630C6">
        <w:rPr>
          <w:rFonts w:ascii="Book Antiqua" w:hAnsi="Book Antiqua"/>
          <w:lang w:val="es-ES"/>
        </w:rPr>
        <w:t xml:space="preserve">representante </w:t>
      </w:r>
      <w:r w:rsidRPr="001630C6">
        <w:rPr>
          <w:rFonts w:ascii="Book Antiqua" w:hAnsi="Book Antiqua"/>
          <w:i/>
          <w:iCs/>
          <w:lang w:val="es-ES"/>
        </w:rPr>
        <w:t>Torres García</w:t>
      </w:r>
      <w:r w:rsidR="001630C6">
        <w:rPr>
          <w:rFonts w:ascii="Book Antiqua" w:hAnsi="Book Antiqua"/>
          <w:i/>
          <w:iCs/>
          <w:lang w:val="es-ES"/>
        </w:rPr>
        <w:t>;</w:t>
      </w:r>
      <w:r w:rsidRPr="001630C6">
        <w:rPr>
          <w:rFonts w:ascii="Book Antiqua" w:hAnsi="Book Antiqua"/>
          <w:lang w:val="es-ES"/>
        </w:rPr>
        <w:t xml:space="preserve"> </w:t>
      </w:r>
      <w:r w:rsidR="001630C6">
        <w:rPr>
          <w:rFonts w:ascii="Book Antiqua" w:hAnsi="Book Antiqua"/>
          <w:lang w:val="es-ES"/>
        </w:rPr>
        <w:t xml:space="preserve"> </w:t>
      </w:r>
    </w:p>
    <w:p w14:paraId="3905342F" w14:textId="319B7558" w:rsidR="00764C39" w:rsidRPr="001630C6" w:rsidRDefault="00764C39" w:rsidP="001630C6">
      <w:pPr>
        <w:spacing w:after="0" w:line="240" w:lineRule="auto"/>
        <w:jc w:val="center"/>
        <w:rPr>
          <w:rFonts w:ascii="Book Antiqua" w:hAnsi="Book Antiqua"/>
          <w:lang w:val="es-ES"/>
        </w:rPr>
      </w:pPr>
      <w:r w:rsidRPr="001630C6">
        <w:rPr>
          <w:rFonts w:ascii="Book Antiqua" w:hAnsi="Book Antiqua"/>
          <w:lang w:val="es-ES"/>
        </w:rPr>
        <w:t xml:space="preserve">y la </w:t>
      </w:r>
      <w:r w:rsidR="00B27BC7" w:rsidRPr="001630C6">
        <w:rPr>
          <w:rFonts w:ascii="Book Antiqua" w:hAnsi="Book Antiqua"/>
          <w:lang w:val="es-ES"/>
        </w:rPr>
        <w:t xml:space="preserve">representante </w:t>
      </w:r>
      <w:r w:rsidRPr="001630C6">
        <w:rPr>
          <w:rFonts w:ascii="Book Antiqua" w:hAnsi="Book Antiqua"/>
          <w:i/>
          <w:iCs/>
          <w:lang w:val="es-ES"/>
        </w:rPr>
        <w:t>Martínez Soto</w:t>
      </w:r>
    </w:p>
    <w:p w14:paraId="19188FE6" w14:textId="07620DB0" w:rsidR="00B27BC7" w:rsidRPr="001630C6" w:rsidRDefault="00B27BC7" w:rsidP="001630C6">
      <w:pPr>
        <w:spacing w:after="0" w:line="240" w:lineRule="auto"/>
        <w:jc w:val="center"/>
        <w:rPr>
          <w:rFonts w:ascii="Book Antiqua" w:hAnsi="Book Antiqua"/>
          <w:lang w:val="es-ES"/>
        </w:rPr>
      </w:pPr>
    </w:p>
    <w:p w14:paraId="13977D06" w14:textId="3E6E5344" w:rsidR="001630C6" w:rsidRDefault="00B27BC7" w:rsidP="001630C6">
      <w:pPr>
        <w:spacing w:after="0" w:line="240" w:lineRule="auto"/>
        <w:jc w:val="center"/>
        <w:rPr>
          <w:rFonts w:ascii="Book Antiqua" w:hAnsi="Book Antiqua"/>
          <w:lang w:val="es-ES"/>
        </w:rPr>
      </w:pPr>
      <w:r w:rsidRPr="001630C6">
        <w:rPr>
          <w:rFonts w:ascii="Book Antiqua" w:hAnsi="Book Antiqua"/>
          <w:lang w:val="es-ES"/>
        </w:rPr>
        <w:t>Referida a la Comisión de</w:t>
      </w:r>
      <w:r w:rsidR="005A4E3F">
        <w:rPr>
          <w:rFonts w:ascii="Book Antiqua" w:hAnsi="Book Antiqua"/>
          <w:lang w:val="es-ES"/>
        </w:rPr>
        <w:t xml:space="preserve"> Hacienda</w:t>
      </w:r>
    </w:p>
    <w:p w14:paraId="71400A9B" w14:textId="77777777" w:rsidR="001630C6" w:rsidRDefault="001630C6" w:rsidP="001630C6">
      <w:pPr>
        <w:spacing w:after="0" w:line="240" w:lineRule="auto"/>
        <w:jc w:val="center"/>
        <w:rPr>
          <w:rFonts w:ascii="Book Antiqua" w:hAnsi="Book Antiqua"/>
          <w:lang w:val="es-ES"/>
        </w:rPr>
      </w:pPr>
    </w:p>
    <w:p w14:paraId="27D3FED3" w14:textId="76329413" w:rsidR="00B27BC7" w:rsidRPr="001630C6" w:rsidRDefault="001630C6" w:rsidP="001630C6">
      <w:pPr>
        <w:spacing w:after="0" w:line="240" w:lineRule="auto"/>
        <w:jc w:val="center"/>
        <w:rPr>
          <w:rFonts w:ascii="Book Antiqua" w:hAnsi="Book Antiqua"/>
          <w:b/>
          <w:bCs/>
          <w:sz w:val="28"/>
          <w:szCs w:val="28"/>
          <w:lang w:val="es-ES"/>
        </w:rPr>
      </w:pPr>
      <w:r w:rsidRPr="001630C6">
        <w:rPr>
          <w:rFonts w:ascii="Book Antiqua" w:hAnsi="Book Antiqua"/>
          <w:b/>
          <w:bCs/>
          <w:sz w:val="28"/>
          <w:szCs w:val="28"/>
          <w:lang w:val="es-ES"/>
        </w:rPr>
        <w:t>RESOLUCIÓN CONJUNTA</w:t>
      </w:r>
      <w:r w:rsidR="00B27BC7" w:rsidRPr="001630C6">
        <w:rPr>
          <w:rFonts w:ascii="Book Antiqua" w:hAnsi="Book Antiqua"/>
          <w:b/>
          <w:bCs/>
          <w:sz w:val="28"/>
          <w:szCs w:val="28"/>
          <w:lang w:val="es-ES"/>
        </w:rPr>
        <w:t xml:space="preserve"> </w:t>
      </w:r>
    </w:p>
    <w:p w14:paraId="74E860C7" w14:textId="77777777" w:rsidR="00B27BC7" w:rsidRPr="001630C6" w:rsidRDefault="00B27BC7" w:rsidP="00B27BC7">
      <w:pPr>
        <w:spacing w:after="0"/>
        <w:rPr>
          <w:rFonts w:ascii="Book Antiqua" w:hAnsi="Book Antiqua"/>
          <w:lang w:val="es-ES"/>
        </w:rPr>
      </w:pPr>
    </w:p>
    <w:p w14:paraId="27D3B31F" w14:textId="079630EF" w:rsidR="00B27BC7" w:rsidRDefault="00B27BC7" w:rsidP="001630C6">
      <w:pPr>
        <w:spacing w:after="0" w:line="240" w:lineRule="auto"/>
        <w:ind w:left="630" w:hanging="630"/>
        <w:jc w:val="both"/>
        <w:rPr>
          <w:rFonts w:ascii="Book Antiqua" w:hAnsi="Book Antiqua"/>
          <w:lang w:val="es-ES"/>
        </w:rPr>
      </w:pPr>
      <w:r w:rsidRPr="001630C6">
        <w:rPr>
          <w:rFonts w:ascii="Book Antiqua" w:hAnsi="Book Antiqua"/>
          <w:lang w:val="es-ES"/>
        </w:rPr>
        <w:t xml:space="preserve">Para asignar la suma de un millón quinientos mil dólares ($1,500,000), a ser distribuidos a organizaciones sin fines de lucro dedicadas a atender a sobrevivientes de violencia de género para que puedan garantizar sus operaciones administrativas y puedan brindar sus servicios de manera diligente, directa a sobrevivientes de violencia; y para otros fines relacionados. </w:t>
      </w:r>
    </w:p>
    <w:p w14:paraId="2BDD0CC5" w14:textId="77777777" w:rsidR="001630C6" w:rsidRPr="001630C6" w:rsidRDefault="001630C6" w:rsidP="001630C6">
      <w:pPr>
        <w:spacing w:after="0" w:line="240" w:lineRule="auto"/>
        <w:ind w:left="630" w:hanging="630"/>
        <w:jc w:val="both"/>
        <w:rPr>
          <w:rFonts w:ascii="Book Antiqua" w:hAnsi="Book Antiqua"/>
          <w:lang w:val="es-ES"/>
        </w:rPr>
      </w:pPr>
    </w:p>
    <w:p w14:paraId="352E1BEA" w14:textId="77777777" w:rsidR="00B27BC7" w:rsidRPr="001630C6" w:rsidRDefault="00B27BC7" w:rsidP="001630C6">
      <w:pPr>
        <w:pStyle w:val="Ttulo1"/>
        <w:suppressLineNumbers/>
        <w:spacing w:before="0" w:after="0" w:line="240" w:lineRule="auto"/>
        <w:ind w:left="2880"/>
        <w:rPr>
          <w:rFonts w:ascii="Book Antiqua" w:hAnsi="Book Antiqua"/>
          <w:color w:val="000000" w:themeColor="text1"/>
          <w:sz w:val="24"/>
          <w:szCs w:val="24"/>
          <w:lang w:val="es-PR"/>
        </w:rPr>
      </w:pPr>
      <w:r w:rsidRPr="001630C6">
        <w:rPr>
          <w:rFonts w:ascii="Book Antiqua" w:hAnsi="Book Antiqua"/>
          <w:color w:val="000000" w:themeColor="text1"/>
          <w:sz w:val="24"/>
          <w:szCs w:val="24"/>
          <w:lang w:val="es-PR"/>
        </w:rPr>
        <w:t>EXPOSICIÓN</w:t>
      </w:r>
      <w:r w:rsidRPr="001630C6">
        <w:rPr>
          <w:rFonts w:ascii="Book Antiqua" w:hAnsi="Book Antiqua"/>
          <w:color w:val="000000" w:themeColor="text1"/>
          <w:spacing w:val="-4"/>
          <w:sz w:val="24"/>
          <w:szCs w:val="24"/>
          <w:lang w:val="es-PR"/>
        </w:rPr>
        <w:t xml:space="preserve"> </w:t>
      </w:r>
      <w:r w:rsidRPr="001630C6">
        <w:rPr>
          <w:rFonts w:ascii="Book Antiqua" w:hAnsi="Book Antiqua"/>
          <w:color w:val="000000" w:themeColor="text1"/>
          <w:sz w:val="24"/>
          <w:szCs w:val="24"/>
          <w:lang w:val="es-PR"/>
        </w:rPr>
        <w:t>DE</w:t>
      </w:r>
      <w:r w:rsidRPr="001630C6">
        <w:rPr>
          <w:rFonts w:ascii="Book Antiqua" w:hAnsi="Book Antiqua"/>
          <w:color w:val="000000" w:themeColor="text1"/>
          <w:spacing w:val="-2"/>
          <w:sz w:val="24"/>
          <w:szCs w:val="24"/>
          <w:lang w:val="es-PR"/>
        </w:rPr>
        <w:t xml:space="preserve"> </w:t>
      </w:r>
      <w:r w:rsidRPr="001630C6">
        <w:rPr>
          <w:rFonts w:ascii="Book Antiqua" w:hAnsi="Book Antiqua"/>
          <w:color w:val="000000" w:themeColor="text1"/>
          <w:sz w:val="24"/>
          <w:szCs w:val="24"/>
          <w:lang w:val="es-PR"/>
        </w:rPr>
        <w:t>MOTIVOS</w:t>
      </w:r>
    </w:p>
    <w:p w14:paraId="265F6839" w14:textId="77777777" w:rsidR="00B27BC7" w:rsidRDefault="00B27BC7" w:rsidP="001630C6">
      <w:pPr>
        <w:spacing w:after="0" w:line="240" w:lineRule="auto"/>
        <w:ind w:left="630" w:hanging="630"/>
        <w:jc w:val="both"/>
        <w:rPr>
          <w:rFonts w:ascii="Book Antiqua" w:hAnsi="Book Antiqua"/>
          <w:lang w:val="es-ES"/>
        </w:rPr>
      </w:pPr>
    </w:p>
    <w:p w14:paraId="202D1F7C" w14:textId="57E6B4CB" w:rsidR="000827BD" w:rsidRDefault="00B834BD" w:rsidP="001630C6">
      <w:pPr>
        <w:spacing w:after="0" w:line="240" w:lineRule="auto"/>
        <w:jc w:val="both"/>
        <w:rPr>
          <w:rFonts w:ascii="Book Antiqua" w:hAnsi="Book Antiqua"/>
          <w:lang w:val="es-ES"/>
        </w:rPr>
      </w:pPr>
      <w:r>
        <w:rPr>
          <w:rFonts w:ascii="Book Antiqua" w:hAnsi="Book Antiqua"/>
          <w:lang w:val="es-ES"/>
        </w:rPr>
        <w:tab/>
        <w:t xml:space="preserve">Las organizaciones sin fines de lucro que brindar servicios a sobrevivientes de violencia de </w:t>
      </w:r>
      <w:r w:rsidR="00CF0EB0">
        <w:rPr>
          <w:rFonts w:ascii="Book Antiqua" w:hAnsi="Book Antiqua"/>
          <w:lang w:val="es-ES"/>
        </w:rPr>
        <w:t xml:space="preserve">género tienen un rol fundamental en atender uno de los problemas más alarmantes en nuestra sociedad moderna.  La violencia de género se manifiesta cuando ocurren sucesos que causan daño físico, sexual o psicológico.  Este tema ha cobrado tanta relevancia en nuestro país, que, en el pasado, se tuvo que emitir una orden ejecutiva (OE 2021-013 y posteriormente, 2022-035 y 2023-039) para declarar un estado de emergencia ante el aumento de casos de violencia de género en Puerto Rico.  Estas órdenes crearon grupos multisectoriales, subcomités, y se evaluaron distintos protocolos. </w:t>
      </w:r>
    </w:p>
    <w:p w14:paraId="4E47DED0" w14:textId="77777777" w:rsidR="00CF0EB0" w:rsidRDefault="00CF0EB0" w:rsidP="001630C6">
      <w:pPr>
        <w:spacing w:after="0" w:line="240" w:lineRule="auto"/>
        <w:jc w:val="both"/>
        <w:rPr>
          <w:rFonts w:ascii="Book Antiqua" w:hAnsi="Book Antiqua"/>
          <w:lang w:val="es-ES"/>
        </w:rPr>
      </w:pPr>
    </w:p>
    <w:p w14:paraId="74D165B4" w14:textId="22C805B1" w:rsidR="00CF0EB0" w:rsidRDefault="00CF0EB0" w:rsidP="001630C6">
      <w:pPr>
        <w:spacing w:after="0" w:line="240" w:lineRule="auto"/>
        <w:ind w:firstLine="720"/>
        <w:jc w:val="both"/>
        <w:rPr>
          <w:rFonts w:ascii="Book Antiqua" w:hAnsi="Book Antiqua"/>
          <w:lang w:val="es-ES"/>
        </w:rPr>
      </w:pPr>
      <w:r>
        <w:rPr>
          <w:rFonts w:ascii="Book Antiqua" w:hAnsi="Book Antiqua"/>
          <w:lang w:val="es-ES"/>
        </w:rPr>
        <w:t xml:space="preserve">Sin embargo, el reto de la violencia de género es uno persistente en nuestra sociedad que requiere que se combata con mayor fuerza, y mayores recursos.  Según datos en las órdenes ejecutivas, en 2022 se procesaron 9,637 órdenes de protección y para el 2023, se atendieron 9,183.  Este tema de la violencia es sumamente complicado de atender, ya que se manifiesta en distintas versiones. En esta ocasión, esta Asamblea Legislativa busca atender de manera diligente e inequívoca la violencia de género. </w:t>
      </w:r>
    </w:p>
    <w:p w14:paraId="26F9925A" w14:textId="77777777" w:rsidR="00CF0EB0" w:rsidRDefault="00CF0EB0" w:rsidP="001630C6">
      <w:pPr>
        <w:spacing w:after="0" w:line="240" w:lineRule="auto"/>
        <w:ind w:firstLine="720"/>
        <w:jc w:val="both"/>
        <w:rPr>
          <w:rFonts w:ascii="Book Antiqua" w:hAnsi="Book Antiqua"/>
          <w:lang w:val="es-ES"/>
        </w:rPr>
      </w:pPr>
      <w:r>
        <w:rPr>
          <w:rFonts w:ascii="Book Antiqua" w:hAnsi="Book Antiqua"/>
          <w:lang w:val="es-ES"/>
        </w:rPr>
        <w:lastRenderedPageBreak/>
        <w:t>La Asamblea Legislativa atiende este tema con compromiso, determinación y diligencia.  Por esto, reconocemos que los refugios y las organizaciones sin fines de lucro que atienden la violencia de género brindan un apoyo incondicional que requiere ser promovido. Aunque es una forma reactiva de atender la situación, no es menos cierto que hace falta atender asignando recursos que permitan mantener y fortalecer la función social que realizan las organizaciones sin fines de lucro que atienden el tema de violencia doméstica.</w:t>
      </w:r>
    </w:p>
    <w:p w14:paraId="1EF662BB" w14:textId="77777777" w:rsidR="001630C6" w:rsidRDefault="001630C6" w:rsidP="001630C6">
      <w:pPr>
        <w:spacing w:after="0" w:line="240" w:lineRule="auto"/>
        <w:ind w:firstLine="720"/>
        <w:jc w:val="both"/>
        <w:rPr>
          <w:rFonts w:ascii="Book Antiqua" w:hAnsi="Book Antiqua"/>
          <w:lang w:val="es-ES"/>
        </w:rPr>
      </w:pPr>
    </w:p>
    <w:p w14:paraId="5A75DD56" w14:textId="6CF35C15" w:rsidR="001630C6" w:rsidRPr="00CF0EB0" w:rsidRDefault="001630C6" w:rsidP="001630C6">
      <w:pPr>
        <w:spacing w:after="0" w:line="240" w:lineRule="auto"/>
        <w:ind w:firstLine="720"/>
        <w:jc w:val="both"/>
        <w:rPr>
          <w:rFonts w:ascii="Book Antiqua" w:hAnsi="Book Antiqua"/>
          <w:lang w:val="es-ES"/>
        </w:rPr>
        <w:sectPr w:rsidR="001630C6" w:rsidRPr="00CF0EB0" w:rsidSect="004F032F">
          <w:headerReference w:type="default" r:id="rId7"/>
          <w:headerReference w:type="first" r:id="rId8"/>
          <w:pgSz w:w="12240" w:h="15840"/>
          <w:pgMar w:top="1440" w:right="1440" w:bottom="1440" w:left="1440" w:header="720" w:footer="720" w:gutter="0"/>
          <w:pgNumType w:start="1"/>
          <w:cols w:space="720"/>
          <w:titlePg/>
          <w:docGrid w:linePitch="360"/>
        </w:sectPr>
      </w:pPr>
    </w:p>
    <w:p w14:paraId="4930B5FF" w14:textId="272AA478" w:rsidR="000827BD" w:rsidRPr="001630C6" w:rsidRDefault="000827BD" w:rsidP="001630C6">
      <w:pPr>
        <w:suppressLineNumbers/>
        <w:spacing w:after="0" w:line="240" w:lineRule="auto"/>
        <w:jc w:val="both"/>
        <w:rPr>
          <w:rFonts w:ascii="Book Antiqua" w:eastAsia="Times New Roman" w:hAnsi="Book Antiqua" w:cs="Times New Roman"/>
          <w:bCs/>
          <w:i/>
          <w:iCs/>
          <w:lang w:val="es-ES_tradnl"/>
        </w:rPr>
      </w:pPr>
      <w:r w:rsidRPr="001630C6">
        <w:rPr>
          <w:rFonts w:ascii="Book Antiqua" w:eastAsia="Times New Roman" w:hAnsi="Book Antiqua" w:cs="Times New Roman"/>
          <w:bCs/>
          <w:i/>
          <w:iCs/>
          <w:lang w:val="es-ES_tradnl"/>
        </w:rPr>
        <w:t>RESUÉLVESE POR LA ASAMBLEA LEGISLATIVA DE PUERTO RICO</w:t>
      </w:r>
      <w:r w:rsidR="001630C6" w:rsidRPr="001630C6">
        <w:rPr>
          <w:rFonts w:ascii="Book Antiqua" w:eastAsia="Times New Roman" w:hAnsi="Book Antiqua" w:cs="Times New Roman"/>
          <w:bCs/>
          <w:i/>
          <w:iCs/>
          <w:lang w:val="es-ES_tradnl"/>
        </w:rPr>
        <w:t xml:space="preserve">: </w:t>
      </w:r>
    </w:p>
    <w:p w14:paraId="76525D0B" w14:textId="77777777" w:rsidR="001630C6" w:rsidRPr="00403568" w:rsidRDefault="001630C6" w:rsidP="001630C6">
      <w:pPr>
        <w:suppressLineNumbers/>
        <w:spacing w:after="0" w:line="240" w:lineRule="auto"/>
        <w:jc w:val="both"/>
        <w:rPr>
          <w:rFonts w:ascii="Book Antiqua" w:eastAsia="Times New Roman" w:hAnsi="Book Antiqua" w:cs="Times New Roman"/>
          <w:b/>
          <w:lang w:val="es-ES_tradnl"/>
        </w:rPr>
      </w:pPr>
    </w:p>
    <w:p w14:paraId="6D7E33C1" w14:textId="05CA2950" w:rsidR="000827BD" w:rsidRDefault="000827BD" w:rsidP="001630C6">
      <w:pPr>
        <w:tabs>
          <w:tab w:val="left" w:pos="720"/>
        </w:tabs>
        <w:spacing w:after="0" w:line="480" w:lineRule="auto"/>
        <w:jc w:val="both"/>
        <w:rPr>
          <w:rFonts w:ascii="Book Antiqua" w:hAnsi="Book Antiqua"/>
          <w:lang w:val="es-ES"/>
        </w:rPr>
      </w:pPr>
      <w:r>
        <w:rPr>
          <w:rFonts w:ascii="Book Antiqua" w:hAnsi="Book Antiqua"/>
          <w:lang w:val="es-ES"/>
        </w:rPr>
        <w:tab/>
        <w:t>Sección 1.- Se asigna la cantidad de un millón quinientos mil dólares ($1,500,00.00) a</w:t>
      </w:r>
      <w:r w:rsidR="00B834BD">
        <w:rPr>
          <w:rFonts w:ascii="Book Antiqua" w:hAnsi="Book Antiqua"/>
          <w:lang w:val="es-ES"/>
        </w:rPr>
        <w:t xml:space="preserve"> ser distribuidos a organizaciones sin fines de lucro dedicadas a atender a sobrevivientes de violencia de género para gastos operacionales y administrativos. </w:t>
      </w:r>
    </w:p>
    <w:p w14:paraId="2507F8BB" w14:textId="1B72F44C" w:rsidR="00B834BD" w:rsidRDefault="00B834BD" w:rsidP="001630C6">
      <w:pPr>
        <w:tabs>
          <w:tab w:val="left" w:pos="720"/>
        </w:tabs>
        <w:spacing w:after="0" w:line="480" w:lineRule="auto"/>
        <w:jc w:val="both"/>
        <w:rPr>
          <w:rFonts w:ascii="Book Antiqua" w:hAnsi="Book Antiqua"/>
          <w:lang w:val="es-ES"/>
        </w:rPr>
      </w:pPr>
      <w:r>
        <w:rPr>
          <w:rFonts w:ascii="Book Antiqua" w:hAnsi="Book Antiqua"/>
          <w:lang w:val="es-ES"/>
        </w:rPr>
        <w:tab/>
        <w:t xml:space="preserve">Sección 2.- Los fondos asignados para estos fines serán asignados a la Oficina de la Procuradora de Mujeres la cual elaborará unas guías de distribución de fondos. </w:t>
      </w:r>
    </w:p>
    <w:p w14:paraId="29669449" w14:textId="5A02F726" w:rsidR="00B834BD" w:rsidRDefault="00B834BD" w:rsidP="001630C6">
      <w:pPr>
        <w:tabs>
          <w:tab w:val="left" w:pos="720"/>
        </w:tabs>
        <w:spacing w:after="0" w:line="480" w:lineRule="auto"/>
        <w:jc w:val="both"/>
        <w:rPr>
          <w:rFonts w:ascii="Book Antiqua" w:hAnsi="Book Antiqua"/>
          <w:lang w:val="es-ES"/>
        </w:rPr>
      </w:pPr>
      <w:r>
        <w:rPr>
          <w:rFonts w:ascii="Book Antiqua" w:hAnsi="Book Antiqua"/>
          <w:lang w:val="es-ES"/>
        </w:rPr>
        <w:tab/>
        <w:t xml:space="preserve">Sección 3. – La Oficina de Gerencia y Presupuesto vendrá obligada a identificar los fondos suficientes para satisfacer la asignación establecida en la Sección 1 de esta Resolución Conjunta, y la consignará en el presupuesto para el Año Fiscal 2026-2027. </w:t>
      </w:r>
    </w:p>
    <w:p w14:paraId="47A7B786" w14:textId="08884A4E" w:rsidR="00B834BD" w:rsidRDefault="00B834BD" w:rsidP="001630C6">
      <w:pPr>
        <w:tabs>
          <w:tab w:val="left" w:pos="720"/>
        </w:tabs>
        <w:spacing w:after="0" w:line="480" w:lineRule="auto"/>
        <w:jc w:val="both"/>
        <w:rPr>
          <w:rFonts w:ascii="Book Antiqua" w:hAnsi="Book Antiqua"/>
          <w:lang w:val="es-ES"/>
        </w:rPr>
      </w:pPr>
      <w:r>
        <w:rPr>
          <w:rFonts w:ascii="Book Antiqua" w:hAnsi="Book Antiqua"/>
          <w:lang w:val="es-ES"/>
        </w:rPr>
        <w:tab/>
        <w:t xml:space="preserve">Sección 4.- Las organizaciones sin fines de lucro que reciban fondos vendrán obligadas a proporcionar información a la Asamblea Legislativa y a la Oficina de la Procuradora de las Mujeres, que incluya, pero sin limitarse a: cantidad de personas impactadas, usos específicos de los fondos, y planes para solventar sus operaciones a futuro. </w:t>
      </w:r>
    </w:p>
    <w:p w14:paraId="3655FFBA" w14:textId="0BB9AD6B" w:rsidR="00B834BD" w:rsidRDefault="00B834BD" w:rsidP="001630C6">
      <w:pPr>
        <w:tabs>
          <w:tab w:val="left" w:pos="720"/>
        </w:tabs>
        <w:spacing w:after="0" w:line="480" w:lineRule="auto"/>
        <w:jc w:val="both"/>
        <w:rPr>
          <w:rFonts w:ascii="Book Antiqua" w:hAnsi="Book Antiqua"/>
          <w:lang w:val="es-ES"/>
        </w:rPr>
      </w:pPr>
      <w:r>
        <w:rPr>
          <w:rFonts w:ascii="Book Antiqua" w:hAnsi="Book Antiqua"/>
          <w:lang w:val="es-ES"/>
        </w:rPr>
        <w:tab/>
        <w:t xml:space="preserve">Sección 5. – La Oficina de la Procuradora de las Mujeres deberá presentar un informe, en o antes, del 30 de junio de 2027, ante la Asamblea Legislativa, a través de la Secretaría de ambos Cuerpos Legislativos, un informe sobre los fondos asignados y el cumplimiento de las organizaciones sin fines de lucro con atender víctimas de violencia. </w:t>
      </w:r>
    </w:p>
    <w:p w14:paraId="20DBBFBE" w14:textId="3078E2EF" w:rsidR="000827BD" w:rsidRPr="000827BD" w:rsidRDefault="00B834BD" w:rsidP="001630C6">
      <w:pPr>
        <w:tabs>
          <w:tab w:val="left" w:pos="720"/>
        </w:tabs>
        <w:spacing w:after="0" w:line="480" w:lineRule="auto"/>
        <w:jc w:val="both"/>
        <w:rPr>
          <w:rFonts w:ascii="Book Antiqua" w:hAnsi="Book Antiqua"/>
          <w:lang w:val="es-ES"/>
        </w:rPr>
      </w:pPr>
      <w:r>
        <w:rPr>
          <w:rFonts w:ascii="Book Antiqua" w:hAnsi="Book Antiqua"/>
          <w:lang w:val="es-ES"/>
        </w:rPr>
        <w:lastRenderedPageBreak/>
        <w:tab/>
        <w:t xml:space="preserve">Sección 6.- Esta Resolución Conjunta comenzará a regir inmediatamente después de su aprobación. </w:t>
      </w:r>
    </w:p>
    <w:sectPr w:rsidR="000827BD" w:rsidRPr="000827BD" w:rsidSect="000827BD">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B0945" w14:textId="77777777" w:rsidR="00FA3318" w:rsidRDefault="00FA3318" w:rsidP="001630C6">
      <w:pPr>
        <w:spacing w:after="0" w:line="240" w:lineRule="auto"/>
      </w:pPr>
      <w:r>
        <w:separator/>
      </w:r>
    </w:p>
  </w:endnote>
  <w:endnote w:type="continuationSeparator" w:id="0">
    <w:p w14:paraId="57FB2DA8" w14:textId="77777777" w:rsidR="00FA3318" w:rsidRDefault="00FA3318" w:rsidP="00163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F5D33" w14:textId="77777777" w:rsidR="00FA3318" w:rsidRDefault="00FA3318" w:rsidP="001630C6">
      <w:pPr>
        <w:spacing w:after="0" w:line="240" w:lineRule="auto"/>
      </w:pPr>
      <w:r>
        <w:separator/>
      </w:r>
    </w:p>
  </w:footnote>
  <w:footnote w:type="continuationSeparator" w:id="0">
    <w:p w14:paraId="4027CFF6" w14:textId="77777777" w:rsidR="00FA3318" w:rsidRDefault="00FA3318" w:rsidP="00163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690535"/>
      <w:docPartObj>
        <w:docPartGallery w:val="Page Numbers (Top of Page)"/>
        <w:docPartUnique/>
      </w:docPartObj>
    </w:sdtPr>
    <w:sdtEndPr/>
    <w:sdtContent>
      <w:p w14:paraId="05E1D36C" w14:textId="02FFD484" w:rsidR="004F032F" w:rsidRDefault="004F032F">
        <w:pPr>
          <w:pStyle w:val="Encabezado"/>
          <w:jc w:val="center"/>
        </w:pPr>
        <w:r>
          <w:fldChar w:fldCharType="begin"/>
        </w:r>
        <w:r>
          <w:instrText>PAGE   \* MERGEFORMAT</w:instrText>
        </w:r>
        <w:r>
          <w:fldChar w:fldCharType="separate"/>
        </w:r>
        <w:r>
          <w:rPr>
            <w:lang w:val="es-ES"/>
          </w:rPr>
          <w:t>2</w:t>
        </w:r>
        <w:r>
          <w:fldChar w:fldCharType="end"/>
        </w:r>
      </w:p>
    </w:sdtContent>
  </w:sdt>
  <w:p w14:paraId="369C1637" w14:textId="77777777" w:rsidR="001630C6" w:rsidRDefault="001630C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9E7D" w14:textId="16A0E28D" w:rsidR="004F032F" w:rsidRDefault="004F032F">
    <w:pPr>
      <w:pStyle w:val="Encabezado"/>
      <w:jc w:val="center"/>
    </w:pPr>
  </w:p>
  <w:p w14:paraId="3A12DE92" w14:textId="77777777" w:rsidR="004F032F" w:rsidRDefault="004F032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C39"/>
    <w:rsid w:val="000827BD"/>
    <w:rsid w:val="00152FF7"/>
    <w:rsid w:val="001630C6"/>
    <w:rsid w:val="00192169"/>
    <w:rsid w:val="002747F1"/>
    <w:rsid w:val="00310CD9"/>
    <w:rsid w:val="0031746D"/>
    <w:rsid w:val="00327C68"/>
    <w:rsid w:val="00380250"/>
    <w:rsid w:val="00380DA3"/>
    <w:rsid w:val="004F032F"/>
    <w:rsid w:val="005A4E3F"/>
    <w:rsid w:val="00600D81"/>
    <w:rsid w:val="00615768"/>
    <w:rsid w:val="00637660"/>
    <w:rsid w:val="00764C39"/>
    <w:rsid w:val="007B25FF"/>
    <w:rsid w:val="0081651C"/>
    <w:rsid w:val="00837B88"/>
    <w:rsid w:val="0092430F"/>
    <w:rsid w:val="00947A76"/>
    <w:rsid w:val="00AB78DB"/>
    <w:rsid w:val="00B27BC7"/>
    <w:rsid w:val="00B834BD"/>
    <w:rsid w:val="00C46984"/>
    <w:rsid w:val="00CD5361"/>
    <w:rsid w:val="00CF0EB0"/>
    <w:rsid w:val="00D325A5"/>
    <w:rsid w:val="00DC01C3"/>
    <w:rsid w:val="00E30111"/>
    <w:rsid w:val="00E8211B"/>
    <w:rsid w:val="00FA3318"/>
    <w:rsid w:val="00FC1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698DC"/>
  <w15:chartTrackingRefBased/>
  <w15:docId w15:val="{04E45F18-923C-BB49-AA90-4D6D8B9B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64C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64C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64C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64C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64C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64C3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64C3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64C3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64C3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64C3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64C3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64C3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64C3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64C3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64C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64C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64C3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64C39"/>
    <w:rPr>
      <w:rFonts w:eastAsiaTheme="majorEastAsia" w:cstheme="majorBidi"/>
      <w:color w:val="272727" w:themeColor="text1" w:themeTint="D8"/>
    </w:rPr>
  </w:style>
  <w:style w:type="paragraph" w:styleId="Ttulo">
    <w:name w:val="Title"/>
    <w:basedOn w:val="Normal"/>
    <w:next w:val="Normal"/>
    <w:link w:val="TtuloCar"/>
    <w:uiPriority w:val="10"/>
    <w:qFormat/>
    <w:rsid w:val="00764C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64C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64C3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64C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64C39"/>
    <w:pPr>
      <w:spacing w:before="160"/>
      <w:jc w:val="center"/>
    </w:pPr>
    <w:rPr>
      <w:i/>
      <w:iCs/>
      <w:color w:val="404040" w:themeColor="text1" w:themeTint="BF"/>
    </w:rPr>
  </w:style>
  <w:style w:type="character" w:customStyle="1" w:styleId="CitaCar">
    <w:name w:val="Cita Car"/>
    <w:basedOn w:val="Fuentedeprrafopredeter"/>
    <w:link w:val="Cita"/>
    <w:uiPriority w:val="29"/>
    <w:rsid w:val="00764C39"/>
    <w:rPr>
      <w:i/>
      <w:iCs/>
      <w:color w:val="404040" w:themeColor="text1" w:themeTint="BF"/>
    </w:rPr>
  </w:style>
  <w:style w:type="paragraph" w:styleId="Prrafodelista">
    <w:name w:val="List Paragraph"/>
    <w:basedOn w:val="Normal"/>
    <w:uiPriority w:val="34"/>
    <w:qFormat/>
    <w:rsid w:val="00764C39"/>
    <w:pPr>
      <w:ind w:left="720"/>
      <w:contextualSpacing/>
    </w:pPr>
  </w:style>
  <w:style w:type="character" w:styleId="nfasisintenso">
    <w:name w:val="Intense Emphasis"/>
    <w:basedOn w:val="Fuentedeprrafopredeter"/>
    <w:uiPriority w:val="21"/>
    <w:qFormat/>
    <w:rsid w:val="00764C39"/>
    <w:rPr>
      <w:i/>
      <w:iCs/>
      <w:color w:val="0F4761" w:themeColor="accent1" w:themeShade="BF"/>
    </w:rPr>
  </w:style>
  <w:style w:type="paragraph" w:styleId="Citadestacada">
    <w:name w:val="Intense Quote"/>
    <w:basedOn w:val="Normal"/>
    <w:next w:val="Normal"/>
    <w:link w:val="CitadestacadaCar"/>
    <w:uiPriority w:val="30"/>
    <w:qFormat/>
    <w:rsid w:val="00764C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64C39"/>
    <w:rPr>
      <w:i/>
      <w:iCs/>
      <w:color w:val="0F4761" w:themeColor="accent1" w:themeShade="BF"/>
    </w:rPr>
  </w:style>
  <w:style w:type="character" w:styleId="Referenciaintensa">
    <w:name w:val="Intense Reference"/>
    <w:basedOn w:val="Fuentedeprrafopredeter"/>
    <w:uiPriority w:val="32"/>
    <w:qFormat/>
    <w:rsid w:val="00764C39"/>
    <w:rPr>
      <w:b/>
      <w:bCs/>
      <w:smallCaps/>
      <w:color w:val="0F4761" w:themeColor="accent1" w:themeShade="BF"/>
      <w:spacing w:val="5"/>
    </w:rPr>
  </w:style>
  <w:style w:type="character" w:styleId="Nmerodelnea">
    <w:name w:val="line number"/>
    <w:basedOn w:val="Fuentedeprrafopredeter"/>
    <w:uiPriority w:val="99"/>
    <w:semiHidden/>
    <w:unhideWhenUsed/>
    <w:rsid w:val="000827BD"/>
  </w:style>
  <w:style w:type="paragraph" w:styleId="Encabezado">
    <w:name w:val="header"/>
    <w:basedOn w:val="Normal"/>
    <w:link w:val="EncabezadoCar"/>
    <w:uiPriority w:val="99"/>
    <w:unhideWhenUsed/>
    <w:rsid w:val="001630C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1630C6"/>
  </w:style>
  <w:style w:type="paragraph" w:styleId="Piedepgina">
    <w:name w:val="footer"/>
    <w:basedOn w:val="Normal"/>
    <w:link w:val="PiedepginaCar"/>
    <w:uiPriority w:val="99"/>
    <w:unhideWhenUsed/>
    <w:rsid w:val="001630C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163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7D05A-4F02-B642-8FF5-627E0CD0E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Marín</dc:creator>
  <cp:keywords/>
  <dc:description/>
  <cp:lastModifiedBy>Rocío Alayón Morell</cp:lastModifiedBy>
  <cp:revision>8</cp:revision>
  <dcterms:created xsi:type="dcterms:W3CDTF">2026-03-23T18:55:00Z</dcterms:created>
  <dcterms:modified xsi:type="dcterms:W3CDTF">2026-03-24T18:13:00Z</dcterms:modified>
</cp:coreProperties>
</file>