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1A66F" w14:textId="77777777" w:rsidR="00CD00DF" w:rsidRPr="001E4E58" w:rsidRDefault="002E6E00" w:rsidP="002E6E00">
      <w:pPr>
        <w:jc w:val="center"/>
        <w:rPr>
          <w:rFonts w:ascii="Book Antiqua" w:hAnsi="Book Antiqua"/>
          <w:sz w:val="28"/>
          <w:szCs w:val="28"/>
          <w:lang w:val="es-ES"/>
        </w:rPr>
      </w:pPr>
      <w:r w:rsidRPr="001E4E58">
        <w:rPr>
          <w:rFonts w:ascii="Book Antiqua" w:hAnsi="Book Antiqua"/>
          <w:caps/>
          <w:sz w:val="28"/>
          <w:szCs w:val="28"/>
          <w:lang w:val="es-ES"/>
        </w:rPr>
        <w:t>GOBIERNO DE PUERTO RICO</w:t>
      </w:r>
    </w:p>
    <w:p w14:paraId="381AE1EB" w14:textId="77777777" w:rsidR="00CD00DF" w:rsidRPr="001E4E58" w:rsidRDefault="00CD00DF" w:rsidP="00CD00DF">
      <w:pPr>
        <w:jc w:val="center"/>
        <w:rPr>
          <w:rFonts w:ascii="Book Antiqua" w:hAnsi="Book Antiqua"/>
          <w:lang w:val="es-ES"/>
        </w:rPr>
      </w:pPr>
    </w:p>
    <w:p w14:paraId="7A59B5EE" w14:textId="372E133C" w:rsidR="00CD00DF" w:rsidRPr="00E12871" w:rsidRDefault="00E12871" w:rsidP="00E12871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it-IT"/>
        </w:rPr>
      </w:pPr>
      <w:r>
        <w:rPr>
          <w:rFonts w:ascii="Book Antiqua" w:hAnsi="Book Antiqua"/>
          <w:lang w:val="it-IT"/>
        </w:rPr>
        <w:t>20ma.</w:t>
      </w:r>
      <w:r w:rsidR="00CD00DF" w:rsidRPr="00E12871">
        <w:rPr>
          <w:rFonts w:ascii="Book Antiqua" w:hAnsi="Book Antiqua"/>
          <w:lang w:val="it-IT"/>
        </w:rPr>
        <w:t xml:space="preserve"> Asamblea</w:t>
      </w:r>
      <w:r w:rsidR="00CD00DF" w:rsidRPr="00E12871">
        <w:rPr>
          <w:rFonts w:ascii="Book Antiqua" w:hAnsi="Book Antiqua"/>
          <w:lang w:val="it-IT"/>
        </w:rPr>
        <w:tab/>
        <w:t xml:space="preserve">                                                                                               </w:t>
      </w:r>
      <w:r w:rsidRPr="00E12871">
        <w:rPr>
          <w:rFonts w:ascii="Book Antiqua" w:hAnsi="Book Antiqua"/>
          <w:lang w:val="it-IT"/>
        </w:rPr>
        <w:t>3ra.</w:t>
      </w:r>
      <w:r w:rsidR="00CD00DF" w:rsidRPr="00E12871">
        <w:rPr>
          <w:rFonts w:ascii="Book Antiqua" w:hAnsi="Book Antiqua"/>
          <w:lang w:val="it-IT"/>
        </w:rPr>
        <w:t xml:space="preserve"> Sesión</w:t>
      </w:r>
    </w:p>
    <w:p w14:paraId="5EA56930" w14:textId="79BA14F8" w:rsidR="00CD00DF" w:rsidRPr="00E12871" w:rsidRDefault="00CD00DF" w:rsidP="00E12871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it-IT"/>
        </w:rPr>
      </w:pPr>
      <w:r w:rsidRPr="00E12871">
        <w:rPr>
          <w:rFonts w:ascii="Book Antiqua" w:hAnsi="Book Antiqua"/>
          <w:lang w:val="it-IT"/>
        </w:rPr>
        <w:t xml:space="preserve">         </w:t>
      </w:r>
      <w:r w:rsidR="00E12871">
        <w:rPr>
          <w:rFonts w:ascii="Book Antiqua" w:hAnsi="Book Antiqua"/>
          <w:lang w:val="it-IT"/>
        </w:rPr>
        <w:t xml:space="preserve">   </w:t>
      </w:r>
      <w:r w:rsidRPr="00E12871">
        <w:rPr>
          <w:rFonts w:ascii="Book Antiqua" w:hAnsi="Book Antiqua"/>
          <w:lang w:val="it-IT"/>
        </w:rPr>
        <w:t>Legislativa</w:t>
      </w:r>
      <w:r w:rsidRPr="00E12871">
        <w:rPr>
          <w:rFonts w:ascii="Book Antiqua" w:hAnsi="Book Antiqua"/>
          <w:lang w:val="it-IT"/>
        </w:rPr>
        <w:tab/>
      </w:r>
      <w:r w:rsidRPr="00E12871">
        <w:rPr>
          <w:rFonts w:ascii="Book Antiqua" w:hAnsi="Book Antiqua"/>
          <w:lang w:val="it-IT"/>
        </w:rPr>
        <w:tab/>
        <w:t xml:space="preserve">                                                                                         </w:t>
      </w:r>
      <w:r w:rsidR="00E12871" w:rsidRPr="00E12871">
        <w:rPr>
          <w:rFonts w:ascii="Book Antiqua" w:hAnsi="Book Antiqua"/>
          <w:lang w:val="it-IT"/>
        </w:rPr>
        <w:t xml:space="preserve"> </w:t>
      </w:r>
      <w:r w:rsidRPr="00E12871">
        <w:rPr>
          <w:rFonts w:ascii="Book Antiqua" w:hAnsi="Book Antiqua"/>
          <w:lang w:val="it-IT"/>
        </w:rPr>
        <w:t>Ordinaria</w:t>
      </w:r>
    </w:p>
    <w:p w14:paraId="0AC14EDA" w14:textId="77777777" w:rsidR="00CD00DF" w:rsidRPr="00E12871" w:rsidRDefault="00CD00DF" w:rsidP="00CD00DF">
      <w:pPr>
        <w:jc w:val="both"/>
        <w:rPr>
          <w:rFonts w:ascii="Book Antiqua" w:hAnsi="Book Antiqua"/>
          <w:lang w:val="it-IT"/>
        </w:rPr>
      </w:pPr>
    </w:p>
    <w:p w14:paraId="34FAB0B3" w14:textId="77777777" w:rsidR="00CD00DF" w:rsidRPr="001E4E58" w:rsidRDefault="00CD00DF" w:rsidP="00CD00DF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1E4E58">
        <w:rPr>
          <w:rFonts w:ascii="Book Antiqua" w:hAnsi="Book Antiqua"/>
          <w:b/>
          <w:sz w:val="36"/>
          <w:szCs w:val="36"/>
          <w:lang w:val="es-ES"/>
        </w:rPr>
        <w:t>CÁMARA DE REPRESENTANTES</w:t>
      </w:r>
    </w:p>
    <w:p w14:paraId="1059A304" w14:textId="77777777" w:rsidR="00CD00DF" w:rsidRPr="001E4E58" w:rsidRDefault="00CD00DF" w:rsidP="00CD00DF">
      <w:pPr>
        <w:jc w:val="center"/>
        <w:rPr>
          <w:rFonts w:ascii="Book Antiqua" w:hAnsi="Book Antiqua"/>
          <w:szCs w:val="24"/>
          <w:lang w:val="es-ES"/>
        </w:rPr>
      </w:pPr>
    </w:p>
    <w:p w14:paraId="59CF77B7" w14:textId="1DFF9E7C" w:rsidR="00CD00DF" w:rsidRPr="001E4E58" w:rsidRDefault="00941E87" w:rsidP="00CD00DF">
      <w:pPr>
        <w:jc w:val="center"/>
        <w:rPr>
          <w:rFonts w:ascii="Book Antiqua" w:hAnsi="Book Antiqua"/>
          <w:b/>
          <w:sz w:val="52"/>
          <w:szCs w:val="52"/>
          <w:lang w:val="es-ES"/>
        </w:rPr>
      </w:pPr>
      <w:r>
        <w:rPr>
          <w:rFonts w:ascii="Book Antiqua" w:hAnsi="Book Antiqua"/>
          <w:b/>
          <w:sz w:val="52"/>
          <w:szCs w:val="52"/>
          <w:lang w:val="es-ES"/>
        </w:rPr>
        <w:t>R</w:t>
      </w:r>
      <w:r w:rsidR="00CD00DF" w:rsidRPr="001E4E58">
        <w:rPr>
          <w:rFonts w:ascii="Book Antiqua" w:hAnsi="Book Antiqua"/>
          <w:b/>
          <w:sz w:val="52"/>
          <w:szCs w:val="52"/>
          <w:lang w:val="es-ES"/>
        </w:rPr>
        <w:t>. de la C.</w:t>
      </w:r>
      <w:r w:rsidR="00A7493C">
        <w:rPr>
          <w:rFonts w:ascii="Book Antiqua" w:hAnsi="Book Antiqua"/>
          <w:b/>
          <w:sz w:val="52"/>
          <w:szCs w:val="52"/>
          <w:lang w:val="es-ES"/>
        </w:rPr>
        <w:t xml:space="preserve">  659</w:t>
      </w:r>
    </w:p>
    <w:p w14:paraId="07308837" w14:textId="77777777" w:rsidR="00CD00DF" w:rsidRPr="001E4E58" w:rsidRDefault="00CD00DF" w:rsidP="00CD00DF">
      <w:pPr>
        <w:jc w:val="center"/>
        <w:rPr>
          <w:rFonts w:ascii="Book Antiqua" w:hAnsi="Book Antiqua"/>
          <w:lang w:val="es-ES"/>
        </w:rPr>
      </w:pPr>
    </w:p>
    <w:p w14:paraId="6BE66C90" w14:textId="0D382442" w:rsidR="00CD00DF" w:rsidRPr="001E4E58" w:rsidRDefault="00A7493C" w:rsidP="00CD00DF">
      <w:pPr>
        <w:jc w:val="center"/>
        <w:rPr>
          <w:rFonts w:ascii="Book Antiqua" w:hAnsi="Book Antiqua"/>
          <w:b/>
          <w:sz w:val="48"/>
          <w:lang w:val="es-ES"/>
        </w:rPr>
      </w:pPr>
      <w:r>
        <w:rPr>
          <w:rFonts w:ascii="Book Antiqua" w:hAnsi="Book Antiqua"/>
          <w:lang w:val="es-ES"/>
        </w:rPr>
        <w:t>23</w:t>
      </w:r>
      <w:r w:rsidR="00776CC9" w:rsidRPr="001E4E58">
        <w:rPr>
          <w:rFonts w:ascii="Book Antiqua" w:hAnsi="Book Antiqua"/>
          <w:lang w:val="es-ES"/>
        </w:rPr>
        <w:t xml:space="preserve"> </w:t>
      </w:r>
      <w:r w:rsidR="00CD00DF" w:rsidRPr="001E4E58">
        <w:rPr>
          <w:rFonts w:ascii="Book Antiqua" w:hAnsi="Book Antiqua"/>
          <w:lang w:val="es-ES"/>
        </w:rPr>
        <w:t xml:space="preserve">DE </w:t>
      </w:r>
      <w:r w:rsidR="00941E87">
        <w:rPr>
          <w:rFonts w:ascii="Book Antiqua" w:hAnsi="Book Antiqua"/>
          <w:lang w:val="es-ES"/>
        </w:rPr>
        <w:t>MARZO</w:t>
      </w:r>
      <w:r w:rsidR="00CD00DF" w:rsidRPr="00816E7E">
        <w:rPr>
          <w:rFonts w:ascii="Book Antiqua" w:hAnsi="Book Antiqua"/>
          <w:lang w:val="es-ES"/>
        </w:rPr>
        <w:t xml:space="preserve"> </w:t>
      </w:r>
      <w:r w:rsidR="00CD00DF" w:rsidRPr="001E4E58">
        <w:rPr>
          <w:rFonts w:ascii="Book Antiqua" w:hAnsi="Book Antiqua"/>
          <w:lang w:val="es-ES"/>
        </w:rPr>
        <w:t>DE 20</w:t>
      </w:r>
      <w:r w:rsidR="009905C7" w:rsidRPr="001E4E58">
        <w:rPr>
          <w:rFonts w:ascii="Book Antiqua" w:hAnsi="Book Antiqua"/>
          <w:lang w:val="es-ES"/>
        </w:rPr>
        <w:t>2</w:t>
      </w:r>
      <w:r w:rsidR="00941E87">
        <w:rPr>
          <w:rFonts w:ascii="Book Antiqua" w:hAnsi="Book Antiqua"/>
          <w:lang w:val="es-ES"/>
        </w:rPr>
        <w:t>6</w:t>
      </w:r>
    </w:p>
    <w:p w14:paraId="01DFAE34" w14:textId="77777777" w:rsidR="00CD00DF" w:rsidRPr="001E4E58" w:rsidRDefault="00CD00DF" w:rsidP="00CD00DF">
      <w:pPr>
        <w:jc w:val="center"/>
        <w:rPr>
          <w:rFonts w:ascii="Book Antiqua" w:hAnsi="Book Antiqua"/>
          <w:lang w:val="es-ES"/>
        </w:rPr>
      </w:pPr>
    </w:p>
    <w:p w14:paraId="4FCF9B52" w14:textId="77777777" w:rsidR="00E12871" w:rsidRDefault="00CD00DF" w:rsidP="00CD00DF">
      <w:pPr>
        <w:jc w:val="center"/>
        <w:rPr>
          <w:rFonts w:ascii="Book Antiqua" w:hAnsi="Book Antiqua"/>
          <w:i/>
          <w:lang w:val="es-ES"/>
        </w:rPr>
      </w:pPr>
      <w:r w:rsidRPr="001E4E58">
        <w:rPr>
          <w:rFonts w:ascii="Book Antiqua" w:hAnsi="Book Antiqua"/>
          <w:lang w:val="es-ES"/>
        </w:rPr>
        <w:t xml:space="preserve">Presentado por </w:t>
      </w:r>
      <w:r w:rsidR="00941E87">
        <w:rPr>
          <w:rFonts w:ascii="Book Antiqua" w:hAnsi="Book Antiqua"/>
          <w:lang w:val="es-ES"/>
        </w:rPr>
        <w:t>los</w:t>
      </w:r>
      <w:r w:rsidR="00941E87" w:rsidRPr="001E4E58">
        <w:rPr>
          <w:rFonts w:ascii="Book Antiqua" w:hAnsi="Book Antiqua"/>
          <w:lang w:val="es-ES"/>
        </w:rPr>
        <w:t xml:space="preserve"> representantes</w:t>
      </w:r>
      <w:r w:rsidRPr="001E4E58">
        <w:rPr>
          <w:rFonts w:ascii="Book Antiqua" w:hAnsi="Book Antiqua"/>
          <w:i/>
          <w:lang w:val="es-ES"/>
        </w:rPr>
        <w:t xml:space="preserve"> </w:t>
      </w:r>
      <w:r w:rsidR="007759F5" w:rsidRPr="001E4E58">
        <w:rPr>
          <w:rFonts w:ascii="Book Antiqua" w:hAnsi="Book Antiqua"/>
          <w:i/>
          <w:lang w:val="es-ES"/>
        </w:rPr>
        <w:t>Pérez Cordero</w:t>
      </w:r>
      <w:r w:rsidR="00941E87">
        <w:rPr>
          <w:rFonts w:ascii="Book Antiqua" w:hAnsi="Book Antiqua"/>
          <w:i/>
          <w:lang w:val="es-ES"/>
        </w:rPr>
        <w:t xml:space="preserve">, Torres Zamora, </w:t>
      </w:r>
      <w:r w:rsidR="00941E87" w:rsidRPr="0093072B">
        <w:rPr>
          <w:rFonts w:ascii="Book Antiqua" w:hAnsi="Book Antiqua"/>
          <w:i/>
          <w:lang w:val="es-ES"/>
        </w:rPr>
        <w:t>Aponte Hernández,</w:t>
      </w:r>
      <w:r w:rsidR="00941E87">
        <w:rPr>
          <w:rFonts w:ascii="Book Antiqua" w:hAnsi="Book Antiqua"/>
          <w:i/>
          <w:lang w:val="es-ES"/>
        </w:rPr>
        <w:t xml:space="preserve"> Charbonier Chinea, Márquez Lebrón y Ferrer Santiago </w:t>
      </w:r>
    </w:p>
    <w:p w14:paraId="7D2AA4ED" w14:textId="72C37796" w:rsidR="00CD00DF" w:rsidRDefault="00941E87" w:rsidP="00CD00DF">
      <w:pPr>
        <w:jc w:val="center"/>
        <w:rPr>
          <w:rFonts w:ascii="Book Antiqua" w:hAnsi="Book Antiqua"/>
          <w:i/>
          <w:lang w:val="es-ES"/>
        </w:rPr>
      </w:pPr>
      <w:r w:rsidRPr="00941E87">
        <w:rPr>
          <w:rFonts w:ascii="Book Antiqua" w:hAnsi="Book Antiqua"/>
          <w:i/>
          <w:lang w:val="es-ES_tradnl"/>
        </w:rPr>
        <w:t xml:space="preserve">(Por petición de los estudiantes de la </w:t>
      </w:r>
      <w:r>
        <w:rPr>
          <w:rFonts w:ascii="Book Antiqua" w:hAnsi="Book Antiqua"/>
          <w:i/>
          <w:lang w:val="es-ES_tradnl"/>
        </w:rPr>
        <w:t>Clínica de Derecho Ambiental de la Escuela de Derecho de la UPR</w:t>
      </w:r>
      <w:r w:rsidRPr="00941E87">
        <w:rPr>
          <w:rFonts w:ascii="Book Antiqua" w:hAnsi="Book Antiqua"/>
          <w:i/>
          <w:lang w:val="es-ES_tradnl"/>
        </w:rPr>
        <w:t>)</w:t>
      </w:r>
    </w:p>
    <w:p w14:paraId="1272FFD6" w14:textId="77777777" w:rsidR="00CD00DF" w:rsidRPr="00941E87" w:rsidRDefault="00CD00DF" w:rsidP="00941E87">
      <w:pPr>
        <w:rPr>
          <w:rFonts w:ascii="Book Antiqua" w:hAnsi="Book Antiqua"/>
          <w:iCs/>
          <w:lang w:val="es-ES"/>
        </w:rPr>
      </w:pPr>
    </w:p>
    <w:p w14:paraId="6558B865" w14:textId="577D99A8" w:rsidR="00941E87" w:rsidRDefault="00CD00DF" w:rsidP="00941E87">
      <w:pPr>
        <w:jc w:val="center"/>
        <w:rPr>
          <w:rFonts w:ascii="Book Antiqua" w:hAnsi="Book Antiqua"/>
          <w:lang w:val="es-ES"/>
        </w:rPr>
      </w:pPr>
      <w:r w:rsidRPr="001E4E58">
        <w:rPr>
          <w:rFonts w:ascii="Book Antiqua" w:hAnsi="Book Antiqua"/>
          <w:lang w:val="es-ES"/>
        </w:rPr>
        <w:t>Referido a</w:t>
      </w:r>
      <w:r w:rsidR="00816E7E">
        <w:rPr>
          <w:rFonts w:ascii="Book Antiqua" w:hAnsi="Book Antiqua"/>
          <w:lang w:val="es-ES"/>
        </w:rPr>
        <w:t xml:space="preserve"> la Comisión de </w:t>
      </w:r>
      <w:r w:rsidR="00E12871">
        <w:rPr>
          <w:rFonts w:ascii="Book Antiqua" w:hAnsi="Book Antiqua"/>
          <w:lang w:val="es-ES"/>
        </w:rPr>
        <w:t>Asuntos Internos</w:t>
      </w:r>
    </w:p>
    <w:p w14:paraId="32AAA6B3" w14:textId="77777777" w:rsidR="00E12871" w:rsidRPr="00E12871" w:rsidRDefault="00E12871" w:rsidP="00941E87">
      <w:pPr>
        <w:jc w:val="center"/>
        <w:rPr>
          <w:rFonts w:ascii="Book Antiqua" w:hAnsi="Book Antiqua"/>
          <w:lang w:val="es-ES"/>
        </w:rPr>
      </w:pPr>
    </w:p>
    <w:p w14:paraId="3EF9C8C3" w14:textId="1FB64340" w:rsidR="00B01568" w:rsidRDefault="00941E87" w:rsidP="00941E87">
      <w:pPr>
        <w:jc w:val="center"/>
        <w:rPr>
          <w:rFonts w:ascii="Book Antiqua" w:hAnsi="Book Antiqua"/>
          <w:b/>
          <w:sz w:val="28"/>
          <w:lang w:val="es-ES"/>
        </w:rPr>
      </w:pPr>
      <w:r>
        <w:rPr>
          <w:rFonts w:ascii="Book Antiqua" w:hAnsi="Book Antiqua"/>
          <w:b/>
          <w:sz w:val="28"/>
          <w:lang w:val="es-ES"/>
        </w:rPr>
        <w:t>RESOLUCIÓN</w:t>
      </w:r>
    </w:p>
    <w:p w14:paraId="3B8842E7" w14:textId="77777777" w:rsidR="00941E87" w:rsidRPr="00941E87" w:rsidRDefault="00941E87" w:rsidP="00941E87">
      <w:pPr>
        <w:jc w:val="center"/>
        <w:rPr>
          <w:rFonts w:ascii="Book Antiqua" w:hAnsi="Book Antiqua"/>
          <w:b/>
          <w:sz w:val="28"/>
          <w:lang w:val="es-ES"/>
        </w:rPr>
      </w:pPr>
    </w:p>
    <w:p w14:paraId="3E8C0388" w14:textId="409C9A38" w:rsidR="00941E87" w:rsidRPr="00B2253B" w:rsidRDefault="00941E87" w:rsidP="00941E87">
      <w:pPr>
        <w:ind w:left="720" w:hanging="720"/>
        <w:jc w:val="both"/>
        <w:rPr>
          <w:rFonts w:ascii="Book Antiqua" w:hAnsi="Book Antiqua"/>
          <w:lang w:val="es-ES_tradnl"/>
        </w:rPr>
      </w:pPr>
      <w:r w:rsidRPr="00B2253B">
        <w:rPr>
          <w:rFonts w:ascii="Book Antiqua" w:hAnsi="Book Antiqua"/>
          <w:lang w:val="es-ES_tradnl"/>
        </w:rPr>
        <w:t>Para ordenar</w:t>
      </w:r>
      <w:r w:rsidRPr="00A7493C">
        <w:rPr>
          <w:rFonts w:ascii="Book Antiqua" w:eastAsia="Times New Roman" w:hAnsi="Book Antiqua"/>
          <w:szCs w:val="24"/>
          <w:lang w:val="es-ES"/>
        </w:rPr>
        <w:t xml:space="preserve"> a la Comisión de Gobierno de la Cámara de Representantes realizar una investigación sobre todos los aspectos relacionados con la construcción, operación y cumplimiento regulatorio del terminal de importación y procesamiento de gas natural licuado (LNG) operado por New </w:t>
      </w:r>
      <w:proofErr w:type="spellStart"/>
      <w:r w:rsidRPr="00A7493C">
        <w:rPr>
          <w:rFonts w:ascii="Book Antiqua" w:eastAsia="Times New Roman" w:hAnsi="Book Antiqua"/>
          <w:szCs w:val="24"/>
          <w:lang w:val="es-ES"/>
        </w:rPr>
        <w:t>Fortress</w:t>
      </w:r>
      <w:proofErr w:type="spellEnd"/>
      <w:r w:rsidRPr="00A7493C">
        <w:rPr>
          <w:rFonts w:ascii="Book Antiqua" w:eastAsia="Times New Roman" w:hAnsi="Book Antiqua"/>
          <w:szCs w:val="24"/>
          <w:lang w:val="es-ES"/>
        </w:rPr>
        <w:t xml:space="preserve"> Energy en la Bahía de Puerto Nuevo en San Juan, y los incidentes que hayan ocurrido como resultado de las modificaciones a los tamaños de las barcazas utilizadas para transportar el gas o a la infraestructura del terminal</w:t>
      </w:r>
      <w:r w:rsidRPr="00B2253B">
        <w:rPr>
          <w:rFonts w:ascii="Book Antiqua" w:hAnsi="Book Antiqua"/>
          <w:color w:val="000000" w:themeColor="text1"/>
          <w:lang w:val="es-PR"/>
        </w:rPr>
        <w:t>.</w:t>
      </w:r>
    </w:p>
    <w:p w14:paraId="0F2576DD" w14:textId="77777777" w:rsidR="00941E87" w:rsidRDefault="00941E87" w:rsidP="00941E87">
      <w:pPr>
        <w:ind w:firstLine="360"/>
        <w:jc w:val="center"/>
        <w:rPr>
          <w:rFonts w:ascii="Book Antiqua" w:hAnsi="Book Antiqua"/>
          <w:szCs w:val="24"/>
          <w:lang w:val="es-ES"/>
        </w:rPr>
      </w:pPr>
    </w:p>
    <w:p w14:paraId="1A2723E7" w14:textId="03C60F6A" w:rsidR="00941E87" w:rsidRDefault="00D34C21" w:rsidP="00941E87">
      <w:pPr>
        <w:ind w:firstLine="360"/>
        <w:jc w:val="center"/>
        <w:rPr>
          <w:rFonts w:ascii="Book Antiqua" w:hAnsi="Book Antiqua"/>
          <w:szCs w:val="24"/>
          <w:lang w:val="es-ES"/>
        </w:rPr>
      </w:pPr>
      <w:r w:rsidRPr="00941E87">
        <w:rPr>
          <w:rFonts w:ascii="Book Antiqua" w:hAnsi="Book Antiqua"/>
          <w:szCs w:val="24"/>
          <w:lang w:val="es-ES"/>
        </w:rPr>
        <w:t>EXPOSICIÓ</w:t>
      </w:r>
      <w:r w:rsidR="004E0AF2" w:rsidRPr="00941E87">
        <w:rPr>
          <w:rFonts w:ascii="Book Antiqua" w:hAnsi="Book Antiqua"/>
          <w:szCs w:val="24"/>
          <w:lang w:val="es-ES"/>
        </w:rPr>
        <w:t>N DE MOTIVOS</w:t>
      </w:r>
      <w:r w:rsidR="00486CB1" w:rsidRPr="00941E87">
        <w:rPr>
          <w:rFonts w:ascii="Book Antiqua" w:hAnsi="Book Antiqua"/>
          <w:szCs w:val="24"/>
          <w:lang w:val="es-ES"/>
        </w:rPr>
        <w:t xml:space="preserve"> </w:t>
      </w:r>
    </w:p>
    <w:p w14:paraId="6303059B" w14:textId="77777777" w:rsidR="00E12871" w:rsidRPr="00941E87" w:rsidRDefault="00E12871" w:rsidP="00941E87">
      <w:pPr>
        <w:ind w:firstLine="360"/>
        <w:jc w:val="center"/>
        <w:rPr>
          <w:rFonts w:ascii="Book Antiqua" w:hAnsi="Book Antiqua"/>
          <w:szCs w:val="24"/>
          <w:lang w:val="es-ES"/>
        </w:rPr>
      </w:pPr>
    </w:p>
    <w:p w14:paraId="7D34E409" w14:textId="77777777" w:rsidR="00941E87" w:rsidRDefault="00941E87" w:rsidP="00E12871">
      <w:pPr>
        <w:suppressLineNumbers/>
        <w:ind w:firstLine="720"/>
        <w:jc w:val="both"/>
        <w:rPr>
          <w:rFonts w:ascii="Book Antiqua" w:eastAsia="Times New Roman" w:hAnsi="Book Antiqua"/>
          <w:szCs w:val="24"/>
          <w:lang w:val="es-ES"/>
        </w:rPr>
      </w:pPr>
      <w:r w:rsidRPr="00A7493C">
        <w:rPr>
          <w:rFonts w:ascii="Book Antiqua" w:eastAsia="Times New Roman" w:hAnsi="Book Antiqua"/>
          <w:szCs w:val="24"/>
          <w:lang w:val="es-ES"/>
        </w:rPr>
        <w:t xml:space="preserve">La empresa NF Energía, LLC, subsidiaria de New </w:t>
      </w:r>
      <w:proofErr w:type="spellStart"/>
      <w:r w:rsidRPr="00A7493C">
        <w:rPr>
          <w:rFonts w:ascii="Book Antiqua" w:eastAsia="Times New Roman" w:hAnsi="Book Antiqua"/>
          <w:szCs w:val="24"/>
          <w:lang w:val="es-ES"/>
        </w:rPr>
        <w:t>Fortress</w:t>
      </w:r>
      <w:proofErr w:type="spellEnd"/>
      <w:r w:rsidRPr="00A7493C">
        <w:rPr>
          <w:rFonts w:ascii="Book Antiqua" w:eastAsia="Times New Roman" w:hAnsi="Book Antiqua"/>
          <w:szCs w:val="24"/>
          <w:lang w:val="es-ES"/>
        </w:rPr>
        <w:t xml:space="preserve"> Energy, opera un terminal de gas natural licuado (LNG) en la Bahía de Puerto Nuevo, en San Juan, el cual abastece de combustible a las Unidades 5 y 6 de la planta San Juan de la Autoridad de Energía Eléctrica (AEE). Su ubicación en un área portuaria densamente utilizada y próxima a comunidades residenciales plantea la necesidad de una supervisión constante en materia de seguridad, cumplimiento y planificación energética.</w:t>
      </w:r>
    </w:p>
    <w:p w14:paraId="1D4A9620" w14:textId="77777777" w:rsidR="00E12871" w:rsidRPr="00A7493C" w:rsidRDefault="00E12871" w:rsidP="00E12871">
      <w:pPr>
        <w:suppressLineNumbers/>
        <w:ind w:firstLine="720"/>
        <w:jc w:val="both"/>
        <w:rPr>
          <w:rFonts w:ascii="Book Antiqua" w:eastAsia="Times New Roman" w:hAnsi="Book Antiqua"/>
          <w:szCs w:val="24"/>
          <w:lang w:val="es-ES"/>
        </w:rPr>
      </w:pPr>
    </w:p>
    <w:p w14:paraId="711D1F3C" w14:textId="77777777" w:rsidR="00941E87" w:rsidRDefault="00941E87" w:rsidP="00E12871">
      <w:pPr>
        <w:suppressLineNumbers/>
        <w:ind w:firstLine="720"/>
        <w:jc w:val="both"/>
        <w:rPr>
          <w:rFonts w:ascii="Book Antiqua" w:eastAsia="Times New Roman" w:hAnsi="Book Antiqua"/>
          <w:szCs w:val="24"/>
          <w:lang w:val="es-ES"/>
        </w:rPr>
      </w:pPr>
      <w:r w:rsidRPr="00A7493C">
        <w:rPr>
          <w:rFonts w:ascii="Book Antiqua" w:eastAsia="Times New Roman" w:hAnsi="Book Antiqua"/>
          <w:szCs w:val="24"/>
          <w:lang w:val="es-ES"/>
        </w:rPr>
        <w:t>El LNG es una sustancia altamente inflamable; en caso de fuga o ignición, puede causar incendios o explosiones de gran magnitud. Por esta razón, la Comisión Federal Reguladora de Energía (FERC) emitió en 2020 una Orden de Mostrar Causa (</w:t>
      </w:r>
      <w:proofErr w:type="spellStart"/>
      <w:r w:rsidRPr="00A7493C">
        <w:rPr>
          <w:rFonts w:ascii="Book Antiqua" w:eastAsia="Times New Roman" w:hAnsi="Book Antiqua"/>
          <w:szCs w:val="24"/>
          <w:lang w:val="es-ES"/>
        </w:rPr>
        <w:t>Order</w:t>
      </w:r>
      <w:proofErr w:type="spellEnd"/>
      <w:r w:rsidRPr="00A7493C">
        <w:rPr>
          <w:rFonts w:ascii="Book Antiqua" w:eastAsia="Times New Roman" w:hAnsi="Book Antiqua"/>
          <w:szCs w:val="24"/>
          <w:lang w:val="es-ES"/>
        </w:rPr>
        <w:t xml:space="preserve"> </w:t>
      </w:r>
      <w:proofErr w:type="spellStart"/>
      <w:r w:rsidRPr="00A7493C">
        <w:rPr>
          <w:rFonts w:ascii="Book Antiqua" w:eastAsia="Times New Roman" w:hAnsi="Book Antiqua"/>
          <w:szCs w:val="24"/>
          <w:lang w:val="es-ES"/>
        </w:rPr>
        <w:t>to</w:t>
      </w:r>
      <w:proofErr w:type="spellEnd"/>
      <w:r w:rsidRPr="00A7493C">
        <w:rPr>
          <w:rFonts w:ascii="Book Antiqua" w:eastAsia="Times New Roman" w:hAnsi="Book Antiqua"/>
          <w:szCs w:val="24"/>
          <w:lang w:val="es-ES"/>
        </w:rPr>
        <w:t xml:space="preserve"> </w:t>
      </w:r>
      <w:proofErr w:type="gramStart"/>
      <w:r w:rsidRPr="00A7493C">
        <w:rPr>
          <w:rFonts w:ascii="Book Antiqua" w:eastAsia="Times New Roman" w:hAnsi="Book Antiqua"/>
          <w:szCs w:val="24"/>
          <w:lang w:val="es-ES"/>
        </w:rPr>
        <w:t>Show</w:t>
      </w:r>
      <w:proofErr w:type="gramEnd"/>
      <w:r w:rsidRPr="00A7493C">
        <w:rPr>
          <w:rFonts w:ascii="Book Antiqua" w:eastAsia="Times New Roman" w:hAnsi="Book Antiqua"/>
          <w:szCs w:val="24"/>
          <w:lang w:val="es-ES"/>
        </w:rPr>
        <w:t xml:space="preserve"> Cause) tras determinar que el terminal fue construido sin la autorización federal </w:t>
      </w:r>
      <w:r w:rsidRPr="00A7493C">
        <w:rPr>
          <w:rFonts w:ascii="Book Antiqua" w:eastAsia="Times New Roman" w:hAnsi="Book Antiqua"/>
          <w:szCs w:val="24"/>
          <w:lang w:val="es-ES"/>
        </w:rPr>
        <w:lastRenderedPageBreak/>
        <w:t>correspondiente. Posteriormente, FERC permitió su operación provisional bajo la condición de utilizar embarcaciones pequeñas y limitar las transferencias directas desde buques oceánicos.</w:t>
      </w:r>
    </w:p>
    <w:p w14:paraId="0B5E3D70" w14:textId="77777777" w:rsidR="00E12871" w:rsidRPr="00A7493C" w:rsidRDefault="00E12871" w:rsidP="00E12871">
      <w:pPr>
        <w:suppressLineNumbers/>
        <w:ind w:firstLine="720"/>
        <w:jc w:val="both"/>
        <w:rPr>
          <w:rFonts w:ascii="Book Antiqua" w:eastAsia="Times New Roman" w:hAnsi="Book Antiqua"/>
          <w:szCs w:val="24"/>
          <w:lang w:val="es-ES"/>
        </w:rPr>
      </w:pPr>
    </w:p>
    <w:p w14:paraId="05442548" w14:textId="5FB277E1" w:rsidR="00941E87" w:rsidRDefault="00941E87" w:rsidP="00E12871">
      <w:pPr>
        <w:suppressLineNumbers/>
        <w:ind w:firstLine="720"/>
        <w:jc w:val="both"/>
        <w:rPr>
          <w:rFonts w:ascii="Book Antiqua" w:eastAsia="Times New Roman" w:hAnsi="Book Antiqua"/>
          <w:szCs w:val="24"/>
          <w:lang w:val="es-ES"/>
        </w:rPr>
      </w:pPr>
      <w:r w:rsidRPr="00A7493C">
        <w:rPr>
          <w:rFonts w:ascii="Book Antiqua" w:eastAsia="Times New Roman" w:hAnsi="Book Antiqua"/>
          <w:szCs w:val="24"/>
          <w:lang w:val="es-ES"/>
        </w:rPr>
        <w:t xml:space="preserve">Informes y controversias recientes sugieren que NF Energía, LLC podría estar empleando barcazas de mayor tamaño que las originalmente aprobadas, así como realizando modificaciones operativas sin evaluación pública o evidencia técnica de seguridad. Estos cambios, junto a conflictos reportados entre la empresa y el San Juan Bay </w:t>
      </w:r>
      <w:proofErr w:type="spellStart"/>
      <w:r w:rsidRPr="00A7493C">
        <w:rPr>
          <w:rFonts w:ascii="Book Antiqua" w:eastAsia="Times New Roman" w:hAnsi="Book Antiqua"/>
          <w:szCs w:val="24"/>
          <w:lang w:val="es-ES"/>
        </w:rPr>
        <w:t>Pilots</w:t>
      </w:r>
      <w:proofErr w:type="spellEnd"/>
      <w:r w:rsidRPr="00A7493C">
        <w:rPr>
          <w:rFonts w:ascii="Book Antiqua" w:eastAsia="Times New Roman" w:hAnsi="Book Antiqua"/>
          <w:szCs w:val="24"/>
          <w:lang w:val="es-ES"/>
        </w:rPr>
        <w:t xml:space="preserve"> </w:t>
      </w:r>
      <w:proofErr w:type="spellStart"/>
      <w:r w:rsidRPr="00A7493C">
        <w:rPr>
          <w:rFonts w:ascii="Book Antiqua" w:eastAsia="Times New Roman" w:hAnsi="Book Antiqua"/>
          <w:szCs w:val="24"/>
          <w:lang w:val="es-ES"/>
        </w:rPr>
        <w:t>Corporation</w:t>
      </w:r>
      <w:proofErr w:type="spellEnd"/>
      <w:r w:rsidRPr="00A7493C">
        <w:rPr>
          <w:rFonts w:ascii="Book Antiqua" w:eastAsia="Times New Roman" w:hAnsi="Book Antiqua"/>
          <w:szCs w:val="24"/>
          <w:lang w:val="es-ES"/>
        </w:rPr>
        <w:t>, han reavivado preocupaciones sobre riesgos de navegación, estabilidad de suministro y cumplimiento regulatorio.</w:t>
      </w:r>
    </w:p>
    <w:p w14:paraId="2B1E1886" w14:textId="77777777" w:rsidR="00E12871" w:rsidRPr="00A7493C" w:rsidRDefault="00E12871" w:rsidP="00E12871">
      <w:pPr>
        <w:suppressLineNumbers/>
        <w:ind w:firstLine="720"/>
        <w:jc w:val="both"/>
        <w:rPr>
          <w:rFonts w:ascii="Book Antiqua" w:eastAsia="Times New Roman" w:hAnsi="Book Antiqua"/>
          <w:szCs w:val="24"/>
          <w:lang w:val="es-ES"/>
        </w:rPr>
      </w:pPr>
    </w:p>
    <w:p w14:paraId="2256DE99" w14:textId="77777777" w:rsidR="00941E87" w:rsidRDefault="00941E87" w:rsidP="00E12871">
      <w:pPr>
        <w:suppressLineNumbers/>
        <w:ind w:firstLine="720"/>
        <w:jc w:val="both"/>
        <w:rPr>
          <w:rFonts w:ascii="Book Antiqua" w:eastAsia="Times New Roman" w:hAnsi="Book Antiqua"/>
          <w:szCs w:val="24"/>
          <w:lang w:val="es-ES"/>
        </w:rPr>
      </w:pPr>
      <w:r w:rsidRPr="00A7493C">
        <w:rPr>
          <w:rFonts w:ascii="Book Antiqua" w:eastAsia="Times New Roman" w:hAnsi="Book Antiqua"/>
          <w:szCs w:val="24"/>
          <w:lang w:val="es-ES"/>
        </w:rPr>
        <w:t>A la par, el sistema eléctrico ha experimentado interrupciones en el flujo de gas natural y apagones asociados a retrasos o alteraciones en el transporte del LNG, lo que plantea dudas sobre la confiabilidad de la infraestructura y la planificación energética del país.</w:t>
      </w:r>
    </w:p>
    <w:p w14:paraId="2B61BEE4" w14:textId="77777777" w:rsidR="00E12871" w:rsidRPr="00A7493C" w:rsidRDefault="00E12871" w:rsidP="00E12871">
      <w:pPr>
        <w:suppressLineNumbers/>
        <w:ind w:firstLine="720"/>
        <w:jc w:val="both"/>
        <w:rPr>
          <w:rFonts w:ascii="Book Antiqua" w:eastAsia="Times New Roman" w:hAnsi="Book Antiqua"/>
          <w:szCs w:val="24"/>
          <w:lang w:val="es-ES"/>
        </w:rPr>
      </w:pPr>
    </w:p>
    <w:p w14:paraId="230B3800" w14:textId="56FE935B" w:rsidR="00941E87" w:rsidRDefault="00941E87" w:rsidP="00E12871">
      <w:pPr>
        <w:suppressLineNumbers/>
        <w:ind w:firstLine="720"/>
        <w:jc w:val="both"/>
        <w:rPr>
          <w:rFonts w:ascii="Book Antiqua" w:eastAsia="Times New Roman" w:hAnsi="Book Antiqua"/>
          <w:szCs w:val="24"/>
          <w:lang w:val="es-ES"/>
        </w:rPr>
      </w:pPr>
      <w:r w:rsidRPr="00A7493C">
        <w:rPr>
          <w:rFonts w:ascii="Book Antiqua" w:eastAsia="Times New Roman" w:hAnsi="Book Antiqua"/>
          <w:szCs w:val="24"/>
          <w:lang w:val="es-ES"/>
        </w:rPr>
        <w:t xml:space="preserve">Por estas razones, esta Cámara de Representantes considera necesario investigar de forma amplia y transparente las modificaciones, operaciones y efectos recientes del terminal de New </w:t>
      </w:r>
      <w:proofErr w:type="spellStart"/>
      <w:r w:rsidRPr="00A7493C">
        <w:rPr>
          <w:rFonts w:ascii="Book Antiqua" w:eastAsia="Times New Roman" w:hAnsi="Book Antiqua"/>
          <w:szCs w:val="24"/>
          <w:lang w:val="es-ES"/>
        </w:rPr>
        <w:t>Fortress</w:t>
      </w:r>
      <w:proofErr w:type="spellEnd"/>
      <w:r w:rsidRPr="00A7493C">
        <w:rPr>
          <w:rFonts w:ascii="Book Antiqua" w:eastAsia="Times New Roman" w:hAnsi="Book Antiqua"/>
          <w:szCs w:val="24"/>
          <w:lang w:val="es-ES"/>
        </w:rPr>
        <w:t>, incluyendo su impacto en la seguridad marítima, el ambiente, la salud pública, la estabilidad del sistema energético y el cumplimiento de las normas aplicables.</w:t>
      </w:r>
    </w:p>
    <w:p w14:paraId="2FF6CFB5" w14:textId="77777777" w:rsidR="00E12871" w:rsidRPr="00A7493C" w:rsidRDefault="00E12871" w:rsidP="00E12871">
      <w:pPr>
        <w:suppressLineNumbers/>
        <w:ind w:firstLine="720"/>
        <w:jc w:val="both"/>
        <w:rPr>
          <w:rFonts w:ascii="Book Antiqua" w:eastAsia="Times New Roman" w:hAnsi="Book Antiqua"/>
          <w:szCs w:val="24"/>
          <w:lang w:val="es-ES"/>
        </w:rPr>
      </w:pPr>
    </w:p>
    <w:p w14:paraId="0044FF79" w14:textId="77777777" w:rsidR="00941E87" w:rsidRPr="00A7493C" w:rsidRDefault="00941E87" w:rsidP="00E12871">
      <w:pPr>
        <w:suppressLineNumbers/>
        <w:jc w:val="both"/>
        <w:rPr>
          <w:rFonts w:ascii="Book Antiqua" w:eastAsia="Times New Roman" w:hAnsi="Book Antiqua"/>
          <w:i/>
          <w:szCs w:val="24"/>
          <w:lang w:val="es-ES"/>
        </w:rPr>
      </w:pPr>
      <w:r w:rsidRPr="00A7493C">
        <w:rPr>
          <w:rFonts w:ascii="Book Antiqua" w:eastAsia="Times New Roman" w:hAnsi="Book Antiqua"/>
          <w:i/>
          <w:szCs w:val="24"/>
          <w:lang w:val="es-ES"/>
        </w:rPr>
        <w:t>RESUÉLVESE POR LA CÁMARA DE REPRESENTANTES DE PUERTO RICO:</w:t>
      </w:r>
    </w:p>
    <w:p w14:paraId="597DB3D6" w14:textId="77777777" w:rsidR="00BC3484" w:rsidRDefault="00BC3484" w:rsidP="00E12871">
      <w:pPr>
        <w:jc w:val="both"/>
        <w:rPr>
          <w:rFonts w:ascii="Book Antiqua" w:hAnsi="Book Antiqua"/>
          <w:i/>
          <w:szCs w:val="24"/>
          <w:lang w:val="es-ES"/>
        </w:rPr>
      </w:pPr>
    </w:p>
    <w:p w14:paraId="7B9F2D4D" w14:textId="77777777" w:rsidR="00E12871" w:rsidRPr="008E39AD" w:rsidRDefault="00E12871" w:rsidP="00E12871">
      <w:pPr>
        <w:jc w:val="both"/>
        <w:rPr>
          <w:rFonts w:ascii="Book Antiqua" w:hAnsi="Book Antiqua"/>
          <w:i/>
          <w:szCs w:val="24"/>
          <w:lang w:val="es-ES"/>
        </w:rPr>
        <w:sectPr w:rsidR="00E12871" w:rsidRPr="008E39AD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9B0A10C" w14:textId="77777777" w:rsidR="00941E87" w:rsidRPr="00A7493C" w:rsidRDefault="00941E87" w:rsidP="00E12871">
      <w:pPr>
        <w:spacing w:line="480" w:lineRule="auto"/>
        <w:ind w:firstLine="720"/>
        <w:jc w:val="both"/>
        <w:rPr>
          <w:rFonts w:ascii="Book Antiqua" w:eastAsia="Times New Roman" w:hAnsi="Book Antiqua"/>
          <w:szCs w:val="24"/>
          <w:lang w:val="es-ES"/>
        </w:rPr>
      </w:pPr>
      <w:r w:rsidRPr="00A7493C">
        <w:rPr>
          <w:rFonts w:ascii="Book Antiqua" w:eastAsia="Times New Roman" w:hAnsi="Book Antiqua"/>
          <w:szCs w:val="24"/>
          <w:lang w:val="es-ES"/>
        </w:rPr>
        <w:t xml:space="preserve">Sección 1. - Se ordena a la Comisión de Gobierno de la Cámara de Representantes realizar una investigación sobre los aspectos relacionados con la operación, seguridad y cumplimiento regulatorio del terminal de gas natural licuado (LNG) operado por New </w:t>
      </w:r>
      <w:proofErr w:type="spellStart"/>
      <w:r w:rsidRPr="00A7493C">
        <w:rPr>
          <w:rFonts w:ascii="Book Antiqua" w:eastAsia="Times New Roman" w:hAnsi="Book Antiqua"/>
          <w:szCs w:val="24"/>
          <w:lang w:val="es-ES"/>
        </w:rPr>
        <w:t>Fortress</w:t>
      </w:r>
      <w:proofErr w:type="spellEnd"/>
      <w:r w:rsidRPr="00A7493C">
        <w:rPr>
          <w:rFonts w:ascii="Book Antiqua" w:eastAsia="Times New Roman" w:hAnsi="Book Antiqua"/>
          <w:szCs w:val="24"/>
          <w:lang w:val="es-ES"/>
        </w:rPr>
        <w:t>, incluyendo los incidentes recientes relacionados a las modificaciones a los tamaños de las barcazas utilizadas para transportar el gas y otras acciones operativas que puedan representar riesgo para la seguridad marítima, ambiental o comunitaria.</w:t>
      </w:r>
    </w:p>
    <w:p w14:paraId="581F091F" w14:textId="77777777" w:rsidR="00941E87" w:rsidRPr="00A7493C" w:rsidRDefault="00941E87" w:rsidP="00E12871">
      <w:pPr>
        <w:spacing w:line="480" w:lineRule="auto"/>
        <w:ind w:firstLine="360"/>
        <w:jc w:val="both"/>
        <w:rPr>
          <w:rFonts w:ascii="Book Antiqua" w:eastAsia="Times New Roman" w:hAnsi="Book Antiqua"/>
          <w:szCs w:val="24"/>
          <w:lang w:val="es-ES"/>
        </w:rPr>
      </w:pPr>
      <w:r w:rsidRPr="00A7493C">
        <w:rPr>
          <w:rFonts w:ascii="Book Antiqua" w:eastAsia="Times New Roman" w:hAnsi="Book Antiqua"/>
          <w:szCs w:val="24"/>
          <w:lang w:val="es-ES"/>
        </w:rPr>
        <w:t>Sección 2. - La investigación deberá incluir, sin limitarse a, lo siguiente:</w:t>
      </w:r>
    </w:p>
    <w:p w14:paraId="39ADDA35" w14:textId="77777777" w:rsidR="00941E87" w:rsidRPr="00A7493C" w:rsidRDefault="00941E87" w:rsidP="00E12871">
      <w:pPr>
        <w:numPr>
          <w:ilvl w:val="0"/>
          <w:numId w:val="7"/>
        </w:numPr>
        <w:spacing w:line="480" w:lineRule="auto"/>
        <w:jc w:val="both"/>
        <w:rPr>
          <w:rFonts w:ascii="Book Antiqua" w:eastAsia="Times New Roman" w:hAnsi="Book Antiqua"/>
          <w:szCs w:val="24"/>
          <w:lang w:val="es-ES"/>
        </w:rPr>
      </w:pPr>
      <w:r w:rsidRPr="00A7493C">
        <w:rPr>
          <w:rFonts w:ascii="Book Antiqua" w:eastAsia="Times New Roman" w:hAnsi="Book Antiqua"/>
          <w:szCs w:val="24"/>
          <w:lang w:val="es-ES"/>
        </w:rPr>
        <w:t xml:space="preserve">Aspectos de riesgo y seguridad para los residentes de las áreas cercanas al terminal y a las rutas de transporte del gas natural licuado (LNG), así como </w:t>
      </w:r>
      <w:r w:rsidRPr="00A7493C">
        <w:rPr>
          <w:rFonts w:ascii="Book Antiqua" w:eastAsia="Times New Roman" w:hAnsi="Book Antiqua"/>
          <w:szCs w:val="24"/>
          <w:lang w:val="es-ES"/>
        </w:rPr>
        <w:lastRenderedPageBreak/>
        <w:t xml:space="preserve">para los trabajadores y demás personal de la planta y los empleados de New </w:t>
      </w:r>
      <w:proofErr w:type="spellStart"/>
      <w:r w:rsidRPr="00A7493C">
        <w:rPr>
          <w:rFonts w:ascii="Book Antiqua" w:eastAsia="Times New Roman" w:hAnsi="Book Antiqua"/>
          <w:szCs w:val="24"/>
          <w:lang w:val="es-ES"/>
        </w:rPr>
        <w:t>Fortress</w:t>
      </w:r>
      <w:proofErr w:type="spellEnd"/>
      <w:r w:rsidRPr="00A7493C">
        <w:rPr>
          <w:rFonts w:ascii="Book Antiqua" w:eastAsia="Times New Roman" w:hAnsi="Book Antiqua"/>
          <w:szCs w:val="24"/>
          <w:lang w:val="es-ES"/>
        </w:rPr>
        <w:t>;</w:t>
      </w:r>
    </w:p>
    <w:p w14:paraId="5D98E4F7" w14:textId="77777777" w:rsidR="00941E87" w:rsidRPr="00A7493C" w:rsidRDefault="00941E87" w:rsidP="00E12871">
      <w:pPr>
        <w:numPr>
          <w:ilvl w:val="0"/>
          <w:numId w:val="7"/>
        </w:numPr>
        <w:spacing w:line="480" w:lineRule="auto"/>
        <w:jc w:val="both"/>
        <w:rPr>
          <w:rFonts w:ascii="Book Antiqua" w:eastAsia="Times New Roman" w:hAnsi="Book Antiqua"/>
          <w:szCs w:val="24"/>
          <w:lang w:val="es-ES"/>
        </w:rPr>
      </w:pPr>
      <w:r w:rsidRPr="00A7493C">
        <w:rPr>
          <w:rFonts w:ascii="Book Antiqua" w:eastAsia="Times New Roman" w:hAnsi="Book Antiqua"/>
          <w:szCs w:val="24"/>
          <w:lang w:val="es-ES"/>
        </w:rPr>
        <w:t xml:space="preserve">Riesgos que representa la utilización de barcazas de tamaños que no han sido comprobados como seguros o efectivos mediante simulaciones; </w:t>
      </w:r>
    </w:p>
    <w:p w14:paraId="4D94BD08" w14:textId="77777777" w:rsidR="00941E87" w:rsidRPr="00A7493C" w:rsidRDefault="00941E87" w:rsidP="00E12871">
      <w:pPr>
        <w:numPr>
          <w:ilvl w:val="0"/>
          <w:numId w:val="7"/>
        </w:numPr>
        <w:spacing w:line="480" w:lineRule="auto"/>
        <w:jc w:val="both"/>
        <w:rPr>
          <w:rFonts w:ascii="Book Antiqua" w:eastAsia="Times New Roman" w:hAnsi="Book Antiqua"/>
          <w:szCs w:val="24"/>
          <w:lang w:val="es-ES"/>
        </w:rPr>
      </w:pPr>
      <w:r w:rsidRPr="00A7493C">
        <w:rPr>
          <w:rFonts w:ascii="Book Antiqua" w:eastAsia="Times New Roman" w:hAnsi="Book Antiqua"/>
          <w:szCs w:val="24"/>
          <w:lang w:val="es-ES"/>
        </w:rPr>
        <w:t>Planes de emergencia y protocolos de respuesta ante posibles accidentes, fugas o eventos mayores relacionados con el manejo del LNG;</w:t>
      </w:r>
    </w:p>
    <w:p w14:paraId="5E24CBEC" w14:textId="77777777" w:rsidR="00941E87" w:rsidRPr="00A7493C" w:rsidRDefault="00941E87" w:rsidP="00E12871">
      <w:pPr>
        <w:numPr>
          <w:ilvl w:val="0"/>
          <w:numId w:val="7"/>
        </w:numPr>
        <w:spacing w:line="480" w:lineRule="auto"/>
        <w:jc w:val="both"/>
        <w:rPr>
          <w:rFonts w:ascii="Book Antiqua" w:eastAsia="Times New Roman" w:hAnsi="Book Antiqua"/>
          <w:szCs w:val="24"/>
          <w:lang w:val="es-ES"/>
        </w:rPr>
      </w:pPr>
      <w:r w:rsidRPr="00A7493C">
        <w:rPr>
          <w:rFonts w:ascii="Book Antiqua" w:eastAsia="Times New Roman" w:hAnsi="Book Antiqua"/>
          <w:szCs w:val="24"/>
          <w:lang w:val="es-ES"/>
        </w:rPr>
        <w:t>El rol y la jurisdicción de la Comisión Federal Reguladora de Energía (FERC) sobre el terminal, y su capacidad para requerir medidas correctivas, adecuaciones o paralización de operaciones cuando sea necesario;</w:t>
      </w:r>
    </w:p>
    <w:p w14:paraId="44B00BC7" w14:textId="77777777" w:rsidR="00941E87" w:rsidRPr="00A7493C" w:rsidRDefault="00941E87" w:rsidP="00E12871">
      <w:pPr>
        <w:numPr>
          <w:ilvl w:val="0"/>
          <w:numId w:val="7"/>
        </w:numPr>
        <w:spacing w:line="480" w:lineRule="auto"/>
        <w:jc w:val="both"/>
        <w:rPr>
          <w:rFonts w:ascii="Book Antiqua" w:eastAsia="Times New Roman" w:hAnsi="Book Antiqua"/>
          <w:szCs w:val="24"/>
          <w:lang w:val="es-ES"/>
        </w:rPr>
      </w:pPr>
      <w:r w:rsidRPr="00A7493C">
        <w:rPr>
          <w:rFonts w:ascii="Book Antiqua" w:eastAsia="Times New Roman" w:hAnsi="Book Antiqua"/>
          <w:szCs w:val="24"/>
          <w:lang w:val="es-ES"/>
        </w:rPr>
        <w:t xml:space="preserve">Impactos ambientales, climáticos, comunitarios y de salud pública derivados del funcionamiento del terminal y del transporte del LNG; </w:t>
      </w:r>
    </w:p>
    <w:p w14:paraId="30C0B27A" w14:textId="77777777" w:rsidR="00941E87" w:rsidRPr="00A7493C" w:rsidRDefault="00941E87" w:rsidP="00E12871">
      <w:pPr>
        <w:numPr>
          <w:ilvl w:val="0"/>
          <w:numId w:val="7"/>
        </w:numPr>
        <w:spacing w:line="480" w:lineRule="auto"/>
        <w:jc w:val="both"/>
        <w:rPr>
          <w:rFonts w:ascii="Book Antiqua" w:eastAsia="Times New Roman" w:hAnsi="Book Antiqua"/>
          <w:szCs w:val="24"/>
          <w:lang w:val="es-ES"/>
        </w:rPr>
      </w:pPr>
      <w:r w:rsidRPr="00A7493C">
        <w:rPr>
          <w:rFonts w:ascii="Book Antiqua" w:eastAsia="Times New Roman" w:hAnsi="Book Antiqua"/>
          <w:szCs w:val="24"/>
          <w:lang w:val="es-ES"/>
        </w:rPr>
        <w:t xml:space="preserve">La solvencia, habilidad financiera y estabilidad económica de New </w:t>
      </w:r>
      <w:proofErr w:type="spellStart"/>
      <w:r w:rsidRPr="00A7493C">
        <w:rPr>
          <w:rFonts w:ascii="Book Antiqua" w:eastAsia="Times New Roman" w:hAnsi="Book Antiqua"/>
          <w:szCs w:val="24"/>
          <w:lang w:val="es-ES"/>
        </w:rPr>
        <w:t>Fortress</w:t>
      </w:r>
      <w:proofErr w:type="spellEnd"/>
      <w:r w:rsidRPr="00A7493C">
        <w:rPr>
          <w:rFonts w:ascii="Book Antiqua" w:eastAsia="Times New Roman" w:hAnsi="Book Antiqua"/>
          <w:szCs w:val="24"/>
          <w:lang w:val="es-ES"/>
        </w:rPr>
        <w:t xml:space="preserve"> Energy;</w:t>
      </w:r>
    </w:p>
    <w:p w14:paraId="6B8BBC59" w14:textId="337086B6" w:rsidR="00941E87" w:rsidRPr="00A7493C" w:rsidRDefault="00941E87" w:rsidP="00E12871">
      <w:pPr>
        <w:numPr>
          <w:ilvl w:val="0"/>
          <w:numId w:val="7"/>
        </w:numPr>
        <w:spacing w:line="480" w:lineRule="auto"/>
        <w:jc w:val="both"/>
        <w:rPr>
          <w:rFonts w:ascii="Book Antiqua" w:eastAsia="Times New Roman" w:hAnsi="Book Antiqua"/>
          <w:szCs w:val="24"/>
          <w:lang w:val="es-ES"/>
        </w:rPr>
      </w:pPr>
      <w:r w:rsidRPr="00A7493C">
        <w:rPr>
          <w:rFonts w:ascii="Book Antiqua" w:eastAsia="Times New Roman" w:hAnsi="Book Antiqua"/>
          <w:szCs w:val="24"/>
          <w:lang w:val="es-ES"/>
        </w:rPr>
        <w:t>La construcción de un gasoducto o tubería adicional para trasladar el gas metano, sin autorización previa;</w:t>
      </w:r>
    </w:p>
    <w:p w14:paraId="6AC58DDA" w14:textId="77777777" w:rsidR="00941E87" w:rsidRPr="00A7493C" w:rsidRDefault="00941E87" w:rsidP="00E12871">
      <w:pPr>
        <w:numPr>
          <w:ilvl w:val="0"/>
          <w:numId w:val="7"/>
        </w:numPr>
        <w:spacing w:line="480" w:lineRule="auto"/>
        <w:jc w:val="both"/>
        <w:rPr>
          <w:rFonts w:ascii="Book Antiqua" w:eastAsia="Times New Roman" w:hAnsi="Book Antiqua"/>
          <w:szCs w:val="24"/>
          <w:lang w:val="es-ES"/>
        </w:rPr>
      </w:pPr>
      <w:r w:rsidRPr="00A7493C">
        <w:rPr>
          <w:rFonts w:ascii="Book Antiqua" w:eastAsia="Times New Roman" w:hAnsi="Book Antiqua"/>
          <w:szCs w:val="24"/>
          <w:lang w:val="es-ES"/>
        </w:rPr>
        <w:t xml:space="preserve">Los conflictos recientes involucrando al San Juan Bay </w:t>
      </w:r>
      <w:proofErr w:type="spellStart"/>
      <w:r w:rsidRPr="00A7493C">
        <w:rPr>
          <w:rFonts w:ascii="Book Antiqua" w:eastAsia="Times New Roman" w:hAnsi="Book Antiqua"/>
          <w:szCs w:val="24"/>
          <w:lang w:val="es-ES"/>
        </w:rPr>
        <w:t>Pilots</w:t>
      </w:r>
      <w:proofErr w:type="spellEnd"/>
      <w:r w:rsidRPr="00A7493C">
        <w:rPr>
          <w:rFonts w:ascii="Book Antiqua" w:eastAsia="Times New Roman" w:hAnsi="Book Antiqua"/>
          <w:szCs w:val="24"/>
          <w:lang w:val="es-ES"/>
        </w:rPr>
        <w:t xml:space="preserve"> </w:t>
      </w:r>
      <w:proofErr w:type="spellStart"/>
      <w:r w:rsidRPr="00A7493C">
        <w:rPr>
          <w:rFonts w:ascii="Book Antiqua" w:eastAsia="Times New Roman" w:hAnsi="Book Antiqua"/>
          <w:szCs w:val="24"/>
          <w:lang w:val="es-ES"/>
        </w:rPr>
        <w:t>Corporation</w:t>
      </w:r>
      <w:proofErr w:type="spellEnd"/>
      <w:r w:rsidRPr="00A7493C">
        <w:rPr>
          <w:rFonts w:ascii="Book Antiqua" w:eastAsia="Times New Roman" w:hAnsi="Book Antiqua"/>
          <w:szCs w:val="24"/>
          <w:lang w:val="es-ES"/>
        </w:rPr>
        <w:t xml:space="preserve"> y las demandas pertinentes a base de preocupaciones de seguridad;</w:t>
      </w:r>
    </w:p>
    <w:p w14:paraId="37DFD736" w14:textId="77777777" w:rsidR="00941E87" w:rsidRPr="00A7493C" w:rsidRDefault="00941E87" w:rsidP="00E12871">
      <w:pPr>
        <w:numPr>
          <w:ilvl w:val="0"/>
          <w:numId w:val="7"/>
        </w:numPr>
        <w:spacing w:line="480" w:lineRule="auto"/>
        <w:jc w:val="both"/>
        <w:rPr>
          <w:rFonts w:ascii="Book Antiqua" w:eastAsia="Times New Roman" w:hAnsi="Book Antiqua"/>
          <w:szCs w:val="24"/>
          <w:lang w:val="es-ES"/>
        </w:rPr>
      </w:pPr>
      <w:r w:rsidRPr="00A7493C">
        <w:rPr>
          <w:rFonts w:ascii="Book Antiqua" w:eastAsia="Times New Roman" w:hAnsi="Book Antiqua"/>
          <w:szCs w:val="24"/>
          <w:lang w:val="es-ES"/>
        </w:rPr>
        <w:t>Apagones e interrupciones del servicio energético vinculadas a problemas en el suministro del gas, movimiento de barcazas y otras alteraciones operativas;</w:t>
      </w:r>
    </w:p>
    <w:p w14:paraId="21500591" w14:textId="77777777" w:rsidR="00941E87" w:rsidRPr="00A7493C" w:rsidRDefault="00941E87" w:rsidP="00E12871">
      <w:pPr>
        <w:numPr>
          <w:ilvl w:val="0"/>
          <w:numId w:val="7"/>
        </w:numPr>
        <w:spacing w:line="480" w:lineRule="auto"/>
        <w:jc w:val="both"/>
        <w:rPr>
          <w:rFonts w:ascii="Book Antiqua" w:eastAsia="Times New Roman" w:hAnsi="Book Antiqua"/>
          <w:szCs w:val="24"/>
          <w:lang w:val="es-ES"/>
        </w:rPr>
      </w:pPr>
      <w:r w:rsidRPr="00A7493C">
        <w:rPr>
          <w:rFonts w:ascii="Book Antiqua" w:eastAsia="Times New Roman" w:hAnsi="Book Antiqua"/>
          <w:szCs w:val="24"/>
          <w:lang w:val="es-ES"/>
        </w:rPr>
        <w:t>Si se consideraron alternativas para la importación y manejo del gas natural.</w:t>
      </w:r>
    </w:p>
    <w:p w14:paraId="15F24214" w14:textId="77777777" w:rsidR="00941E87" w:rsidRPr="00A7493C" w:rsidRDefault="00941E87" w:rsidP="00E12871">
      <w:pPr>
        <w:spacing w:line="480" w:lineRule="auto"/>
        <w:ind w:firstLine="360"/>
        <w:jc w:val="both"/>
        <w:rPr>
          <w:rFonts w:ascii="Book Antiqua" w:eastAsia="Times New Roman" w:hAnsi="Book Antiqua"/>
          <w:szCs w:val="24"/>
          <w:lang w:val="es-ES"/>
        </w:rPr>
      </w:pPr>
      <w:r w:rsidRPr="00A7493C">
        <w:rPr>
          <w:rFonts w:ascii="Book Antiqua" w:eastAsia="Times New Roman" w:hAnsi="Book Antiqua"/>
          <w:szCs w:val="24"/>
          <w:lang w:val="es-ES"/>
        </w:rPr>
        <w:lastRenderedPageBreak/>
        <w:t>Sección 3. - La Comisión rendirá un informe con sus hallazgos, conclusiones y recomendaciones, en un término no mayor de noventa (90) días, luego de aprobada esta Resolución.</w:t>
      </w:r>
    </w:p>
    <w:p w14:paraId="3D1B40D7" w14:textId="09DDA7CD" w:rsidR="002C0760" w:rsidRPr="008E39AD" w:rsidRDefault="00941E87" w:rsidP="00E12871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A7493C">
        <w:rPr>
          <w:rFonts w:ascii="Book Antiqua" w:eastAsia="Times New Roman" w:hAnsi="Book Antiqua"/>
          <w:szCs w:val="24"/>
          <w:lang w:val="es-ES"/>
        </w:rPr>
        <w:t>Sección 4. - Esta Resolución comenzará a regir inmediatamente después de su aprobación.</w:t>
      </w:r>
    </w:p>
    <w:sectPr w:rsidR="002C0760" w:rsidRPr="008E39AD" w:rsidSect="00813CDC"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E9444" w14:textId="77777777" w:rsidR="00567C72" w:rsidRDefault="00567C72">
      <w:r>
        <w:separator/>
      </w:r>
    </w:p>
  </w:endnote>
  <w:endnote w:type="continuationSeparator" w:id="0">
    <w:p w14:paraId="5F71263D" w14:textId="77777777" w:rsidR="00567C72" w:rsidRDefault="00567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42748" w14:textId="77777777" w:rsidR="00567C72" w:rsidRDefault="00567C72">
      <w:r>
        <w:separator/>
      </w:r>
    </w:p>
  </w:footnote>
  <w:footnote w:type="continuationSeparator" w:id="0">
    <w:p w14:paraId="23E5C273" w14:textId="77777777" w:rsidR="00567C72" w:rsidRDefault="00567C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6C65F" w14:textId="77777777" w:rsidR="001D5452" w:rsidRDefault="001D5452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AC1C2F">
      <w:rPr>
        <w:rStyle w:val="Nmerodepgina"/>
        <w:noProof/>
      </w:rPr>
      <w:t>6</w:t>
    </w:r>
    <w:r>
      <w:rPr>
        <w:rStyle w:val="Nmerodepgin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3B4CD" w14:textId="77777777" w:rsidR="001D5452" w:rsidRPr="004F0848" w:rsidRDefault="001D5452" w:rsidP="004F0848">
    <w:pPr>
      <w:pStyle w:val="Encabezado"/>
      <w:jc w:val="center"/>
      <w:rPr>
        <w:rFonts w:ascii="Book Antiqua" w:hAnsi="Book Antiqua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24ECB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74DA0"/>
    <w:multiLevelType w:val="hybridMultilevel"/>
    <w:tmpl w:val="46A246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F7101F1"/>
    <w:multiLevelType w:val="multilevel"/>
    <w:tmpl w:val="991422AE"/>
    <w:lvl w:ilvl="0">
      <w:start w:val="1"/>
      <w:numFmt w:val="lowerLetter"/>
      <w:lvlText w:val="%1."/>
      <w:lvlJc w:val="left"/>
      <w:pPr>
        <w:ind w:left="108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80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52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324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96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6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4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1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840" w:hanging="360"/>
      </w:pPr>
      <w:rPr>
        <w:u w:val="none"/>
      </w:rPr>
    </w:lvl>
  </w:abstractNum>
  <w:abstractNum w:abstractNumId="3" w15:restartNumberingAfterBreak="0">
    <w:nsid w:val="59BB1F91"/>
    <w:multiLevelType w:val="hybridMultilevel"/>
    <w:tmpl w:val="587030EC"/>
    <w:lvl w:ilvl="0" w:tplc="2EDE411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9A240DA"/>
    <w:multiLevelType w:val="hybridMultilevel"/>
    <w:tmpl w:val="EC60AE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484134"/>
    <w:multiLevelType w:val="hybridMultilevel"/>
    <w:tmpl w:val="5D24BA3E"/>
    <w:lvl w:ilvl="0" w:tplc="F978FD7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EFF546C"/>
    <w:multiLevelType w:val="hybridMultilevel"/>
    <w:tmpl w:val="086A3364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484615609">
    <w:abstractNumId w:val="0"/>
  </w:num>
  <w:num w:numId="2" w16cid:durableId="1862821214">
    <w:abstractNumId w:val="1"/>
  </w:num>
  <w:num w:numId="3" w16cid:durableId="125587796">
    <w:abstractNumId w:val="5"/>
  </w:num>
  <w:num w:numId="4" w16cid:durableId="1469937623">
    <w:abstractNumId w:val="6"/>
  </w:num>
  <w:num w:numId="5" w16cid:durableId="1385442867">
    <w:abstractNumId w:val="3"/>
  </w:num>
  <w:num w:numId="6" w16cid:durableId="370344500">
    <w:abstractNumId w:val="4"/>
  </w:num>
  <w:num w:numId="7" w16cid:durableId="4298628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14D33"/>
    <w:rsid w:val="000237A2"/>
    <w:rsid w:val="00025D58"/>
    <w:rsid w:val="000837AE"/>
    <w:rsid w:val="0008580E"/>
    <w:rsid w:val="000B02E8"/>
    <w:rsid w:val="000C0FC2"/>
    <w:rsid w:val="000D4EA4"/>
    <w:rsid w:val="000E401F"/>
    <w:rsid w:val="000F6D0C"/>
    <w:rsid w:val="00117687"/>
    <w:rsid w:val="00117CF1"/>
    <w:rsid w:val="001341B3"/>
    <w:rsid w:val="00162236"/>
    <w:rsid w:val="00172E90"/>
    <w:rsid w:val="00187C1A"/>
    <w:rsid w:val="00192A08"/>
    <w:rsid w:val="001C1AD7"/>
    <w:rsid w:val="001C5D78"/>
    <w:rsid w:val="001D5452"/>
    <w:rsid w:val="001E3EF2"/>
    <w:rsid w:val="001E4E58"/>
    <w:rsid w:val="001E67FD"/>
    <w:rsid w:val="001F5565"/>
    <w:rsid w:val="00213027"/>
    <w:rsid w:val="00222686"/>
    <w:rsid w:val="002372D6"/>
    <w:rsid w:val="00251BDB"/>
    <w:rsid w:val="002755A4"/>
    <w:rsid w:val="002967D1"/>
    <w:rsid w:val="002C0760"/>
    <w:rsid w:val="002E3B60"/>
    <w:rsid w:val="002E54D6"/>
    <w:rsid w:val="002E6E00"/>
    <w:rsid w:val="00320E02"/>
    <w:rsid w:val="00320E23"/>
    <w:rsid w:val="0032458C"/>
    <w:rsid w:val="00332A69"/>
    <w:rsid w:val="00333668"/>
    <w:rsid w:val="0033527B"/>
    <w:rsid w:val="00351DC6"/>
    <w:rsid w:val="003724FD"/>
    <w:rsid w:val="00374A16"/>
    <w:rsid w:val="00377579"/>
    <w:rsid w:val="0038034F"/>
    <w:rsid w:val="003920F4"/>
    <w:rsid w:val="003A4CD5"/>
    <w:rsid w:val="003B0216"/>
    <w:rsid w:val="003B1B37"/>
    <w:rsid w:val="003B3E41"/>
    <w:rsid w:val="003C230A"/>
    <w:rsid w:val="003C3888"/>
    <w:rsid w:val="003E154A"/>
    <w:rsid w:val="003E2B61"/>
    <w:rsid w:val="003F1E33"/>
    <w:rsid w:val="003F771C"/>
    <w:rsid w:val="00443CEB"/>
    <w:rsid w:val="004440CB"/>
    <w:rsid w:val="0044418F"/>
    <w:rsid w:val="00450C11"/>
    <w:rsid w:val="00452A13"/>
    <w:rsid w:val="00462941"/>
    <w:rsid w:val="00473422"/>
    <w:rsid w:val="00473CD3"/>
    <w:rsid w:val="00481052"/>
    <w:rsid w:val="00485BB9"/>
    <w:rsid w:val="00486CB1"/>
    <w:rsid w:val="0048740D"/>
    <w:rsid w:val="004A2D5E"/>
    <w:rsid w:val="004A4150"/>
    <w:rsid w:val="004A539F"/>
    <w:rsid w:val="004B141C"/>
    <w:rsid w:val="004E0AF2"/>
    <w:rsid w:val="004F0848"/>
    <w:rsid w:val="004F6513"/>
    <w:rsid w:val="00510943"/>
    <w:rsid w:val="00531E0D"/>
    <w:rsid w:val="00542612"/>
    <w:rsid w:val="00543CB2"/>
    <w:rsid w:val="0054458F"/>
    <w:rsid w:val="00547117"/>
    <w:rsid w:val="005653DE"/>
    <w:rsid w:val="00567C72"/>
    <w:rsid w:val="00575E06"/>
    <w:rsid w:val="00580588"/>
    <w:rsid w:val="00584295"/>
    <w:rsid w:val="005A0445"/>
    <w:rsid w:val="005C52BF"/>
    <w:rsid w:val="005D6020"/>
    <w:rsid w:val="005E2E57"/>
    <w:rsid w:val="00601C4A"/>
    <w:rsid w:val="00657ACF"/>
    <w:rsid w:val="0068219D"/>
    <w:rsid w:val="0069334D"/>
    <w:rsid w:val="006A1EF0"/>
    <w:rsid w:val="006C617E"/>
    <w:rsid w:val="0070763D"/>
    <w:rsid w:val="007177EB"/>
    <w:rsid w:val="00721932"/>
    <w:rsid w:val="007221A0"/>
    <w:rsid w:val="007257A2"/>
    <w:rsid w:val="00731728"/>
    <w:rsid w:val="00735DBC"/>
    <w:rsid w:val="007373D5"/>
    <w:rsid w:val="0074707F"/>
    <w:rsid w:val="0075415D"/>
    <w:rsid w:val="00754D36"/>
    <w:rsid w:val="007759F5"/>
    <w:rsid w:val="00776CC9"/>
    <w:rsid w:val="0077733D"/>
    <w:rsid w:val="00786271"/>
    <w:rsid w:val="007878C9"/>
    <w:rsid w:val="007A2CBA"/>
    <w:rsid w:val="007A3943"/>
    <w:rsid w:val="007D6357"/>
    <w:rsid w:val="007D6CF1"/>
    <w:rsid w:val="007F0DAF"/>
    <w:rsid w:val="007F6FF1"/>
    <w:rsid w:val="00802CFF"/>
    <w:rsid w:val="00813CDC"/>
    <w:rsid w:val="00815602"/>
    <w:rsid w:val="00816E7E"/>
    <w:rsid w:val="008243BA"/>
    <w:rsid w:val="00833CE1"/>
    <w:rsid w:val="00835E09"/>
    <w:rsid w:val="0085032D"/>
    <w:rsid w:val="00860610"/>
    <w:rsid w:val="00867FC5"/>
    <w:rsid w:val="0087199D"/>
    <w:rsid w:val="00874DFC"/>
    <w:rsid w:val="00896157"/>
    <w:rsid w:val="008B6432"/>
    <w:rsid w:val="008B6928"/>
    <w:rsid w:val="008D29EF"/>
    <w:rsid w:val="008E39AD"/>
    <w:rsid w:val="008E7323"/>
    <w:rsid w:val="00901C46"/>
    <w:rsid w:val="0090426C"/>
    <w:rsid w:val="0093072B"/>
    <w:rsid w:val="00941E87"/>
    <w:rsid w:val="009565D6"/>
    <w:rsid w:val="009816B3"/>
    <w:rsid w:val="00983899"/>
    <w:rsid w:val="00985925"/>
    <w:rsid w:val="009905C7"/>
    <w:rsid w:val="009959C1"/>
    <w:rsid w:val="009A04E7"/>
    <w:rsid w:val="009A3BCB"/>
    <w:rsid w:val="009C3A71"/>
    <w:rsid w:val="009D57E6"/>
    <w:rsid w:val="009E15A6"/>
    <w:rsid w:val="009E1F25"/>
    <w:rsid w:val="009E2241"/>
    <w:rsid w:val="009F6DDD"/>
    <w:rsid w:val="00A16669"/>
    <w:rsid w:val="00A3000E"/>
    <w:rsid w:val="00A53316"/>
    <w:rsid w:val="00A72A3D"/>
    <w:rsid w:val="00A7493C"/>
    <w:rsid w:val="00A75D60"/>
    <w:rsid w:val="00A87231"/>
    <w:rsid w:val="00A9070D"/>
    <w:rsid w:val="00AC1C2F"/>
    <w:rsid w:val="00AC2DA6"/>
    <w:rsid w:val="00AC6F85"/>
    <w:rsid w:val="00B01568"/>
    <w:rsid w:val="00B10CEF"/>
    <w:rsid w:val="00B4144B"/>
    <w:rsid w:val="00B4145D"/>
    <w:rsid w:val="00B83364"/>
    <w:rsid w:val="00B97B80"/>
    <w:rsid w:val="00BC26D6"/>
    <w:rsid w:val="00BC2FCC"/>
    <w:rsid w:val="00BC3464"/>
    <w:rsid w:val="00BC3484"/>
    <w:rsid w:val="00BC3856"/>
    <w:rsid w:val="00BC5847"/>
    <w:rsid w:val="00BC5D7F"/>
    <w:rsid w:val="00BC6657"/>
    <w:rsid w:val="00BD0EE1"/>
    <w:rsid w:val="00BD43BA"/>
    <w:rsid w:val="00BE2E0F"/>
    <w:rsid w:val="00C34CF5"/>
    <w:rsid w:val="00C55921"/>
    <w:rsid w:val="00C84605"/>
    <w:rsid w:val="00CA6677"/>
    <w:rsid w:val="00CB18A7"/>
    <w:rsid w:val="00CB22F2"/>
    <w:rsid w:val="00CC26B4"/>
    <w:rsid w:val="00CD00DF"/>
    <w:rsid w:val="00CE3DBD"/>
    <w:rsid w:val="00CF50DF"/>
    <w:rsid w:val="00D0034A"/>
    <w:rsid w:val="00D10D23"/>
    <w:rsid w:val="00D11602"/>
    <w:rsid w:val="00D2738A"/>
    <w:rsid w:val="00D27BF1"/>
    <w:rsid w:val="00D30D48"/>
    <w:rsid w:val="00D32506"/>
    <w:rsid w:val="00D34C21"/>
    <w:rsid w:val="00D412B1"/>
    <w:rsid w:val="00D47681"/>
    <w:rsid w:val="00D57544"/>
    <w:rsid w:val="00D613DC"/>
    <w:rsid w:val="00D61602"/>
    <w:rsid w:val="00D71038"/>
    <w:rsid w:val="00D812B9"/>
    <w:rsid w:val="00D83769"/>
    <w:rsid w:val="00D95C43"/>
    <w:rsid w:val="00DB36D3"/>
    <w:rsid w:val="00DB63C4"/>
    <w:rsid w:val="00DC2DF7"/>
    <w:rsid w:val="00DD61CD"/>
    <w:rsid w:val="00DE3C91"/>
    <w:rsid w:val="00DF48E1"/>
    <w:rsid w:val="00E03084"/>
    <w:rsid w:val="00E12871"/>
    <w:rsid w:val="00E17F3E"/>
    <w:rsid w:val="00E5125A"/>
    <w:rsid w:val="00E61333"/>
    <w:rsid w:val="00E73742"/>
    <w:rsid w:val="00E805DA"/>
    <w:rsid w:val="00EA2060"/>
    <w:rsid w:val="00EB436E"/>
    <w:rsid w:val="00EC4274"/>
    <w:rsid w:val="00EC6830"/>
    <w:rsid w:val="00EF44A5"/>
    <w:rsid w:val="00EF5AA7"/>
    <w:rsid w:val="00F11759"/>
    <w:rsid w:val="00F3646E"/>
    <w:rsid w:val="00F46137"/>
    <w:rsid w:val="00F46526"/>
    <w:rsid w:val="00F55C58"/>
    <w:rsid w:val="00F575F5"/>
    <w:rsid w:val="00F64335"/>
    <w:rsid w:val="00F666FA"/>
    <w:rsid w:val="00F818CA"/>
    <w:rsid w:val="00F837D7"/>
    <w:rsid w:val="00F90A97"/>
    <w:rsid w:val="00FA35F7"/>
    <w:rsid w:val="00FC47E7"/>
    <w:rsid w:val="00FC5E9B"/>
    <w:rsid w:val="00FE0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5B526D0"/>
  <w14:defaultImageDpi w14:val="300"/>
  <w15:chartTrackingRefBased/>
  <w15:docId w15:val="{4098AA20-615F-44F4-8F85-D00392793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9334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9334D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9334D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Textodeglobo">
    <w:name w:val="Balloon Text"/>
    <w:basedOn w:val="Normal"/>
    <w:link w:val="TextodegloboCar"/>
    <w:uiPriority w:val="99"/>
    <w:semiHidden/>
    <w:unhideWhenUsed/>
    <w:rsid w:val="001C5D78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TextodegloboCar">
    <w:name w:val="Texto de globo Car"/>
    <w:link w:val="Textodeglobo"/>
    <w:uiPriority w:val="99"/>
    <w:semiHidden/>
    <w:rsid w:val="001C5D78"/>
    <w:rPr>
      <w:rFonts w:ascii="Segoe UI" w:hAnsi="Segoe UI" w:cs="Segoe UI"/>
      <w:sz w:val="18"/>
      <w:szCs w:val="18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A72A3D"/>
    <w:rPr>
      <w:rFonts w:ascii="Courier New" w:hAnsi="Courier New" w:cs="Courier New"/>
      <w:sz w:val="20"/>
    </w:rPr>
  </w:style>
  <w:style w:type="character" w:customStyle="1" w:styleId="HTMLconformatoprevioCar">
    <w:name w:val="HTML con formato previo Car"/>
    <w:link w:val="HTMLconformatoprevio"/>
    <w:uiPriority w:val="99"/>
    <w:semiHidden/>
    <w:rsid w:val="00A72A3D"/>
    <w:rPr>
      <w:rFonts w:ascii="Courier New" w:hAnsi="Courier New" w:cs="Courier New"/>
    </w:rPr>
  </w:style>
  <w:style w:type="character" w:customStyle="1" w:styleId="Ttulo4Car">
    <w:name w:val="Título 4 Car"/>
    <w:link w:val="Ttulo4"/>
    <w:uiPriority w:val="9"/>
    <w:semiHidden/>
    <w:rsid w:val="0069334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2Car">
    <w:name w:val="Título 2 Car"/>
    <w:link w:val="Ttulo2"/>
    <w:uiPriority w:val="9"/>
    <w:semiHidden/>
    <w:rsid w:val="0069334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ar">
    <w:name w:val="Título 3 Car"/>
    <w:link w:val="Ttulo3"/>
    <w:uiPriority w:val="9"/>
    <w:semiHidden/>
    <w:rsid w:val="0069334D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ipervnculo">
    <w:name w:val="Hyperlink"/>
    <w:uiPriority w:val="99"/>
    <w:unhideWhenUsed/>
    <w:rsid w:val="0069334D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69334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D83769"/>
    <w:pPr>
      <w:ind w:left="720"/>
      <w:contextualSpacing/>
    </w:pPr>
    <w:rPr>
      <w:rFonts w:eastAsia="MS Mincho"/>
      <w:szCs w:val="24"/>
    </w:rPr>
  </w:style>
  <w:style w:type="character" w:customStyle="1" w:styleId="apple-converted-space">
    <w:name w:val="apple-converted-space"/>
    <w:basedOn w:val="Fuentedeprrafopredeter"/>
    <w:rsid w:val="00EA2060"/>
  </w:style>
  <w:style w:type="character" w:styleId="Fuerte">
    <w:name w:val="Strong"/>
    <w:uiPriority w:val="22"/>
    <w:qFormat/>
    <w:rsid w:val="00EA206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96157"/>
    <w:pPr>
      <w:spacing w:before="100" w:beforeAutospacing="1" w:after="100" w:afterAutospacing="1"/>
    </w:pPr>
    <w:rPr>
      <w:rFonts w:eastAsia="Times New Roman"/>
      <w:szCs w:val="24"/>
    </w:rPr>
  </w:style>
  <w:style w:type="character" w:styleId="Refdecomentario">
    <w:name w:val="annotation reference"/>
    <w:uiPriority w:val="99"/>
    <w:semiHidden/>
    <w:unhideWhenUsed/>
    <w:rsid w:val="00816E7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16E7E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16E7E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16E7E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816E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5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358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70056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90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80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182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270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993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87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982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059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367366">
                                                      <w:marLeft w:val="0"/>
                                                      <w:marRight w:val="16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14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540592">
                                                              <w:marLeft w:val="-165"/>
                                                              <w:marRight w:val="-16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5412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622931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1798">
                          <w:marLeft w:val="21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985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7309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237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86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2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92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5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982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06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756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581453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220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20785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273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21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eyes\Application%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4</TotalTime>
  <Pages>4</Pages>
  <Words>844</Words>
  <Characters>4744</Characters>
  <Application>Microsoft Office Word</Application>
  <DocSecurity>0</DocSecurity>
  <Lines>98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 </Company>
  <LinksUpToDate>false</LinksUpToDate>
  <CharactersWithSpaces>5551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TReyes</dc:creator>
  <cp:keywords/>
  <cp:lastModifiedBy>Rocío Alayón Morell</cp:lastModifiedBy>
  <cp:revision>3</cp:revision>
  <cp:lastPrinted>2026-03-23T17:17:00Z</cp:lastPrinted>
  <dcterms:created xsi:type="dcterms:W3CDTF">2026-03-23T18:36:00Z</dcterms:created>
  <dcterms:modified xsi:type="dcterms:W3CDTF">2026-03-24T14:09:00Z</dcterms:modified>
</cp:coreProperties>
</file>