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651F0" w14:textId="251DE82D" w:rsidR="003845CA" w:rsidRPr="00A163C6" w:rsidRDefault="001B0904" w:rsidP="003845CA">
      <w:pPr>
        <w:suppressLineNumbers/>
        <w:jc w:val="center"/>
        <w:rPr>
          <w:rFonts w:ascii="Book Antiqua" w:hAnsi="Book Antiqua"/>
          <w:sz w:val="28"/>
          <w:lang w:val="es-ES_tradnl"/>
        </w:rPr>
      </w:pPr>
      <w:r>
        <w:rPr>
          <w:rFonts w:ascii="Book Antiqua" w:hAnsi="Book Antiqua"/>
          <w:sz w:val="28"/>
          <w:lang w:val="es-ES_tradnl"/>
        </w:rPr>
        <w:t>GOBIERNO DE PUERTO RICO</w:t>
      </w:r>
    </w:p>
    <w:p w14:paraId="183240CD" w14:textId="77777777" w:rsidR="003845CA" w:rsidRDefault="003845CA" w:rsidP="003845CA">
      <w:pPr>
        <w:suppressLineNumbers/>
        <w:jc w:val="center"/>
        <w:rPr>
          <w:rFonts w:ascii="Book Antiqua" w:hAnsi="Book Antiqua"/>
          <w:lang w:val="es-ES_tradnl"/>
        </w:rPr>
      </w:pPr>
    </w:p>
    <w:p w14:paraId="5AECBF6E" w14:textId="013E9A01" w:rsidR="003845CA" w:rsidRDefault="001B0904" w:rsidP="003845CA">
      <w:pPr>
        <w:suppressLineNumbers/>
        <w:jc w:val="both"/>
        <w:rPr>
          <w:rFonts w:ascii="Book Antiqua" w:hAnsi="Book Antiqua"/>
          <w:lang w:val="es-ES_tradnl"/>
        </w:rPr>
      </w:pPr>
      <w:r>
        <w:rPr>
          <w:rFonts w:ascii="Book Antiqua" w:hAnsi="Book Antiqua"/>
          <w:lang w:val="es-ES_tradnl"/>
        </w:rPr>
        <w:t>20m</w:t>
      </w:r>
      <w:r w:rsidR="003845CA">
        <w:rPr>
          <w:rFonts w:ascii="Book Antiqua" w:hAnsi="Book Antiqua"/>
          <w:lang w:val="es-ES_tradnl"/>
        </w:rPr>
        <w:t>a. Asamblea</w:t>
      </w:r>
      <w:r w:rsidR="003845CA">
        <w:rPr>
          <w:rFonts w:ascii="Book Antiqua" w:hAnsi="Book Antiqua"/>
          <w:lang w:val="es-ES_tradnl"/>
        </w:rPr>
        <w:tab/>
        <w:t xml:space="preserve">                                                                                             </w:t>
      </w:r>
      <w:r w:rsidR="005C377A">
        <w:rPr>
          <w:rFonts w:ascii="Book Antiqua" w:hAnsi="Book Antiqua"/>
          <w:lang w:val="es-ES_tradnl"/>
        </w:rPr>
        <w:t xml:space="preserve">  </w:t>
      </w:r>
      <w:r w:rsidR="00895F8D">
        <w:rPr>
          <w:rFonts w:ascii="Book Antiqua" w:hAnsi="Book Antiqua"/>
          <w:lang w:val="es-ES_tradnl"/>
        </w:rPr>
        <w:t>3</w:t>
      </w:r>
      <w:r w:rsidR="003845CA">
        <w:rPr>
          <w:rFonts w:ascii="Book Antiqua" w:hAnsi="Book Antiqua"/>
          <w:lang w:val="es-ES_tradnl"/>
        </w:rPr>
        <w:t>ra. Sesión</w:t>
      </w:r>
    </w:p>
    <w:p w14:paraId="62A9F648" w14:textId="1BCE5408" w:rsidR="003845CA" w:rsidRDefault="003845CA" w:rsidP="003845CA">
      <w:pPr>
        <w:suppressLineNumbers/>
        <w:rPr>
          <w:rFonts w:ascii="Book Antiqua" w:hAnsi="Book Antiqua"/>
          <w:lang w:val="es-ES_tradnl"/>
        </w:rPr>
      </w:pPr>
      <w:r>
        <w:rPr>
          <w:rFonts w:ascii="Book Antiqua" w:hAnsi="Book Antiqua"/>
          <w:lang w:val="es-ES_tradnl"/>
        </w:rPr>
        <w:t xml:space="preserve">          </w:t>
      </w:r>
      <w:r w:rsidR="005C377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548F1EE5" w14:textId="052E7778" w:rsidR="00B36FD7" w:rsidRPr="00852226" w:rsidRDefault="00B36FD7" w:rsidP="003845CA">
      <w:pPr>
        <w:suppressLineNumbers/>
        <w:rPr>
          <w:rFonts w:ascii="Book Antiqua" w:hAnsi="Book Antiqua"/>
        </w:rPr>
      </w:pPr>
      <w:r w:rsidRPr="00852226">
        <w:rPr>
          <w:rFonts w:ascii="Book Antiqua" w:hAnsi="Book Antiqua"/>
        </w:rPr>
        <w:t xml:space="preserve">       </w:t>
      </w:r>
    </w:p>
    <w:p w14:paraId="11A12A0F" w14:textId="77777777" w:rsidR="00B36FD7" w:rsidRPr="00852226" w:rsidRDefault="00B36FD7" w:rsidP="00B36FD7">
      <w:pPr>
        <w:pStyle w:val="Sinespaciado"/>
        <w:suppressLineNumbers/>
        <w:jc w:val="center"/>
        <w:rPr>
          <w:rFonts w:ascii="Book Antiqua" w:hAnsi="Book Antiqua"/>
          <w:b/>
          <w:sz w:val="36"/>
          <w:szCs w:val="36"/>
        </w:rPr>
      </w:pPr>
      <w:r w:rsidRPr="00852226">
        <w:rPr>
          <w:rFonts w:ascii="Book Antiqua" w:hAnsi="Book Antiqua"/>
          <w:b/>
          <w:sz w:val="36"/>
          <w:szCs w:val="36"/>
        </w:rPr>
        <w:t>CÁMARA DE REPRESENTANTES</w:t>
      </w:r>
    </w:p>
    <w:p w14:paraId="6ED74661" w14:textId="77777777" w:rsidR="00B36FD7" w:rsidRPr="005C377A" w:rsidRDefault="00B36FD7" w:rsidP="00B36FD7">
      <w:pPr>
        <w:pStyle w:val="Sinespaciado"/>
        <w:suppressLineNumbers/>
        <w:jc w:val="center"/>
        <w:rPr>
          <w:rFonts w:ascii="Book Antiqua" w:hAnsi="Book Antiqua"/>
          <w:sz w:val="24"/>
          <w:szCs w:val="24"/>
        </w:rPr>
      </w:pPr>
    </w:p>
    <w:p w14:paraId="53B3FBA3" w14:textId="3460F1B8" w:rsidR="00B36FD7" w:rsidRPr="00852226" w:rsidRDefault="00930EB5" w:rsidP="00B36FD7">
      <w:pPr>
        <w:pStyle w:val="Sinespaciado"/>
        <w:suppressLineNumbers/>
        <w:jc w:val="center"/>
        <w:rPr>
          <w:rFonts w:ascii="Book Antiqua" w:hAnsi="Book Antiqua"/>
          <w:b/>
          <w:sz w:val="52"/>
          <w:szCs w:val="52"/>
        </w:rPr>
      </w:pPr>
      <w:r w:rsidRPr="00852226">
        <w:rPr>
          <w:rFonts w:ascii="Book Antiqua" w:hAnsi="Book Antiqua"/>
          <w:b/>
          <w:sz w:val="52"/>
          <w:szCs w:val="52"/>
        </w:rPr>
        <w:t xml:space="preserve">P. de la C. </w:t>
      </w:r>
      <w:r w:rsidR="0042661E">
        <w:rPr>
          <w:rFonts w:ascii="Book Antiqua" w:hAnsi="Book Antiqua"/>
          <w:b/>
          <w:sz w:val="52"/>
          <w:szCs w:val="52"/>
        </w:rPr>
        <w:t>1215</w:t>
      </w:r>
    </w:p>
    <w:p w14:paraId="3AC9748E" w14:textId="77777777" w:rsidR="00B36FD7" w:rsidRPr="00852226" w:rsidRDefault="00B36FD7" w:rsidP="00B36FD7">
      <w:pPr>
        <w:pStyle w:val="Sinespaciado"/>
        <w:suppressLineNumbers/>
        <w:jc w:val="center"/>
        <w:rPr>
          <w:rFonts w:ascii="Book Antiqua" w:hAnsi="Book Antiqua"/>
          <w:sz w:val="24"/>
          <w:szCs w:val="24"/>
        </w:rPr>
      </w:pPr>
    </w:p>
    <w:p w14:paraId="5D894B58" w14:textId="128869E6" w:rsidR="00B36FD7" w:rsidRPr="00852226" w:rsidRDefault="0042661E" w:rsidP="00B36FD7">
      <w:pPr>
        <w:pStyle w:val="Sinespaciado"/>
        <w:suppressLineNumbers/>
        <w:jc w:val="center"/>
        <w:rPr>
          <w:rFonts w:ascii="Book Antiqua" w:hAnsi="Book Antiqua"/>
          <w:sz w:val="24"/>
          <w:szCs w:val="24"/>
        </w:rPr>
      </w:pPr>
      <w:r>
        <w:rPr>
          <w:rFonts w:ascii="Book Antiqua" w:hAnsi="Book Antiqua"/>
          <w:sz w:val="24"/>
          <w:szCs w:val="24"/>
        </w:rPr>
        <w:t>10</w:t>
      </w:r>
      <w:r w:rsidR="001B0904">
        <w:rPr>
          <w:rFonts w:ascii="Book Antiqua" w:hAnsi="Book Antiqua"/>
          <w:sz w:val="24"/>
          <w:szCs w:val="24"/>
        </w:rPr>
        <w:t xml:space="preserve"> DE </w:t>
      </w:r>
      <w:r w:rsidR="00895F8D">
        <w:rPr>
          <w:rFonts w:ascii="Book Antiqua" w:hAnsi="Book Antiqua"/>
          <w:sz w:val="24"/>
          <w:szCs w:val="24"/>
        </w:rPr>
        <w:t>ABRIL</w:t>
      </w:r>
      <w:r w:rsidR="001B0904">
        <w:rPr>
          <w:rFonts w:ascii="Book Antiqua" w:hAnsi="Book Antiqua"/>
          <w:sz w:val="24"/>
          <w:szCs w:val="24"/>
        </w:rPr>
        <w:t xml:space="preserve"> DE 202</w:t>
      </w:r>
      <w:r w:rsidR="009A6724">
        <w:rPr>
          <w:rFonts w:ascii="Book Antiqua" w:hAnsi="Book Antiqua"/>
          <w:sz w:val="24"/>
          <w:szCs w:val="24"/>
        </w:rPr>
        <w:t>6</w:t>
      </w:r>
    </w:p>
    <w:p w14:paraId="771C4E0D" w14:textId="77777777" w:rsidR="00B36FD7" w:rsidRPr="00852226" w:rsidRDefault="00B36FD7" w:rsidP="00B36FD7">
      <w:pPr>
        <w:pStyle w:val="Sinespaciado"/>
        <w:suppressLineNumbers/>
        <w:jc w:val="center"/>
        <w:rPr>
          <w:rFonts w:ascii="Book Antiqua" w:hAnsi="Book Antiqua"/>
          <w:i/>
          <w:sz w:val="24"/>
          <w:szCs w:val="24"/>
        </w:rPr>
      </w:pPr>
    </w:p>
    <w:p w14:paraId="13EB35D2" w14:textId="77777777" w:rsidR="00B36FD7" w:rsidRPr="00852226" w:rsidRDefault="00B36FD7" w:rsidP="00B36FD7">
      <w:pPr>
        <w:pStyle w:val="Sinespaciado"/>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17C7EBF" w14:textId="77777777" w:rsidR="00B36FD7" w:rsidRPr="00852226" w:rsidRDefault="00B36FD7" w:rsidP="00B36FD7">
      <w:pPr>
        <w:pStyle w:val="Sinespaciado"/>
        <w:suppressLineNumbers/>
        <w:ind w:left="360" w:hanging="360"/>
        <w:jc w:val="both"/>
        <w:rPr>
          <w:rFonts w:ascii="Book Antiqua" w:hAnsi="Book Antiqua"/>
          <w:sz w:val="24"/>
          <w:szCs w:val="24"/>
        </w:rPr>
      </w:pPr>
    </w:p>
    <w:p w14:paraId="6CABE8BC" w14:textId="329E90EE" w:rsidR="00F03A68" w:rsidRDefault="00F03A68" w:rsidP="00F03A68">
      <w:pPr>
        <w:jc w:val="center"/>
        <w:rPr>
          <w:rFonts w:ascii="Book Antiqua" w:hAnsi="Book Antiqua"/>
          <w:lang w:val="es-ES_tradnl"/>
        </w:rPr>
      </w:pPr>
      <w:r w:rsidRPr="00F2583A">
        <w:rPr>
          <w:rFonts w:ascii="Book Antiqua" w:hAnsi="Book Antiqua"/>
          <w:lang w:val="es-ES_tradnl"/>
        </w:rPr>
        <w:t>Referido a</w:t>
      </w:r>
      <w:r>
        <w:rPr>
          <w:rFonts w:ascii="Book Antiqua" w:hAnsi="Book Antiqua"/>
          <w:lang w:val="es-ES_tradnl"/>
        </w:rPr>
        <w:t xml:space="preserve"> la Comisión de</w:t>
      </w:r>
      <w:r w:rsidR="003922A2">
        <w:rPr>
          <w:rFonts w:ascii="Book Antiqua" w:hAnsi="Book Antiqua"/>
          <w:lang w:val="es-ES_tradnl"/>
        </w:rPr>
        <w:t>l</w:t>
      </w:r>
      <w:r>
        <w:rPr>
          <w:rFonts w:ascii="Book Antiqua" w:hAnsi="Book Antiqua"/>
          <w:lang w:val="es-ES_tradnl"/>
        </w:rPr>
        <w:t xml:space="preserve"> </w:t>
      </w:r>
      <w:r w:rsidR="003922A2">
        <w:rPr>
          <w:rFonts w:ascii="Book Antiqua" w:hAnsi="Book Antiqua"/>
          <w:lang w:val="es-ES_tradnl"/>
        </w:rPr>
        <w:t>Trabajo y Asuntos Laborales</w:t>
      </w:r>
    </w:p>
    <w:p w14:paraId="7911EC85" w14:textId="77777777" w:rsidR="00B36FD7" w:rsidRPr="00852226" w:rsidRDefault="00B36FD7" w:rsidP="00B36FD7">
      <w:pPr>
        <w:pStyle w:val="Sinespaciado"/>
        <w:suppressLineNumbers/>
        <w:jc w:val="center"/>
        <w:rPr>
          <w:rFonts w:ascii="Book Antiqua" w:hAnsi="Book Antiqua"/>
          <w:sz w:val="24"/>
          <w:szCs w:val="24"/>
        </w:rPr>
      </w:pPr>
    </w:p>
    <w:p w14:paraId="3FABAC18" w14:textId="77777777" w:rsidR="00B36FD7" w:rsidRPr="00852226" w:rsidRDefault="00B36FD7" w:rsidP="00B36FD7">
      <w:pPr>
        <w:pStyle w:val="Sinespaciado"/>
        <w:suppressLineNumbers/>
        <w:jc w:val="center"/>
        <w:rPr>
          <w:rFonts w:ascii="Book Antiqua" w:hAnsi="Book Antiqua"/>
          <w:b/>
          <w:sz w:val="28"/>
          <w:szCs w:val="28"/>
        </w:rPr>
      </w:pPr>
      <w:r w:rsidRPr="00852226">
        <w:rPr>
          <w:rFonts w:ascii="Book Antiqua" w:hAnsi="Book Antiqua"/>
          <w:b/>
          <w:sz w:val="28"/>
          <w:szCs w:val="28"/>
        </w:rPr>
        <w:t>LEY</w:t>
      </w:r>
    </w:p>
    <w:p w14:paraId="3115D3E2" w14:textId="77777777" w:rsidR="00FD358F" w:rsidRPr="00852226" w:rsidRDefault="00FD358F" w:rsidP="00FD358F">
      <w:pPr>
        <w:jc w:val="both"/>
        <w:rPr>
          <w:rFonts w:ascii="Book Antiqua" w:hAnsi="Book Antiqua"/>
        </w:rPr>
      </w:pPr>
    </w:p>
    <w:p w14:paraId="04C8F308" w14:textId="1338A55D" w:rsidR="00895F8D" w:rsidRDefault="00895F8D" w:rsidP="005C377A">
      <w:pPr>
        <w:ind w:left="720" w:right="720" w:hanging="720"/>
        <w:jc w:val="both"/>
        <w:rPr>
          <w:rFonts w:ascii="Book Antiqua" w:hAnsi="Book Antiqua"/>
        </w:rPr>
      </w:pPr>
      <w:r w:rsidRPr="00A53988">
        <w:rPr>
          <w:rFonts w:ascii="Book Antiqua" w:hAnsi="Book Antiqua"/>
        </w:rPr>
        <w:t xml:space="preserve">Para enmendar el inciso (a) del Artículo 7 de la Ley Núm. 130 de 8 de mayo de </w:t>
      </w:r>
      <w:r w:rsidR="00D84AC0">
        <w:rPr>
          <w:rFonts w:ascii="Book Antiqua" w:hAnsi="Book Antiqua"/>
        </w:rPr>
        <w:t>1</w:t>
      </w:r>
      <w:r w:rsidRPr="00A53988">
        <w:rPr>
          <w:rFonts w:ascii="Book Antiqua" w:hAnsi="Book Antiqua"/>
        </w:rPr>
        <w:t xml:space="preserve">945, según enmendada, conocida como la “Ley de Relaciones del Trabajo de Puerto Rico”, a los fines de disponer que, cuando exista un acuerdo de arbitraje </w:t>
      </w:r>
      <w:r>
        <w:rPr>
          <w:rFonts w:ascii="Book Antiqua" w:hAnsi="Book Antiqua"/>
        </w:rPr>
        <w:t xml:space="preserve">compulsorio </w:t>
      </w:r>
      <w:r w:rsidRPr="00A53988">
        <w:rPr>
          <w:rFonts w:ascii="Book Antiqua" w:hAnsi="Book Antiqua"/>
        </w:rPr>
        <w:t>pactado por las partes en un convenio colectivo para atender controversias relacionadas con alegadas violaciones al convenio, dicho foro arbitral tendrá jurisdicción exclusiva para atender tales controversias; y para otros fines relacionados.</w:t>
      </w:r>
    </w:p>
    <w:p w14:paraId="7EB0100C" w14:textId="77777777" w:rsidR="00FD358F" w:rsidRPr="00852226" w:rsidRDefault="00FD358F" w:rsidP="005C377A">
      <w:pPr>
        <w:ind w:left="540" w:hanging="540"/>
        <w:jc w:val="both"/>
        <w:rPr>
          <w:rFonts w:ascii="Book Antiqua" w:hAnsi="Book Antiqua"/>
        </w:rPr>
      </w:pPr>
    </w:p>
    <w:p w14:paraId="436490B9" w14:textId="77777777" w:rsidR="00FD358F" w:rsidRDefault="00360A40" w:rsidP="005C377A">
      <w:pPr>
        <w:jc w:val="center"/>
        <w:rPr>
          <w:rFonts w:ascii="Book Antiqua" w:hAnsi="Book Antiqua"/>
        </w:rPr>
      </w:pPr>
      <w:r w:rsidRPr="00852226">
        <w:rPr>
          <w:rFonts w:ascii="Book Antiqua" w:hAnsi="Book Antiqua"/>
        </w:rPr>
        <w:t>EXPOSICIÓ</w:t>
      </w:r>
      <w:r w:rsidR="00FD358F" w:rsidRPr="00852226">
        <w:rPr>
          <w:rFonts w:ascii="Book Antiqua" w:hAnsi="Book Antiqua"/>
        </w:rPr>
        <w:t>N DE MOTIVOS</w:t>
      </w:r>
    </w:p>
    <w:p w14:paraId="1BA9DEE9" w14:textId="77777777" w:rsidR="005C377A" w:rsidRPr="00852226" w:rsidRDefault="005C377A" w:rsidP="005C377A">
      <w:pPr>
        <w:jc w:val="center"/>
        <w:rPr>
          <w:rFonts w:ascii="Book Antiqua" w:hAnsi="Book Antiqua"/>
        </w:rPr>
      </w:pPr>
    </w:p>
    <w:p w14:paraId="1C10D27D" w14:textId="77777777" w:rsidR="00895F8D" w:rsidRDefault="00895F8D" w:rsidP="005C377A">
      <w:pPr>
        <w:ind w:firstLine="720"/>
        <w:jc w:val="both"/>
        <w:rPr>
          <w:rFonts w:ascii="Book Antiqua" w:hAnsi="Book Antiqua"/>
          <w:lang w:eastAsia="es-PR"/>
        </w:rPr>
      </w:pPr>
      <w:r w:rsidRPr="001F0269">
        <w:rPr>
          <w:rFonts w:ascii="Book Antiqua" w:hAnsi="Book Antiqua"/>
          <w:lang w:eastAsia="es-PR"/>
        </w:rPr>
        <w:t>La política pública de Puerto Rico reconoce una fuerte preferencia a favor de la negociación colectiva, la paz laboral y la resolución eficiente de disputas obrero</w:t>
      </w:r>
      <w:r w:rsidRPr="001F0269">
        <w:rPr>
          <w:rFonts w:ascii="Book Antiqua" w:hAnsi="Book Antiqua"/>
          <w:lang w:eastAsia="es-PR"/>
        </w:rPr>
        <w:noBreakHyphen/>
        <w:t>patronales. La importancia de la negociación colectiva es tal que, en el caso de las corporaciones públicas, su protección fue elevada a rango constitucional mediante la Sección 17 del Artículo II de la Constitución del Estado Libre Asociado. Esta disposición reconoce expresamente el derecho de los empleados de corporaciones públicas a organizarse y negociar colectivamente, reafirmando la centralidad de estos procesos en nuestra estructura laboral.</w:t>
      </w:r>
    </w:p>
    <w:p w14:paraId="0491E30E" w14:textId="77777777" w:rsidR="005C377A" w:rsidRPr="001F0269" w:rsidRDefault="005C377A" w:rsidP="005C377A">
      <w:pPr>
        <w:ind w:firstLine="720"/>
        <w:jc w:val="both"/>
        <w:rPr>
          <w:rFonts w:ascii="Book Antiqua" w:hAnsi="Book Antiqua"/>
          <w:lang w:eastAsia="es-PR"/>
        </w:rPr>
      </w:pPr>
    </w:p>
    <w:p w14:paraId="4C67C03A" w14:textId="77777777" w:rsidR="00895F8D" w:rsidRDefault="00895F8D" w:rsidP="005C377A">
      <w:pPr>
        <w:ind w:firstLine="720"/>
        <w:jc w:val="both"/>
        <w:rPr>
          <w:rFonts w:ascii="Book Antiqua" w:hAnsi="Book Antiqua"/>
          <w:lang w:eastAsia="es-PR"/>
        </w:rPr>
      </w:pPr>
      <w:r w:rsidRPr="001F0269">
        <w:rPr>
          <w:rFonts w:ascii="Book Antiqua" w:hAnsi="Book Antiqua"/>
          <w:lang w:eastAsia="es-PR"/>
        </w:rPr>
        <w:t xml:space="preserve">La Ley Núm. 130 de 8 de mayo de 1945, según enmendada, conocida como la “Ley de Relaciones del Trabajo de Puerto Rico”, </w:t>
      </w:r>
      <w:r>
        <w:rPr>
          <w:rFonts w:ascii="Book Antiqua" w:hAnsi="Book Antiqua"/>
          <w:lang w:eastAsia="es-PR"/>
        </w:rPr>
        <w:t xml:space="preserve">en adelante “Ley Núm. 130-1945”, </w:t>
      </w:r>
      <w:r w:rsidRPr="001F0269">
        <w:rPr>
          <w:rFonts w:ascii="Book Antiqua" w:hAnsi="Book Antiqua"/>
          <w:lang w:eastAsia="es-PR"/>
        </w:rPr>
        <w:t>fue aprobada con el propósito de promover la estabilidad en las relaciones obrero</w:t>
      </w:r>
      <w:r w:rsidRPr="001F0269">
        <w:rPr>
          <w:rFonts w:ascii="Book Antiqua" w:hAnsi="Book Antiqua"/>
          <w:lang w:eastAsia="es-PR"/>
        </w:rPr>
        <w:noBreakHyphen/>
        <w:t xml:space="preserve">patronales, fomentar la negociación colectiva y evitar interrupciones perjudiciales a la economía y al bienestar general. Su creación respondió a la necesidad de establecer un marco </w:t>
      </w:r>
      <w:r w:rsidRPr="001F0269">
        <w:rPr>
          <w:rFonts w:ascii="Book Antiqua" w:hAnsi="Book Antiqua"/>
          <w:lang w:eastAsia="es-PR"/>
        </w:rPr>
        <w:lastRenderedPageBreak/>
        <w:t xml:space="preserve">institucional que garantizara procesos ordenados de organización sindical, negociación y resolución de controversias, inspirándose en los principios del </w:t>
      </w:r>
      <w:proofErr w:type="spellStart"/>
      <w:r w:rsidRPr="00B818D2">
        <w:rPr>
          <w:rFonts w:ascii="Book Antiqua" w:hAnsi="Book Antiqua"/>
          <w:lang w:eastAsia="es-PR"/>
        </w:rPr>
        <w:t>National</w:t>
      </w:r>
      <w:proofErr w:type="spellEnd"/>
      <w:r w:rsidRPr="00B818D2">
        <w:rPr>
          <w:rFonts w:ascii="Book Antiqua" w:hAnsi="Book Antiqua"/>
          <w:lang w:eastAsia="es-PR"/>
        </w:rPr>
        <w:t xml:space="preserve"> Labor </w:t>
      </w:r>
      <w:proofErr w:type="spellStart"/>
      <w:r w:rsidRPr="00B818D2">
        <w:rPr>
          <w:rFonts w:ascii="Book Antiqua" w:hAnsi="Book Antiqua"/>
          <w:lang w:eastAsia="es-PR"/>
        </w:rPr>
        <w:t>Relations</w:t>
      </w:r>
      <w:proofErr w:type="spellEnd"/>
      <w:r w:rsidRPr="00B818D2">
        <w:rPr>
          <w:rFonts w:ascii="Book Antiqua" w:hAnsi="Book Antiqua"/>
          <w:lang w:eastAsia="es-PR"/>
        </w:rPr>
        <w:t xml:space="preserve"> </w:t>
      </w:r>
      <w:proofErr w:type="spellStart"/>
      <w:r w:rsidRPr="00B818D2">
        <w:rPr>
          <w:rFonts w:ascii="Book Antiqua" w:hAnsi="Book Antiqua"/>
          <w:lang w:eastAsia="es-PR"/>
        </w:rPr>
        <w:t>Act</w:t>
      </w:r>
      <w:proofErr w:type="spellEnd"/>
      <w:r w:rsidRPr="001F0269">
        <w:rPr>
          <w:rFonts w:ascii="Book Antiqua" w:hAnsi="Book Antiqua"/>
          <w:lang w:eastAsia="es-PR"/>
        </w:rPr>
        <w:t xml:space="preserve"> federal, pero adaptado a la realidad puertorriqueña. En esencia, esta ley buscó fortalecer la paz laboral mediante mecanismos que equilibraran los derechos de los trabajadores y los patronos, y que facilitaran la solución de disputas sin recurrir a conflictos prolongados.</w:t>
      </w:r>
    </w:p>
    <w:p w14:paraId="47AC1B15" w14:textId="77777777" w:rsidR="005C377A" w:rsidRPr="001F0269" w:rsidRDefault="005C377A" w:rsidP="005C377A">
      <w:pPr>
        <w:ind w:firstLine="720"/>
        <w:jc w:val="both"/>
        <w:rPr>
          <w:rFonts w:ascii="Book Antiqua" w:hAnsi="Book Antiqua"/>
          <w:lang w:eastAsia="es-PR"/>
        </w:rPr>
      </w:pPr>
    </w:p>
    <w:p w14:paraId="43466176" w14:textId="77777777" w:rsidR="00895F8D" w:rsidRDefault="00895F8D" w:rsidP="005C377A">
      <w:pPr>
        <w:ind w:firstLine="720"/>
        <w:jc w:val="both"/>
        <w:rPr>
          <w:rFonts w:ascii="Book Antiqua" w:hAnsi="Book Antiqua"/>
          <w:lang w:eastAsia="es-PR"/>
        </w:rPr>
      </w:pPr>
      <w:r w:rsidRPr="001F0269">
        <w:rPr>
          <w:rFonts w:ascii="Book Antiqua" w:hAnsi="Book Antiqua"/>
          <w:lang w:eastAsia="es-PR"/>
        </w:rPr>
        <w:t>La Ley de Relaciones del Trabajo de Puerto Rico creó la Junta de Relaciones del Trabajo de Puerto Rico y le confirió, mediante lo dispuesto en su Artículo 7(a), jurisdicción exclusiva para atender y evitar las prácticas ilícitas de trabajo enumeradas en el Artículo 8 de dicho estatuto. Entre estas prácticas ilícitas se incluye, precisamente, la violación de los términos de un convenio colectivo.</w:t>
      </w:r>
    </w:p>
    <w:p w14:paraId="4D6525E8" w14:textId="77777777" w:rsidR="005C377A" w:rsidRPr="001F0269" w:rsidRDefault="005C377A" w:rsidP="005C377A">
      <w:pPr>
        <w:ind w:firstLine="720"/>
        <w:jc w:val="both"/>
        <w:rPr>
          <w:rFonts w:ascii="Book Antiqua" w:hAnsi="Book Antiqua"/>
          <w:lang w:eastAsia="es-PR"/>
        </w:rPr>
      </w:pPr>
    </w:p>
    <w:p w14:paraId="7E15D763" w14:textId="77777777" w:rsidR="00895F8D" w:rsidRDefault="00895F8D" w:rsidP="005C377A">
      <w:pPr>
        <w:ind w:firstLine="720"/>
        <w:jc w:val="both"/>
        <w:rPr>
          <w:rFonts w:ascii="Book Antiqua" w:hAnsi="Book Antiqua"/>
          <w:lang w:eastAsia="es-PR"/>
        </w:rPr>
      </w:pPr>
      <w:r w:rsidRPr="001F0269">
        <w:rPr>
          <w:rFonts w:ascii="Book Antiqua" w:hAnsi="Book Antiqua"/>
          <w:lang w:eastAsia="es-PR"/>
        </w:rPr>
        <w:t>No obstante, en el marco de la negociación colectiva obrero</w:t>
      </w:r>
      <w:r w:rsidRPr="001F0269">
        <w:rPr>
          <w:rFonts w:ascii="Book Antiqua" w:hAnsi="Book Antiqua"/>
          <w:lang w:eastAsia="es-PR"/>
        </w:rPr>
        <w:noBreakHyphen/>
        <w:t>patronal, las partes suelen incluir cláusulas de arbitraje como mecanismo para atender controversias relacionadas con la violación, interpretación o aplicación de los convenios colectivos pactados. La jurisprudencia puertorriqueña ha reiterado consistentemente que el arbitraje laboral constituye un mecanismo especializado, ágil y preferido para resolver este tipo de disputas, siempre que las partes así lo hayan pactado.</w:t>
      </w:r>
    </w:p>
    <w:p w14:paraId="65BD0E00" w14:textId="77777777" w:rsidR="005C377A" w:rsidRPr="001F0269" w:rsidRDefault="005C377A" w:rsidP="005C377A">
      <w:pPr>
        <w:ind w:firstLine="720"/>
        <w:jc w:val="both"/>
        <w:rPr>
          <w:rFonts w:ascii="Book Antiqua" w:hAnsi="Book Antiqua"/>
          <w:lang w:eastAsia="es-PR"/>
        </w:rPr>
      </w:pPr>
    </w:p>
    <w:p w14:paraId="26F4E3E8" w14:textId="77777777" w:rsidR="00895F8D" w:rsidRDefault="00895F8D" w:rsidP="005C377A">
      <w:pPr>
        <w:ind w:firstLine="720"/>
        <w:jc w:val="both"/>
        <w:rPr>
          <w:rFonts w:ascii="Book Antiqua" w:hAnsi="Book Antiqua"/>
          <w:lang w:eastAsia="es-PR"/>
        </w:rPr>
      </w:pPr>
      <w:r w:rsidRPr="001F0269">
        <w:rPr>
          <w:rFonts w:ascii="Book Antiqua" w:hAnsi="Book Antiqua"/>
          <w:lang w:eastAsia="es-PR"/>
        </w:rPr>
        <w:t xml:space="preserve">La política pública de Puerto Rico también reconoce expresamente el valor del arbitraje como mecanismo especializado para resolver disputas laborales. </w:t>
      </w:r>
      <w:r>
        <w:rPr>
          <w:rFonts w:ascii="Book Antiqua" w:hAnsi="Book Antiqua"/>
          <w:lang w:eastAsia="es-PR"/>
        </w:rPr>
        <w:t xml:space="preserve"> A estos efectos e</w:t>
      </w:r>
      <w:r w:rsidRPr="001F0269">
        <w:rPr>
          <w:rFonts w:ascii="Book Antiqua" w:hAnsi="Book Antiqua"/>
          <w:lang w:eastAsia="es-PR"/>
        </w:rPr>
        <w:t>l Negociado de Conciliación y Arbitraje del Departamento del Trabajo y Recursos Humanos provee servicios de mediación, conciliación y arbitraje a patronos y organizaciones obreras, facilitando la implementación efectiva de los acuerdos alcanzados mediante negociación colectiva. Este andamiaje institucional evidencia que el Estado no solo respalda el arbitraje, sino que lo promueve activamente como herramienta eficiente para la solución de controversias.</w:t>
      </w:r>
    </w:p>
    <w:p w14:paraId="429985D0" w14:textId="77777777" w:rsidR="005C377A" w:rsidRPr="001F0269" w:rsidRDefault="005C377A" w:rsidP="005C377A">
      <w:pPr>
        <w:ind w:firstLine="720"/>
        <w:jc w:val="both"/>
        <w:rPr>
          <w:rFonts w:ascii="Book Antiqua" w:hAnsi="Book Antiqua"/>
          <w:lang w:eastAsia="es-PR"/>
        </w:rPr>
      </w:pPr>
    </w:p>
    <w:p w14:paraId="1BD80756" w14:textId="77777777" w:rsidR="00895F8D" w:rsidRDefault="00895F8D" w:rsidP="005C377A">
      <w:pPr>
        <w:ind w:firstLine="720"/>
        <w:jc w:val="both"/>
        <w:rPr>
          <w:rFonts w:ascii="Book Antiqua" w:hAnsi="Book Antiqua"/>
          <w:lang w:eastAsia="es-PR"/>
        </w:rPr>
      </w:pPr>
      <w:r w:rsidRPr="00EF4B79">
        <w:rPr>
          <w:rFonts w:ascii="Book Antiqua" w:hAnsi="Book Antiqua"/>
          <w:lang w:eastAsia="es-PR"/>
        </w:rPr>
        <w:t>El Tribunal Supremo de Puerto Rico ha sido claro al establecer que, cuando existe un convenio colectivo y este contiene cláusulas para el procesamiento de quejas y agravios que disponen el arbitraje como mecanismo de resolución final, dichas cláusulas deben ser observadas por todos los que intervienen en el campo de las relaciones obrero</w:t>
      </w:r>
      <w:r w:rsidRPr="00EF4B79">
        <w:rPr>
          <w:rFonts w:ascii="Cambria Math" w:hAnsi="Cambria Math" w:cs="Cambria Math"/>
          <w:lang w:eastAsia="es-PR"/>
        </w:rPr>
        <w:t>‑</w:t>
      </w:r>
      <w:r w:rsidRPr="00EF4B79">
        <w:rPr>
          <w:rFonts w:ascii="Book Antiqua" w:hAnsi="Book Antiqua"/>
          <w:lang w:eastAsia="es-PR"/>
        </w:rPr>
        <w:t>patronales: los obreros, los patronos, las uniones, la Junta de Relaciones del Trabajo y los tribunales.</w:t>
      </w:r>
      <w:r>
        <w:rPr>
          <w:rFonts w:ascii="Book Antiqua" w:hAnsi="Book Antiqua"/>
          <w:lang w:eastAsia="es-PR"/>
        </w:rPr>
        <w:t xml:space="preserve"> </w:t>
      </w:r>
      <w:r w:rsidRPr="001F50CB">
        <w:rPr>
          <w:rFonts w:ascii="Book Antiqua" w:hAnsi="Book Antiqua"/>
          <w:lang w:eastAsia="es-PR"/>
        </w:rPr>
        <w:t>Véase San Juan Mercantile Corp. v. J.R.T., 104 D.P.R. 86, 90 (1975); C.O.P.R. v. S.P.U., 181 D.P.R. 299</w:t>
      </w:r>
      <w:r w:rsidRPr="001F0269">
        <w:rPr>
          <w:rFonts w:ascii="Book Antiqua" w:hAnsi="Book Antiqua"/>
          <w:lang w:eastAsia="es-PR"/>
        </w:rPr>
        <w:t>, nota al calce 14 (2011).</w:t>
      </w:r>
    </w:p>
    <w:p w14:paraId="078599B9" w14:textId="77777777" w:rsidR="005C377A" w:rsidRPr="001F0269" w:rsidRDefault="005C377A" w:rsidP="005C377A">
      <w:pPr>
        <w:ind w:firstLine="720"/>
        <w:jc w:val="both"/>
        <w:rPr>
          <w:rFonts w:ascii="Book Antiqua" w:hAnsi="Book Antiqua"/>
          <w:lang w:eastAsia="es-PR"/>
        </w:rPr>
      </w:pPr>
    </w:p>
    <w:p w14:paraId="499E2FBB" w14:textId="77777777" w:rsidR="00895F8D" w:rsidRDefault="00895F8D" w:rsidP="005C377A">
      <w:pPr>
        <w:ind w:firstLine="720"/>
        <w:jc w:val="both"/>
        <w:rPr>
          <w:rFonts w:ascii="Book Antiqua" w:hAnsi="Book Antiqua"/>
          <w:lang w:eastAsia="es-PR"/>
        </w:rPr>
      </w:pPr>
      <w:r w:rsidRPr="001F50CB">
        <w:rPr>
          <w:rFonts w:ascii="Book Antiqua" w:hAnsi="Book Antiqua"/>
          <w:lang w:eastAsia="es-PR"/>
        </w:rPr>
        <w:t>En Autoridad de Acueductos y Alcantarillados v. Unión Independiente Auténtica</w:t>
      </w:r>
      <w:r w:rsidRPr="001F0269">
        <w:rPr>
          <w:rFonts w:ascii="Book Antiqua" w:hAnsi="Book Antiqua"/>
          <w:lang w:eastAsia="es-PR"/>
        </w:rPr>
        <w:t xml:space="preserve">, 200 D.P.R. 903 (2018), el Tribunal Supremo reiteró que la Junta </w:t>
      </w:r>
      <w:r>
        <w:rPr>
          <w:rFonts w:ascii="Book Antiqua" w:hAnsi="Book Antiqua"/>
          <w:lang w:eastAsia="es-PR"/>
        </w:rPr>
        <w:t xml:space="preserve">de Relaciones del Trabajo </w:t>
      </w:r>
      <w:r w:rsidRPr="001F0269">
        <w:rPr>
          <w:rFonts w:ascii="Book Antiqua" w:hAnsi="Book Antiqua"/>
          <w:lang w:eastAsia="es-PR"/>
        </w:rPr>
        <w:t xml:space="preserve">solo puede asumir jurisdicción sin que se agoten los mecanismos de resolución de disputas pactados en el convenio colectivo cuando: (1) el procedimiento de arbitraje no es de carácter obligatorio; o (2) ha sido dejado sin efecto por alguna de las partes. El Tribunal explicó además que “cuando el procedimiento de arbitraje es vinculante para </w:t>
      </w:r>
      <w:r w:rsidRPr="001F0269">
        <w:rPr>
          <w:rFonts w:ascii="Book Antiqua" w:hAnsi="Book Antiqua"/>
          <w:lang w:eastAsia="es-PR"/>
        </w:rPr>
        <w:lastRenderedPageBreak/>
        <w:t>las partes, es menester agotar los remedios contractuales. Más aún, cuando en un convenio colectivo se dispone un procedimiento de arbitraje obligatorio, la facultad de la agencia administrativa para atender la controversia queda superada por esa disposición”.</w:t>
      </w:r>
    </w:p>
    <w:p w14:paraId="4A0B6A50" w14:textId="77777777" w:rsidR="005C377A" w:rsidRPr="001F0269" w:rsidRDefault="005C377A" w:rsidP="005C377A">
      <w:pPr>
        <w:ind w:firstLine="720"/>
        <w:jc w:val="both"/>
        <w:rPr>
          <w:rFonts w:ascii="Book Antiqua" w:hAnsi="Book Antiqua"/>
          <w:lang w:eastAsia="es-PR"/>
        </w:rPr>
      </w:pPr>
    </w:p>
    <w:p w14:paraId="5499E955" w14:textId="77777777" w:rsidR="00895F8D" w:rsidRDefault="00895F8D" w:rsidP="005C377A">
      <w:pPr>
        <w:ind w:firstLine="720"/>
        <w:jc w:val="both"/>
        <w:rPr>
          <w:rFonts w:ascii="Book Antiqua" w:hAnsi="Book Antiqua"/>
          <w:lang w:eastAsia="es-PR"/>
        </w:rPr>
      </w:pPr>
      <w:r w:rsidRPr="0069283E">
        <w:rPr>
          <w:rFonts w:ascii="Book Antiqua" w:hAnsi="Book Antiqua"/>
          <w:lang w:eastAsia="es-PR"/>
        </w:rPr>
        <w:t>Sin embargo, la redacción vigente del Artículo 7(a)</w:t>
      </w:r>
      <w:r>
        <w:rPr>
          <w:rFonts w:ascii="Book Antiqua" w:hAnsi="Book Antiqua"/>
          <w:lang w:eastAsia="es-PR"/>
        </w:rPr>
        <w:t xml:space="preserve"> de la </w:t>
      </w:r>
      <w:r w:rsidRPr="00EF4B79">
        <w:rPr>
          <w:rFonts w:ascii="Book Antiqua" w:hAnsi="Book Antiqua"/>
          <w:lang w:eastAsia="es-PR"/>
        </w:rPr>
        <w:t>Ley</w:t>
      </w:r>
      <w:r>
        <w:rPr>
          <w:rFonts w:ascii="Book Antiqua" w:hAnsi="Book Antiqua"/>
          <w:lang w:eastAsia="es-PR"/>
        </w:rPr>
        <w:t xml:space="preserve"> Núm. 130-1945</w:t>
      </w:r>
      <w:r w:rsidRPr="00EF4B79">
        <w:rPr>
          <w:rFonts w:ascii="Book Antiqua" w:hAnsi="Book Antiqua"/>
          <w:lang w:eastAsia="es-PR"/>
        </w:rPr>
        <w:t xml:space="preserve"> </w:t>
      </w:r>
      <w:r w:rsidRPr="0069283E">
        <w:rPr>
          <w:rFonts w:ascii="Book Antiqua" w:hAnsi="Book Antiqua"/>
          <w:lang w:eastAsia="es-PR"/>
        </w:rPr>
        <w:t>ha generado incertidumbre e inconsistencia en el proceder de la Junta de Relaciones del Trabajo</w:t>
      </w:r>
      <w:r>
        <w:rPr>
          <w:rFonts w:ascii="Book Antiqua" w:hAnsi="Book Antiqua"/>
          <w:lang w:eastAsia="es-PR"/>
        </w:rPr>
        <w:t xml:space="preserve"> de Puerto Rico</w:t>
      </w:r>
      <w:r w:rsidRPr="0069283E">
        <w:rPr>
          <w:rFonts w:ascii="Book Antiqua" w:hAnsi="Book Antiqua"/>
          <w:lang w:eastAsia="es-PR"/>
        </w:rPr>
        <w:t xml:space="preserve"> y del Tribunal de Apelaciones, en los procesos de revisión judicial, al evaluar los aspectos jurisdiccionales cuando las partes han acordado someterse a arbitraje obligatorio. Como consecuencia, se han suscitado ocasiones en que una misma controversia se ha litigado simultáneamente ante la Junta de Relaciones del Trabajo y ante el Negociado de Conciliación y Arbitraje, provocando incluso determinaciones contradictorias entre sí. Esta duplicidad de foros no solo afecta la coherencia y uniformidad del ordenamiento laboral, sino que también impone un doble costo a las partes, incluyendo a las corporaciones públicas y, por ende, al erario. Litigar dos veces la misma controversia implica gastos innecesarios en honorarios legales, tiempo administrativo, recursos humanos y esfuerzos operacionales, lo cual constituye un uso ineficiente de fondos públicos y un menoscabo a la buena administración gubernamental.</w:t>
      </w:r>
    </w:p>
    <w:p w14:paraId="07968869" w14:textId="77777777" w:rsidR="005C377A" w:rsidRDefault="005C377A" w:rsidP="005C377A">
      <w:pPr>
        <w:ind w:firstLine="720"/>
        <w:jc w:val="both"/>
        <w:rPr>
          <w:rFonts w:ascii="Book Antiqua" w:hAnsi="Book Antiqua"/>
          <w:lang w:eastAsia="es-PR"/>
        </w:rPr>
      </w:pPr>
    </w:p>
    <w:p w14:paraId="2F9937E6" w14:textId="77777777" w:rsidR="00895F8D" w:rsidRDefault="00895F8D" w:rsidP="005C377A">
      <w:pPr>
        <w:ind w:firstLine="720"/>
        <w:jc w:val="both"/>
        <w:rPr>
          <w:rFonts w:ascii="Book Antiqua" w:hAnsi="Book Antiqua"/>
          <w:lang w:eastAsia="es-PR"/>
        </w:rPr>
      </w:pPr>
      <w:r w:rsidRPr="001F0269">
        <w:rPr>
          <w:rFonts w:ascii="Book Antiqua" w:hAnsi="Book Antiqua"/>
          <w:lang w:eastAsia="es-PR"/>
        </w:rPr>
        <w:t>Esta Asamblea Legislativa entiende necesario aclarar expresamente que, cuando la controversia alegada constituya una violación al convenio colectivo y exista un acuerdo de arbitraje vigente, el foro arbitral pactado será el foro exclusivo para atender dicha controversia. Esta aclaración no menoscaba la facultad de la Junta para atender prácticas ilícitas de trabajo que no surjan de una disputa contractual arbitrable, preservando así su rol fiscalizador y su función institucional.</w:t>
      </w:r>
    </w:p>
    <w:p w14:paraId="3D3DF86A" w14:textId="77777777" w:rsidR="005C377A" w:rsidRPr="001F0269" w:rsidRDefault="005C377A" w:rsidP="005C377A">
      <w:pPr>
        <w:ind w:firstLine="720"/>
        <w:jc w:val="both"/>
        <w:rPr>
          <w:rFonts w:ascii="Book Antiqua" w:hAnsi="Book Antiqua"/>
          <w:lang w:eastAsia="es-PR"/>
        </w:rPr>
      </w:pPr>
    </w:p>
    <w:p w14:paraId="24023A1D" w14:textId="77777777" w:rsidR="00895F8D" w:rsidRDefault="00895F8D" w:rsidP="005C377A">
      <w:pPr>
        <w:ind w:firstLine="720"/>
        <w:jc w:val="both"/>
        <w:rPr>
          <w:rFonts w:ascii="Book Antiqua" w:hAnsi="Book Antiqua"/>
          <w:lang w:eastAsia="es-PR"/>
        </w:rPr>
      </w:pPr>
      <w:r w:rsidRPr="001F0269">
        <w:rPr>
          <w:rFonts w:ascii="Book Antiqua" w:hAnsi="Book Antiqua"/>
          <w:lang w:eastAsia="es-PR"/>
        </w:rPr>
        <w:t>Esta enmienda armoniza la Ley Núm. 130</w:t>
      </w:r>
      <w:r w:rsidRPr="001F0269">
        <w:rPr>
          <w:rFonts w:ascii="Book Antiqua" w:hAnsi="Book Antiqua"/>
          <w:lang w:eastAsia="es-PR"/>
        </w:rPr>
        <w:noBreakHyphen/>
        <w:t xml:space="preserve">1945 con su propósito original y con la política pública moderna, fortalece la </w:t>
      </w:r>
      <w:r>
        <w:rPr>
          <w:rFonts w:ascii="Book Antiqua" w:hAnsi="Book Antiqua"/>
          <w:lang w:eastAsia="es-PR"/>
        </w:rPr>
        <w:t xml:space="preserve">negociación </w:t>
      </w:r>
      <w:r w:rsidRPr="001F0269">
        <w:rPr>
          <w:rFonts w:ascii="Book Antiqua" w:hAnsi="Book Antiqua"/>
          <w:lang w:eastAsia="es-PR"/>
        </w:rPr>
        <w:t>colectiva</w:t>
      </w:r>
      <w:r>
        <w:rPr>
          <w:rFonts w:ascii="Book Antiqua" w:hAnsi="Book Antiqua"/>
          <w:lang w:eastAsia="es-PR"/>
        </w:rPr>
        <w:t xml:space="preserve"> </w:t>
      </w:r>
      <w:r w:rsidRPr="001F0269">
        <w:rPr>
          <w:rFonts w:ascii="Book Antiqua" w:hAnsi="Book Antiqua"/>
          <w:lang w:eastAsia="es-PR"/>
        </w:rPr>
        <w:t>y promueve la estabilidad en las relaciones laborales. Asimismo, evita la innecesaria duplicidad de procedimientos, costos y esfuerzos, protegiendo los recursos públicos y reafirmando el compromiso del Estado con mecanismos de resolución de disputas que sean eficientes, especializados y respetuosos de la voluntad negociada entre las partes.</w:t>
      </w:r>
    </w:p>
    <w:p w14:paraId="7957F7DA" w14:textId="77777777" w:rsidR="00EC4B18" w:rsidRPr="00852226" w:rsidRDefault="00EC4B18" w:rsidP="005C377A">
      <w:pPr>
        <w:rPr>
          <w:rFonts w:ascii="Book Antiqua" w:hAnsi="Book Antiqua"/>
        </w:rPr>
      </w:pPr>
    </w:p>
    <w:p w14:paraId="7094359F" w14:textId="192D58FB" w:rsidR="00FD358F" w:rsidRPr="00852226" w:rsidRDefault="00FD358F" w:rsidP="005C377A">
      <w:pPr>
        <w:jc w:val="both"/>
        <w:rPr>
          <w:rFonts w:ascii="Book Antiqua" w:hAnsi="Book Antiqua"/>
          <w:i/>
        </w:rPr>
      </w:pPr>
      <w:r w:rsidRPr="00852226">
        <w:rPr>
          <w:rFonts w:ascii="Book Antiqua" w:hAnsi="Book Antiqua"/>
          <w:i/>
        </w:rPr>
        <w:t>DECR</w:t>
      </w:r>
      <w:r w:rsidR="00981575" w:rsidRPr="00852226">
        <w:rPr>
          <w:rFonts w:ascii="Book Antiqua" w:hAnsi="Book Antiqua"/>
          <w:i/>
        </w:rPr>
        <w:t>É</w:t>
      </w:r>
      <w:r w:rsidRPr="00852226">
        <w:rPr>
          <w:rFonts w:ascii="Book Antiqua" w:hAnsi="Book Antiqua"/>
          <w:i/>
        </w:rPr>
        <w:t>TASE POR LA ASAMBLEA LEGISLATIVA DE PUERTO RICO:</w:t>
      </w:r>
    </w:p>
    <w:p w14:paraId="71E0A9A3" w14:textId="77777777" w:rsidR="00FD358F" w:rsidRPr="00852226" w:rsidRDefault="00FD358F" w:rsidP="0033680B">
      <w:pPr>
        <w:pStyle w:val="Sangradetextonormal"/>
        <w:ind w:left="0" w:firstLine="720"/>
        <w:rPr>
          <w:rFonts w:ascii="Book Antiqua" w:hAnsi="Book Antiqua"/>
        </w:rPr>
      </w:pPr>
    </w:p>
    <w:p w14:paraId="00D9FC18" w14:textId="2D74B8C2" w:rsidR="00F278EB" w:rsidRPr="00852226" w:rsidRDefault="00F278EB" w:rsidP="0033680B">
      <w:pPr>
        <w:pStyle w:val="Sangradetextonormal"/>
        <w:ind w:left="0"/>
        <w:rPr>
          <w:rFonts w:ascii="Book Antiqua" w:hAnsi="Book Antiqua"/>
        </w:rPr>
        <w:sectPr w:rsidR="00F278EB" w:rsidRPr="00852226"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2C70FB61" w14:textId="3E72D9E5" w:rsidR="00895F8D" w:rsidRPr="00A53988" w:rsidRDefault="00F2689C" w:rsidP="00895F8D">
      <w:pPr>
        <w:spacing w:line="480" w:lineRule="auto"/>
        <w:ind w:firstLine="720"/>
        <w:jc w:val="both"/>
        <w:rPr>
          <w:rFonts w:ascii="Book Antiqua" w:hAnsi="Book Antiqua"/>
          <w:color w:val="000000"/>
          <w:shd w:val="clear" w:color="auto" w:fill="FFFFFF"/>
          <w:lang w:val="es-ES_tradnl"/>
        </w:rPr>
      </w:pPr>
      <w:r w:rsidRPr="00852226">
        <w:rPr>
          <w:rFonts w:ascii="Book Antiqua" w:hAnsi="Book Antiqua"/>
        </w:rPr>
        <w:t>Sección 1.-</w:t>
      </w:r>
      <w:r w:rsidR="00895F8D" w:rsidRPr="00895F8D">
        <w:rPr>
          <w:rFonts w:ascii="Book Antiqua" w:hAnsi="Book Antiqua"/>
          <w:color w:val="000000"/>
          <w:shd w:val="clear" w:color="auto" w:fill="FFFFFF"/>
          <w:lang w:val="es-ES_tradnl"/>
        </w:rPr>
        <w:t xml:space="preserve"> </w:t>
      </w:r>
      <w:r w:rsidR="00895F8D" w:rsidRPr="00A53988">
        <w:rPr>
          <w:rFonts w:ascii="Book Antiqua" w:hAnsi="Book Antiqua"/>
          <w:color w:val="000000"/>
          <w:shd w:val="clear" w:color="auto" w:fill="FFFFFF"/>
          <w:lang w:val="es-ES_tradnl"/>
        </w:rPr>
        <w:t>Se enmienda el inciso (a) del Artículo 7 de la Ley Núm. 130 de 8 de mayo de 1945, según enmendada, para que lea como sigue:</w:t>
      </w:r>
    </w:p>
    <w:p w14:paraId="05689408" w14:textId="77777777" w:rsidR="00895F8D" w:rsidRDefault="00895F8D" w:rsidP="00895F8D">
      <w:pPr>
        <w:spacing w:line="480" w:lineRule="auto"/>
        <w:ind w:firstLine="720"/>
        <w:jc w:val="both"/>
        <w:rPr>
          <w:rFonts w:ascii="Book Antiqua" w:hAnsi="Book Antiqua"/>
          <w:color w:val="000000"/>
          <w:shd w:val="clear" w:color="auto" w:fill="FFFFFF"/>
          <w:lang w:val="es-ES_tradnl"/>
        </w:rPr>
      </w:pPr>
      <w:r>
        <w:rPr>
          <w:rFonts w:ascii="Book Antiqua" w:hAnsi="Book Antiqua"/>
          <w:color w:val="000000"/>
          <w:shd w:val="clear" w:color="auto" w:fill="FFFFFF"/>
          <w:lang w:val="es-ES_tradnl"/>
        </w:rPr>
        <w:t>“</w:t>
      </w:r>
      <w:r w:rsidRPr="0069283E">
        <w:rPr>
          <w:rFonts w:ascii="Book Antiqua" w:hAnsi="Book Antiqua"/>
          <w:color w:val="000000"/>
          <w:shd w:val="clear" w:color="auto" w:fill="FFFFFF"/>
          <w:lang w:val="es-ES_tradnl"/>
        </w:rPr>
        <w:t xml:space="preserve">Artículo 7. — Facultad de la Junta Para Evitar Prácticas Ilícitas de Trabajo. </w:t>
      </w:r>
    </w:p>
    <w:p w14:paraId="18039794" w14:textId="77777777" w:rsidR="00895F8D" w:rsidRPr="00724ADA" w:rsidRDefault="00895F8D" w:rsidP="00895F8D">
      <w:pPr>
        <w:spacing w:line="480" w:lineRule="auto"/>
        <w:ind w:firstLine="720"/>
        <w:jc w:val="both"/>
        <w:rPr>
          <w:rFonts w:ascii="Book Antiqua" w:hAnsi="Book Antiqua"/>
          <w:color w:val="000000"/>
          <w:shd w:val="clear" w:color="auto" w:fill="FFFFFF"/>
          <w:lang w:val="es-ES_tradnl"/>
        </w:rPr>
      </w:pPr>
      <w:r w:rsidRPr="00724ADA">
        <w:rPr>
          <w:rFonts w:ascii="Book Antiqua" w:hAnsi="Book Antiqua"/>
          <w:color w:val="000000"/>
          <w:shd w:val="clear" w:color="auto" w:fill="FFFFFF"/>
          <w:lang w:val="es-ES_tradnl"/>
        </w:rPr>
        <w:t xml:space="preserve">(a) La Junta tendrá facultad, según se dispone más adelante en la presente, para evitar que cualquier persona se dedique a cualesquiera de las prácticas ilícitas de trabajo </w:t>
      </w:r>
      <w:r w:rsidRPr="00724ADA">
        <w:rPr>
          <w:rFonts w:ascii="Book Antiqua" w:hAnsi="Book Antiqua"/>
          <w:color w:val="000000"/>
          <w:shd w:val="clear" w:color="auto" w:fill="FFFFFF"/>
          <w:lang w:val="es-ES_tradnl"/>
        </w:rPr>
        <w:lastRenderedPageBreak/>
        <w:t>que se enumeran en el Artículo 8 (29 L.P.R.A. § 69). Esta facultad será exclusiva y no la afectará ningún otro medio de ajuste o prevención.</w:t>
      </w:r>
    </w:p>
    <w:p w14:paraId="5CDAC3BC" w14:textId="77777777" w:rsidR="00895F8D" w:rsidRPr="005E3BB4" w:rsidRDefault="00895F8D" w:rsidP="00895F8D">
      <w:pPr>
        <w:spacing w:line="480" w:lineRule="auto"/>
        <w:ind w:firstLine="720"/>
        <w:jc w:val="both"/>
        <w:rPr>
          <w:rFonts w:ascii="Book Antiqua" w:hAnsi="Book Antiqua"/>
          <w:i/>
          <w:iCs/>
          <w:color w:val="000000"/>
          <w:shd w:val="clear" w:color="auto" w:fill="FFFFFF"/>
          <w:lang w:val="es-ES_tradnl"/>
        </w:rPr>
      </w:pPr>
      <w:r w:rsidRPr="005E3BB4">
        <w:rPr>
          <w:rFonts w:ascii="Book Antiqua" w:hAnsi="Book Antiqua"/>
          <w:i/>
          <w:iCs/>
          <w:color w:val="000000"/>
          <w:shd w:val="clear" w:color="auto" w:fill="FFFFFF"/>
          <w:lang w:val="es-ES_tradnl"/>
        </w:rPr>
        <w:t>No obstante, cuando la alegada práctica ilícita consista en una violación a los términos de un convenio colectivo y dicho convenio disponga un procedimiento de arbitraje obligatorio para atender la controversia, el foro arbitral pactado será el foro exclusivo para su adjudicación. En tales casos, la Junta se abstendrá de asumir jurisdicción hasta tanto se hayan agotado los mecanismos de resolución de disputas establecidos en el convenio colectivo.</w:t>
      </w:r>
    </w:p>
    <w:p w14:paraId="4F93DB43" w14:textId="77777777" w:rsidR="00895F8D" w:rsidRPr="005E3BB4" w:rsidRDefault="00895F8D" w:rsidP="00895F8D">
      <w:pPr>
        <w:spacing w:line="480" w:lineRule="auto"/>
        <w:ind w:firstLine="720"/>
        <w:jc w:val="both"/>
        <w:rPr>
          <w:rFonts w:ascii="Book Antiqua" w:hAnsi="Book Antiqua"/>
          <w:i/>
          <w:iCs/>
          <w:color w:val="000000"/>
          <w:shd w:val="clear" w:color="auto" w:fill="FFFFFF"/>
          <w:lang w:val="es-ES_tradnl"/>
        </w:rPr>
      </w:pPr>
      <w:r w:rsidRPr="005E3BB4">
        <w:rPr>
          <w:rFonts w:ascii="Book Antiqua" w:hAnsi="Book Antiqua"/>
          <w:i/>
          <w:iCs/>
          <w:color w:val="000000"/>
          <w:shd w:val="clear" w:color="auto" w:fill="FFFFFF"/>
          <w:lang w:val="es-ES_tradnl"/>
        </w:rPr>
        <w:t>Nada de lo aquí dispuesto limitará la facultad de la Junta para atender prácticas ilícitas de trabajo que no surjan de una controversia contractual arbitrable o cuando el procedimiento de arbitraje pactado no sea obligatorio o haya sido dejado sin efecto por las partes.</w:t>
      </w:r>
    </w:p>
    <w:p w14:paraId="764F7C9E" w14:textId="77777777" w:rsidR="00895F8D" w:rsidRDefault="00895F8D" w:rsidP="00895F8D">
      <w:pPr>
        <w:spacing w:line="480" w:lineRule="auto"/>
        <w:ind w:firstLine="720"/>
        <w:jc w:val="both"/>
        <w:rPr>
          <w:rFonts w:ascii="Book Antiqua" w:hAnsi="Book Antiqua"/>
          <w:color w:val="000000"/>
          <w:shd w:val="clear" w:color="auto" w:fill="FFFFFF"/>
          <w:lang w:val="es-ES_tradnl"/>
        </w:rPr>
      </w:pPr>
      <w:r>
        <w:rPr>
          <w:rFonts w:ascii="Book Antiqua" w:hAnsi="Book Antiqua"/>
          <w:color w:val="000000"/>
          <w:shd w:val="clear" w:color="auto" w:fill="FFFFFF"/>
          <w:lang w:val="es-ES_tradnl"/>
        </w:rPr>
        <w:t>(b) …</w:t>
      </w:r>
    </w:p>
    <w:p w14:paraId="626CAD16" w14:textId="77777777" w:rsidR="00895F8D" w:rsidRPr="00724ADA" w:rsidRDefault="00895F8D" w:rsidP="00895F8D">
      <w:pPr>
        <w:spacing w:line="480" w:lineRule="auto"/>
        <w:ind w:firstLine="720"/>
        <w:jc w:val="both"/>
        <w:rPr>
          <w:rFonts w:ascii="Book Antiqua" w:hAnsi="Book Antiqua"/>
          <w:color w:val="000000"/>
          <w:shd w:val="clear" w:color="auto" w:fill="FFFFFF"/>
          <w:lang w:val="es-ES_tradnl"/>
        </w:rPr>
      </w:pPr>
      <w:r>
        <w:rPr>
          <w:rFonts w:ascii="Book Antiqua" w:hAnsi="Book Antiqua"/>
          <w:color w:val="000000"/>
          <w:shd w:val="clear" w:color="auto" w:fill="FFFFFF"/>
          <w:lang w:val="es-ES_tradnl"/>
        </w:rPr>
        <w:t>…”</w:t>
      </w:r>
    </w:p>
    <w:p w14:paraId="7E391036" w14:textId="77777777" w:rsidR="00895F8D" w:rsidRPr="00A53988" w:rsidRDefault="00895F8D" w:rsidP="00895F8D">
      <w:pPr>
        <w:spacing w:line="480" w:lineRule="auto"/>
        <w:ind w:firstLine="720"/>
        <w:jc w:val="both"/>
        <w:rPr>
          <w:rFonts w:ascii="Book Antiqua" w:hAnsi="Book Antiqua"/>
          <w:color w:val="000000"/>
          <w:shd w:val="clear" w:color="auto" w:fill="FFFFFF"/>
          <w:lang w:val="es-ES_tradnl"/>
        </w:rPr>
      </w:pPr>
      <w:r w:rsidRPr="00A53988">
        <w:rPr>
          <w:rFonts w:ascii="Book Antiqua" w:hAnsi="Book Antiqua"/>
          <w:color w:val="000000"/>
          <w:shd w:val="clear" w:color="auto" w:fill="FFFFFF"/>
          <w:lang w:val="es-ES_tradnl"/>
        </w:rPr>
        <w:t>Artículo 2. — Vigencia</w:t>
      </w:r>
    </w:p>
    <w:p w14:paraId="451D7392" w14:textId="52A0535D" w:rsidR="001C7B7A" w:rsidRDefault="00895F8D" w:rsidP="00895F8D">
      <w:pPr>
        <w:pStyle w:val="Sangradetextonormal"/>
        <w:spacing w:line="480" w:lineRule="auto"/>
        <w:ind w:left="0" w:firstLine="720"/>
        <w:rPr>
          <w:rFonts w:ascii="Book Antiqua" w:hAnsi="Book Antiqua"/>
        </w:rPr>
      </w:pPr>
      <w:r w:rsidRPr="00A53988">
        <w:rPr>
          <w:rFonts w:ascii="Book Antiqua" w:hAnsi="Book Antiqua"/>
          <w:color w:val="000000"/>
          <w:shd w:val="clear" w:color="auto" w:fill="FFFFFF"/>
          <w:lang w:val="es-ES_tradnl"/>
        </w:rPr>
        <w:t>Esta Ley comenzará a regir inmediatamente después de su aprobació</w:t>
      </w:r>
      <w:r w:rsidR="00CF5625">
        <w:rPr>
          <w:rFonts w:ascii="Book Antiqua" w:hAnsi="Book Antiqua"/>
          <w:color w:val="000000"/>
          <w:shd w:val="clear" w:color="auto" w:fill="FFFFFF"/>
          <w:lang w:val="es-ES_tradnl"/>
        </w:rPr>
        <w:t xml:space="preserve">n. </w:t>
      </w:r>
    </w:p>
    <w:p w14:paraId="12990607" w14:textId="6F3E446B" w:rsidR="00634D12" w:rsidRPr="00634D12" w:rsidRDefault="00634D12" w:rsidP="00634D12">
      <w:pPr>
        <w:suppressLineNumbers/>
        <w:ind w:left="2074" w:right="2434"/>
        <w:contextualSpacing/>
        <w:jc w:val="center"/>
        <w:rPr>
          <w:rFonts w:ascii="Book Antiqua" w:hAnsi="Book Antiqua" w:cs="Arial"/>
          <w:b/>
        </w:rPr>
      </w:pPr>
    </w:p>
    <w:sectPr w:rsidR="00634D12" w:rsidRPr="00634D12"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62C8E" w14:textId="77777777" w:rsidR="00FF6F8E" w:rsidRDefault="00FF6F8E">
      <w:r>
        <w:separator/>
      </w:r>
    </w:p>
  </w:endnote>
  <w:endnote w:type="continuationSeparator" w:id="0">
    <w:p w14:paraId="5B9F1B01" w14:textId="77777777" w:rsidR="00FF6F8E" w:rsidRDefault="00FF6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87A28" w14:textId="77777777" w:rsidR="00FF6F8E" w:rsidRDefault="00FF6F8E">
      <w:r>
        <w:separator/>
      </w:r>
    </w:p>
  </w:footnote>
  <w:footnote w:type="continuationSeparator" w:id="0">
    <w:p w14:paraId="5B24AA7E" w14:textId="77777777" w:rsidR="00FF6F8E" w:rsidRDefault="00FF6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7777777" w:rsidR="00157DEC" w:rsidRDefault="00157DE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513B843" w14:textId="77777777" w:rsidR="00157DEC" w:rsidRDefault="00157D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F3B69">
      <w:rPr>
        <w:rStyle w:val="Nmerodepgina"/>
        <w:noProof/>
      </w:rPr>
      <w:t>7</w:t>
    </w:r>
    <w:r>
      <w:rPr>
        <w:rStyle w:val="Nmerodepgina"/>
      </w:rPr>
      <w:fldChar w:fldCharType="end"/>
    </w:r>
  </w:p>
  <w:p w14:paraId="35DCD5A5" w14:textId="77777777" w:rsidR="00157DEC" w:rsidRDefault="00157D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4"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9"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1"/>
  </w:num>
  <w:num w:numId="2" w16cid:durableId="1835877556">
    <w:abstractNumId w:val="3"/>
  </w:num>
  <w:num w:numId="3" w16cid:durableId="1345857465">
    <w:abstractNumId w:val="8"/>
  </w:num>
  <w:num w:numId="4" w16cid:durableId="1821731611">
    <w:abstractNumId w:val="1"/>
  </w:num>
  <w:num w:numId="5" w16cid:durableId="1233999773">
    <w:abstractNumId w:val="0"/>
  </w:num>
  <w:num w:numId="6" w16cid:durableId="77987866">
    <w:abstractNumId w:val="9"/>
  </w:num>
  <w:num w:numId="7" w16cid:durableId="2032611750">
    <w:abstractNumId w:val="2"/>
  </w:num>
  <w:num w:numId="8" w16cid:durableId="799151325">
    <w:abstractNumId w:val="4"/>
  </w:num>
  <w:num w:numId="9" w16cid:durableId="126164546">
    <w:abstractNumId w:val="7"/>
  </w:num>
  <w:num w:numId="10" w16cid:durableId="917445451">
    <w:abstractNumId w:val="6"/>
  </w:num>
  <w:num w:numId="11" w16cid:durableId="503712915">
    <w:abstractNumId w:val="5"/>
  </w:num>
  <w:num w:numId="12" w16cid:durableId="441533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11613"/>
    <w:rsid w:val="00015CC4"/>
    <w:rsid w:val="00025E98"/>
    <w:rsid w:val="00026BD2"/>
    <w:rsid w:val="000273AF"/>
    <w:rsid w:val="00033005"/>
    <w:rsid w:val="0003768E"/>
    <w:rsid w:val="000419A1"/>
    <w:rsid w:val="000440AD"/>
    <w:rsid w:val="0004738F"/>
    <w:rsid w:val="00053E8B"/>
    <w:rsid w:val="00055150"/>
    <w:rsid w:val="00064431"/>
    <w:rsid w:val="00064933"/>
    <w:rsid w:val="0006494F"/>
    <w:rsid w:val="00064C69"/>
    <w:rsid w:val="00065CFB"/>
    <w:rsid w:val="00066359"/>
    <w:rsid w:val="00072871"/>
    <w:rsid w:val="00072918"/>
    <w:rsid w:val="00075D7F"/>
    <w:rsid w:val="00083A2C"/>
    <w:rsid w:val="0008566C"/>
    <w:rsid w:val="00086883"/>
    <w:rsid w:val="00087E91"/>
    <w:rsid w:val="00090BD4"/>
    <w:rsid w:val="00093440"/>
    <w:rsid w:val="00094B76"/>
    <w:rsid w:val="00096479"/>
    <w:rsid w:val="000A179F"/>
    <w:rsid w:val="000A4390"/>
    <w:rsid w:val="000A4C93"/>
    <w:rsid w:val="000A5530"/>
    <w:rsid w:val="000A586A"/>
    <w:rsid w:val="000A5E18"/>
    <w:rsid w:val="000A7593"/>
    <w:rsid w:val="000A79D8"/>
    <w:rsid w:val="000B1626"/>
    <w:rsid w:val="000B23A3"/>
    <w:rsid w:val="000B56AE"/>
    <w:rsid w:val="000B5F96"/>
    <w:rsid w:val="000B679B"/>
    <w:rsid w:val="000B7921"/>
    <w:rsid w:val="000C72DA"/>
    <w:rsid w:val="000C72DF"/>
    <w:rsid w:val="000C76DF"/>
    <w:rsid w:val="000D0667"/>
    <w:rsid w:val="000D2711"/>
    <w:rsid w:val="000D30AC"/>
    <w:rsid w:val="000D3C71"/>
    <w:rsid w:val="000D3DC0"/>
    <w:rsid w:val="000D600F"/>
    <w:rsid w:val="000E18FB"/>
    <w:rsid w:val="000E1998"/>
    <w:rsid w:val="000E38E0"/>
    <w:rsid w:val="000E4482"/>
    <w:rsid w:val="000E600A"/>
    <w:rsid w:val="000E6444"/>
    <w:rsid w:val="000E7E9E"/>
    <w:rsid w:val="000F0712"/>
    <w:rsid w:val="000F4832"/>
    <w:rsid w:val="000F74D2"/>
    <w:rsid w:val="00100D57"/>
    <w:rsid w:val="0010350C"/>
    <w:rsid w:val="0010379A"/>
    <w:rsid w:val="00105C29"/>
    <w:rsid w:val="00105E88"/>
    <w:rsid w:val="001109D7"/>
    <w:rsid w:val="00110B10"/>
    <w:rsid w:val="00111732"/>
    <w:rsid w:val="00112E6A"/>
    <w:rsid w:val="00114137"/>
    <w:rsid w:val="001179BE"/>
    <w:rsid w:val="00117E3A"/>
    <w:rsid w:val="00120091"/>
    <w:rsid w:val="001219F2"/>
    <w:rsid w:val="001239E1"/>
    <w:rsid w:val="00125AF1"/>
    <w:rsid w:val="0012625F"/>
    <w:rsid w:val="00131C3B"/>
    <w:rsid w:val="00134278"/>
    <w:rsid w:val="001370DF"/>
    <w:rsid w:val="00143B39"/>
    <w:rsid w:val="00152A70"/>
    <w:rsid w:val="00156080"/>
    <w:rsid w:val="0015729E"/>
    <w:rsid w:val="00157DEC"/>
    <w:rsid w:val="001627D3"/>
    <w:rsid w:val="00163991"/>
    <w:rsid w:val="00163BC2"/>
    <w:rsid w:val="00163FE4"/>
    <w:rsid w:val="00165206"/>
    <w:rsid w:val="0016593A"/>
    <w:rsid w:val="00166FE5"/>
    <w:rsid w:val="001709C3"/>
    <w:rsid w:val="00170CDF"/>
    <w:rsid w:val="0017269A"/>
    <w:rsid w:val="00173109"/>
    <w:rsid w:val="001731F2"/>
    <w:rsid w:val="00180893"/>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2E68"/>
    <w:rsid w:val="001A3522"/>
    <w:rsid w:val="001A5DF1"/>
    <w:rsid w:val="001B0904"/>
    <w:rsid w:val="001B25B1"/>
    <w:rsid w:val="001B2A56"/>
    <w:rsid w:val="001B59A7"/>
    <w:rsid w:val="001B777C"/>
    <w:rsid w:val="001C1287"/>
    <w:rsid w:val="001C1F4F"/>
    <w:rsid w:val="001C3FCD"/>
    <w:rsid w:val="001C5C99"/>
    <w:rsid w:val="001C7B7A"/>
    <w:rsid w:val="001C7E25"/>
    <w:rsid w:val="001D083D"/>
    <w:rsid w:val="001D2F22"/>
    <w:rsid w:val="001D41E4"/>
    <w:rsid w:val="001E1E66"/>
    <w:rsid w:val="001E3A6F"/>
    <w:rsid w:val="001F148B"/>
    <w:rsid w:val="001F18A1"/>
    <w:rsid w:val="001F1D2E"/>
    <w:rsid w:val="001F27C2"/>
    <w:rsid w:val="001F3D8D"/>
    <w:rsid w:val="001F472B"/>
    <w:rsid w:val="001F4E16"/>
    <w:rsid w:val="001F6158"/>
    <w:rsid w:val="001F6E5A"/>
    <w:rsid w:val="001F76E5"/>
    <w:rsid w:val="00200BBF"/>
    <w:rsid w:val="002018CE"/>
    <w:rsid w:val="00203083"/>
    <w:rsid w:val="00204B50"/>
    <w:rsid w:val="0020661F"/>
    <w:rsid w:val="00207284"/>
    <w:rsid w:val="002116FA"/>
    <w:rsid w:val="00214615"/>
    <w:rsid w:val="0021492C"/>
    <w:rsid w:val="00216718"/>
    <w:rsid w:val="002167B6"/>
    <w:rsid w:val="0021684F"/>
    <w:rsid w:val="002175FD"/>
    <w:rsid w:val="00220D69"/>
    <w:rsid w:val="0022295E"/>
    <w:rsid w:val="002229CE"/>
    <w:rsid w:val="00222D59"/>
    <w:rsid w:val="00223020"/>
    <w:rsid w:val="002230DE"/>
    <w:rsid w:val="00224569"/>
    <w:rsid w:val="0023183B"/>
    <w:rsid w:val="0023240F"/>
    <w:rsid w:val="00232D3F"/>
    <w:rsid w:val="00232DB8"/>
    <w:rsid w:val="00232EF8"/>
    <w:rsid w:val="0023333C"/>
    <w:rsid w:val="0023694B"/>
    <w:rsid w:val="00236D78"/>
    <w:rsid w:val="00237A83"/>
    <w:rsid w:val="0024302B"/>
    <w:rsid w:val="002431C4"/>
    <w:rsid w:val="0024616A"/>
    <w:rsid w:val="00246FF2"/>
    <w:rsid w:val="00250155"/>
    <w:rsid w:val="00253B30"/>
    <w:rsid w:val="00256313"/>
    <w:rsid w:val="00257274"/>
    <w:rsid w:val="00257DA8"/>
    <w:rsid w:val="00260C8F"/>
    <w:rsid w:val="00262FE0"/>
    <w:rsid w:val="00263C2E"/>
    <w:rsid w:val="0026654F"/>
    <w:rsid w:val="00270C9F"/>
    <w:rsid w:val="0027306D"/>
    <w:rsid w:val="00274301"/>
    <w:rsid w:val="00276EFC"/>
    <w:rsid w:val="00280C9D"/>
    <w:rsid w:val="002818F9"/>
    <w:rsid w:val="002857CD"/>
    <w:rsid w:val="002858A6"/>
    <w:rsid w:val="002871ED"/>
    <w:rsid w:val="00290AA1"/>
    <w:rsid w:val="0029692F"/>
    <w:rsid w:val="002A0E75"/>
    <w:rsid w:val="002A159D"/>
    <w:rsid w:val="002A1608"/>
    <w:rsid w:val="002A3050"/>
    <w:rsid w:val="002A32C1"/>
    <w:rsid w:val="002A3EBB"/>
    <w:rsid w:val="002A5BF3"/>
    <w:rsid w:val="002B52ED"/>
    <w:rsid w:val="002B701C"/>
    <w:rsid w:val="002B7B7C"/>
    <w:rsid w:val="002B7E2A"/>
    <w:rsid w:val="002C16F4"/>
    <w:rsid w:val="002C4398"/>
    <w:rsid w:val="002C5DF6"/>
    <w:rsid w:val="002C6B85"/>
    <w:rsid w:val="002C6D0A"/>
    <w:rsid w:val="002C6DDD"/>
    <w:rsid w:val="002C7DBC"/>
    <w:rsid w:val="002D0E0E"/>
    <w:rsid w:val="002D2181"/>
    <w:rsid w:val="002D3C69"/>
    <w:rsid w:val="002D5B75"/>
    <w:rsid w:val="002E2216"/>
    <w:rsid w:val="002E3336"/>
    <w:rsid w:val="002E5AF3"/>
    <w:rsid w:val="002E643F"/>
    <w:rsid w:val="002F3320"/>
    <w:rsid w:val="002F3B1B"/>
    <w:rsid w:val="002F4C97"/>
    <w:rsid w:val="00302261"/>
    <w:rsid w:val="00302E55"/>
    <w:rsid w:val="003041F6"/>
    <w:rsid w:val="0030467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BFC"/>
    <w:rsid w:val="0033680B"/>
    <w:rsid w:val="00337345"/>
    <w:rsid w:val="00340709"/>
    <w:rsid w:val="003416E0"/>
    <w:rsid w:val="0034281B"/>
    <w:rsid w:val="0034476D"/>
    <w:rsid w:val="00345023"/>
    <w:rsid w:val="00345B99"/>
    <w:rsid w:val="00355CE5"/>
    <w:rsid w:val="003567F8"/>
    <w:rsid w:val="00360175"/>
    <w:rsid w:val="00360A40"/>
    <w:rsid w:val="0036113B"/>
    <w:rsid w:val="00361AAB"/>
    <w:rsid w:val="00362335"/>
    <w:rsid w:val="003632D7"/>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2A2"/>
    <w:rsid w:val="00392CB5"/>
    <w:rsid w:val="003932DF"/>
    <w:rsid w:val="003A21F6"/>
    <w:rsid w:val="003A4030"/>
    <w:rsid w:val="003A6BC4"/>
    <w:rsid w:val="003B0A77"/>
    <w:rsid w:val="003B1A70"/>
    <w:rsid w:val="003B207C"/>
    <w:rsid w:val="003B2F34"/>
    <w:rsid w:val="003B356B"/>
    <w:rsid w:val="003B71C5"/>
    <w:rsid w:val="003C05F6"/>
    <w:rsid w:val="003C177C"/>
    <w:rsid w:val="003C1B55"/>
    <w:rsid w:val="003C1F5B"/>
    <w:rsid w:val="003C2603"/>
    <w:rsid w:val="003C3878"/>
    <w:rsid w:val="003C5EDC"/>
    <w:rsid w:val="003C7316"/>
    <w:rsid w:val="003D0B07"/>
    <w:rsid w:val="003D183D"/>
    <w:rsid w:val="003D1D06"/>
    <w:rsid w:val="003D2941"/>
    <w:rsid w:val="003D2DC6"/>
    <w:rsid w:val="003D333B"/>
    <w:rsid w:val="003D59EF"/>
    <w:rsid w:val="003E02ED"/>
    <w:rsid w:val="003E2DF8"/>
    <w:rsid w:val="003E501B"/>
    <w:rsid w:val="003E7D8B"/>
    <w:rsid w:val="003F34F5"/>
    <w:rsid w:val="003F3F50"/>
    <w:rsid w:val="003F44AF"/>
    <w:rsid w:val="003F48D4"/>
    <w:rsid w:val="003F604A"/>
    <w:rsid w:val="00401C96"/>
    <w:rsid w:val="00406AA9"/>
    <w:rsid w:val="00410C8A"/>
    <w:rsid w:val="00411147"/>
    <w:rsid w:val="00411D89"/>
    <w:rsid w:val="00412899"/>
    <w:rsid w:val="00412947"/>
    <w:rsid w:val="00412CB1"/>
    <w:rsid w:val="00412D7C"/>
    <w:rsid w:val="00414B9F"/>
    <w:rsid w:val="00421B7C"/>
    <w:rsid w:val="0042463D"/>
    <w:rsid w:val="00424810"/>
    <w:rsid w:val="00425CDE"/>
    <w:rsid w:val="0042661E"/>
    <w:rsid w:val="0042690F"/>
    <w:rsid w:val="00426A75"/>
    <w:rsid w:val="004305D9"/>
    <w:rsid w:val="004316F4"/>
    <w:rsid w:val="0043256C"/>
    <w:rsid w:val="00432D13"/>
    <w:rsid w:val="00433BF5"/>
    <w:rsid w:val="00436DEB"/>
    <w:rsid w:val="00440869"/>
    <w:rsid w:val="0044169D"/>
    <w:rsid w:val="0044194D"/>
    <w:rsid w:val="00441AB6"/>
    <w:rsid w:val="00441E3E"/>
    <w:rsid w:val="004441D3"/>
    <w:rsid w:val="0044427B"/>
    <w:rsid w:val="00445E0E"/>
    <w:rsid w:val="00446994"/>
    <w:rsid w:val="00450FA3"/>
    <w:rsid w:val="004539FB"/>
    <w:rsid w:val="004551E4"/>
    <w:rsid w:val="00457185"/>
    <w:rsid w:val="004612CE"/>
    <w:rsid w:val="0046246F"/>
    <w:rsid w:val="004624CB"/>
    <w:rsid w:val="00463092"/>
    <w:rsid w:val="00464C4B"/>
    <w:rsid w:val="00465252"/>
    <w:rsid w:val="0047095B"/>
    <w:rsid w:val="0047260E"/>
    <w:rsid w:val="00474BA7"/>
    <w:rsid w:val="00475B22"/>
    <w:rsid w:val="00476098"/>
    <w:rsid w:val="004767AD"/>
    <w:rsid w:val="00476FD3"/>
    <w:rsid w:val="004775FD"/>
    <w:rsid w:val="00477648"/>
    <w:rsid w:val="00477EFF"/>
    <w:rsid w:val="004823D0"/>
    <w:rsid w:val="00482E94"/>
    <w:rsid w:val="00483026"/>
    <w:rsid w:val="00484230"/>
    <w:rsid w:val="004877B2"/>
    <w:rsid w:val="00491726"/>
    <w:rsid w:val="0049234B"/>
    <w:rsid w:val="004941FD"/>
    <w:rsid w:val="00496C67"/>
    <w:rsid w:val="00497315"/>
    <w:rsid w:val="004A058F"/>
    <w:rsid w:val="004A1410"/>
    <w:rsid w:val="004A1ECD"/>
    <w:rsid w:val="004A261B"/>
    <w:rsid w:val="004A2CE5"/>
    <w:rsid w:val="004A7FD5"/>
    <w:rsid w:val="004B012F"/>
    <w:rsid w:val="004B153E"/>
    <w:rsid w:val="004B2861"/>
    <w:rsid w:val="004B693A"/>
    <w:rsid w:val="004C0AA9"/>
    <w:rsid w:val="004C3399"/>
    <w:rsid w:val="004C40EA"/>
    <w:rsid w:val="004C58CC"/>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CA4"/>
    <w:rsid w:val="00520AC9"/>
    <w:rsid w:val="00520D04"/>
    <w:rsid w:val="00522BDF"/>
    <w:rsid w:val="00523BBF"/>
    <w:rsid w:val="00523E86"/>
    <w:rsid w:val="00531544"/>
    <w:rsid w:val="00531D1B"/>
    <w:rsid w:val="00532953"/>
    <w:rsid w:val="00534914"/>
    <w:rsid w:val="00542AC2"/>
    <w:rsid w:val="00543543"/>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23CF"/>
    <w:rsid w:val="005730C5"/>
    <w:rsid w:val="005762A8"/>
    <w:rsid w:val="00580443"/>
    <w:rsid w:val="00584353"/>
    <w:rsid w:val="005853E0"/>
    <w:rsid w:val="00586495"/>
    <w:rsid w:val="005947B9"/>
    <w:rsid w:val="005952BC"/>
    <w:rsid w:val="005A0074"/>
    <w:rsid w:val="005A1675"/>
    <w:rsid w:val="005A22DE"/>
    <w:rsid w:val="005A3EB6"/>
    <w:rsid w:val="005A7358"/>
    <w:rsid w:val="005B0552"/>
    <w:rsid w:val="005B11EF"/>
    <w:rsid w:val="005B35D5"/>
    <w:rsid w:val="005B3B70"/>
    <w:rsid w:val="005C377A"/>
    <w:rsid w:val="005C3B39"/>
    <w:rsid w:val="005C519E"/>
    <w:rsid w:val="005C7663"/>
    <w:rsid w:val="005D03D8"/>
    <w:rsid w:val="005D03F1"/>
    <w:rsid w:val="005D203F"/>
    <w:rsid w:val="005D215E"/>
    <w:rsid w:val="005D4E7C"/>
    <w:rsid w:val="005D672C"/>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988"/>
    <w:rsid w:val="006047F5"/>
    <w:rsid w:val="00604832"/>
    <w:rsid w:val="0060705E"/>
    <w:rsid w:val="0061293F"/>
    <w:rsid w:val="006136CD"/>
    <w:rsid w:val="006146F1"/>
    <w:rsid w:val="006178FE"/>
    <w:rsid w:val="00624EFE"/>
    <w:rsid w:val="00625BD9"/>
    <w:rsid w:val="00627588"/>
    <w:rsid w:val="00631684"/>
    <w:rsid w:val="00631BFD"/>
    <w:rsid w:val="0063266F"/>
    <w:rsid w:val="00632DAC"/>
    <w:rsid w:val="00634D12"/>
    <w:rsid w:val="0063544C"/>
    <w:rsid w:val="00636DD0"/>
    <w:rsid w:val="006377EC"/>
    <w:rsid w:val="00640CEA"/>
    <w:rsid w:val="00644152"/>
    <w:rsid w:val="00645F16"/>
    <w:rsid w:val="006471EC"/>
    <w:rsid w:val="006479C8"/>
    <w:rsid w:val="006538E5"/>
    <w:rsid w:val="00653A96"/>
    <w:rsid w:val="00654BE5"/>
    <w:rsid w:val="00654EFB"/>
    <w:rsid w:val="00660942"/>
    <w:rsid w:val="00661E51"/>
    <w:rsid w:val="00662AD8"/>
    <w:rsid w:val="00663E62"/>
    <w:rsid w:val="00664271"/>
    <w:rsid w:val="00664A46"/>
    <w:rsid w:val="00665E3C"/>
    <w:rsid w:val="00670BCC"/>
    <w:rsid w:val="00670EFA"/>
    <w:rsid w:val="00670F92"/>
    <w:rsid w:val="006716A5"/>
    <w:rsid w:val="0067336C"/>
    <w:rsid w:val="00674B4F"/>
    <w:rsid w:val="00674C02"/>
    <w:rsid w:val="00674FCF"/>
    <w:rsid w:val="006770BD"/>
    <w:rsid w:val="006807BD"/>
    <w:rsid w:val="006824E3"/>
    <w:rsid w:val="006841E4"/>
    <w:rsid w:val="00686060"/>
    <w:rsid w:val="00686543"/>
    <w:rsid w:val="00687DC3"/>
    <w:rsid w:val="00687FF4"/>
    <w:rsid w:val="006902A9"/>
    <w:rsid w:val="0069271D"/>
    <w:rsid w:val="0069349A"/>
    <w:rsid w:val="0069503F"/>
    <w:rsid w:val="006A0C1E"/>
    <w:rsid w:val="006A2F86"/>
    <w:rsid w:val="006A3854"/>
    <w:rsid w:val="006B21BE"/>
    <w:rsid w:val="006B2322"/>
    <w:rsid w:val="006B4B24"/>
    <w:rsid w:val="006B69CD"/>
    <w:rsid w:val="006C03F9"/>
    <w:rsid w:val="006C0E0E"/>
    <w:rsid w:val="006C135D"/>
    <w:rsid w:val="006C2C62"/>
    <w:rsid w:val="006C3007"/>
    <w:rsid w:val="006C358F"/>
    <w:rsid w:val="006C4013"/>
    <w:rsid w:val="006C42F9"/>
    <w:rsid w:val="006C533A"/>
    <w:rsid w:val="006D0217"/>
    <w:rsid w:val="006D09F2"/>
    <w:rsid w:val="006D0D2D"/>
    <w:rsid w:val="006D26DD"/>
    <w:rsid w:val="006D39A1"/>
    <w:rsid w:val="006D4FC5"/>
    <w:rsid w:val="006D68A6"/>
    <w:rsid w:val="006E002B"/>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7C0E"/>
    <w:rsid w:val="0071021B"/>
    <w:rsid w:val="00710AFA"/>
    <w:rsid w:val="00710CCD"/>
    <w:rsid w:val="007143BC"/>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7603"/>
    <w:rsid w:val="00737AB1"/>
    <w:rsid w:val="00742608"/>
    <w:rsid w:val="00744626"/>
    <w:rsid w:val="007455F2"/>
    <w:rsid w:val="007501AE"/>
    <w:rsid w:val="00750C5B"/>
    <w:rsid w:val="00752A47"/>
    <w:rsid w:val="007561F0"/>
    <w:rsid w:val="00760AF0"/>
    <w:rsid w:val="007634A1"/>
    <w:rsid w:val="00765C99"/>
    <w:rsid w:val="00772700"/>
    <w:rsid w:val="00775597"/>
    <w:rsid w:val="00775829"/>
    <w:rsid w:val="00775C97"/>
    <w:rsid w:val="00776340"/>
    <w:rsid w:val="00776538"/>
    <w:rsid w:val="00780310"/>
    <w:rsid w:val="007813A8"/>
    <w:rsid w:val="007830B4"/>
    <w:rsid w:val="007831E3"/>
    <w:rsid w:val="00783C5E"/>
    <w:rsid w:val="00784543"/>
    <w:rsid w:val="007866C8"/>
    <w:rsid w:val="00786CB7"/>
    <w:rsid w:val="007943B7"/>
    <w:rsid w:val="0079495F"/>
    <w:rsid w:val="00795867"/>
    <w:rsid w:val="007A0296"/>
    <w:rsid w:val="007A1136"/>
    <w:rsid w:val="007A727A"/>
    <w:rsid w:val="007B044D"/>
    <w:rsid w:val="007B1E79"/>
    <w:rsid w:val="007B2414"/>
    <w:rsid w:val="007B2C82"/>
    <w:rsid w:val="007B3751"/>
    <w:rsid w:val="007B3AD5"/>
    <w:rsid w:val="007B412C"/>
    <w:rsid w:val="007B51AB"/>
    <w:rsid w:val="007B5D3F"/>
    <w:rsid w:val="007B6C22"/>
    <w:rsid w:val="007C0966"/>
    <w:rsid w:val="007C0B05"/>
    <w:rsid w:val="007C4ACC"/>
    <w:rsid w:val="007C60EE"/>
    <w:rsid w:val="007C6163"/>
    <w:rsid w:val="007D1FC8"/>
    <w:rsid w:val="007D5D42"/>
    <w:rsid w:val="007D60E4"/>
    <w:rsid w:val="007E2488"/>
    <w:rsid w:val="007E4969"/>
    <w:rsid w:val="007F704B"/>
    <w:rsid w:val="00800AF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6155"/>
    <w:rsid w:val="0082761B"/>
    <w:rsid w:val="00827F49"/>
    <w:rsid w:val="00834ED5"/>
    <w:rsid w:val="00837997"/>
    <w:rsid w:val="00841FDB"/>
    <w:rsid w:val="00842749"/>
    <w:rsid w:val="00844C79"/>
    <w:rsid w:val="00845D9D"/>
    <w:rsid w:val="00846486"/>
    <w:rsid w:val="0084689E"/>
    <w:rsid w:val="00851D89"/>
    <w:rsid w:val="00852226"/>
    <w:rsid w:val="0085771C"/>
    <w:rsid w:val="008623EF"/>
    <w:rsid w:val="008624AD"/>
    <w:rsid w:val="00862668"/>
    <w:rsid w:val="008632C9"/>
    <w:rsid w:val="008637A4"/>
    <w:rsid w:val="00864A6D"/>
    <w:rsid w:val="00864B07"/>
    <w:rsid w:val="00871608"/>
    <w:rsid w:val="0087285F"/>
    <w:rsid w:val="00874A86"/>
    <w:rsid w:val="0087797F"/>
    <w:rsid w:val="00881BEA"/>
    <w:rsid w:val="00885486"/>
    <w:rsid w:val="0088608E"/>
    <w:rsid w:val="00886C31"/>
    <w:rsid w:val="0089008B"/>
    <w:rsid w:val="0089368A"/>
    <w:rsid w:val="00895F8D"/>
    <w:rsid w:val="00896760"/>
    <w:rsid w:val="00897AA5"/>
    <w:rsid w:val="008A1E29"/>
    <w:rsid w:val="008A2B2E"/>
    <w:rsid w:val="008A402F"/>
    <w:rsid w:val="008A4191"/>
    <w:rsid w:val="008A6006"/>
    <w:rsid w:val="008B19DA"/>
    <w:rsid w:val="008C1372"/>
    <w:rsid w:val="008C48B0"/>
    <w:rsid w:val="008D0558"/>
    <w:rsid w:val="008D1636"/>
    <w:rsid w:val="008D44BA"/>
    <w:rsid w:val="008D47B6"/>
    <w:rsid w:val="008D4F0E"/>
    <w:rsid w:val="008E07E2"/>
    <w:rsid w:val="008E08E4"/>
    <w:rsid w:val="008E17D6"/>
    <w:rsid w:val="008E323F"/>
    <w:rsid w:val="008E7A2F"/>
    <w:rsid w:val="008E7B09"/>
    <w:rsid w:val="008F29E9"/>
    <w:rsid w:val="008F2B41"/>
    <w:rsid w:val="008F3420"/>
    <w:rsid w:val="008F3891"/>
    <w:rsid w:val="00900193"/>
    <w:rsid w:val="00904DBA"/>
    <w:rsid w:val="009068C6"/>
    <w:rsid w:val="0091225C"/>
    <w:rsid w:val="00912BA6"/>
    <w:rsid w:val="00914FAB"/>
    <w:rsid w:val="00915851"/>
    <w:rsid w:val="00916F7B"/>
    <w:rsid w:val="00920864"/>
    <w:rsid w:val="00920B34"/>
    <w:rsid w:val="00921300"/>
    <w:rsid w:val="00922364"/>
    <w:rsid w:val="009227F6"/>
    <w:rsid w:val="009276D5"/>
    <w:rsid w:val="009308DE"/>
    <w:rsid w:val="00930A4A"/>
    <w:rsid w:val="00930E08"/>
    <w:rsid w:val="00930EB5"/>
    <w:rsid w:val="00932C34"/>
    <w:rsid w:val="00932D0C"/>
    <w:rsid w:val="0093366D"/>
    <w:rsid w:val="009351D5"/>
    <w:rsid w:val="009367AA"/>
    <w:rsid w:val="009369A0"/>
    <w:rsid w:val="0094493C"/>
    <w:rsid w:val="009460D9"/>
    <w:rsid w:val="00946688"/>
    <w:rsid w:val="009511F9"/>
    <w:rsid w:val="0095223E"/>
    <w:rsid w:val="009525CA"/>
    <w:rsid w:val="00952952"/>
    <w:rsid w:val="00953D02"/>
    <w:rsid w:val="00956448"/>
    <w:rsid w:val="00957829"/>
    <w:rsid w:val="009612B9"/>
    <w:rsid w:val="009620CC"/>
    <w:rsid w:val="009647F5"/>
    <w:rsid w:val="009711BE"/>
    <w:rsid w:val="00972315"/>
    <w:rsid w:val="00972344"/>
    <w:rsid w:val="009727DF"/>
    <w:rsid w:val="00972AE4"/>
    <w:rsid w:val="00972C2E"/>
    <w:rsid w:val="00973317"/>
    <w:rsid w:val="0097480D"/>
    <w:rsid w:val="00977814"/>
    <w:rsid w:val="00977C44"/>
    <w:rsid w:val="00981575"/>
    <w:rsid w:val="00981E0A"/>
    <w:rsid w:val="009832A0"/>
    <w:rsid w:val="00984D17"/>
    <w:rsid w:val="00985F95"/>
    <w:rsid w:val="0098767C"/>
    <w:rsid w:val="00987B7D"/>
    <w:rsid w:val="0099340A"/>
    <w:rsid w:val="009952BD"/>
    <w:rsid w:val="00995BCD"/>
    <w:rsid w:val="0099671D"/>
    <w:rsid w:val="00997296"/>
    <w:rsid w:val="009972D7"/>
    <w:rsid w:val="009A0830"/>
    <w:rsid w:val="009A140E"/>
    <w:rsid w:val="009A22CF"/>
    <w:rsid w:val="009A5039"/>
    <w:rsid w:val="009A61C9"/>
    <w:rsid w:val="009A6724"/>
    <w:rsid w:val="009A6B27"/>
    <w:rsid w:val="009A7B21"/>
    <w:rsid w:val="009B199D"/>
    <w:rsid w:val="009B1F5F"/>
    <w:rsid w:val="009B2E3E"/>
    <w:rsid w:val="009B389E"/>
    <w:rsid w:val="009B3999"/>
    <w:rsid w:val="009B4458"/>
    <w:rsid w:val="009B622C"/>
    <w:rsid w:val="009B6FF9"/>
    <w:rsid w:val="009B75CC"/>
    <w:rsid w:val="009C0EE1"/>
    <w:rsid w:val="009C295C"/>
    <w:rsid w:val="009C327D"/>
    <w:rsid w:val="009C370D"/>
    <w:rsid w:val="009C40CA"/>
    <w:rsid w:val="009C78AC"/>
    <w:rsid w:val="009C7D8F"/>
    <w:rsid w:val="009D24FB"/>
    <w:rsid w:val="009D3924"/>
    <w:rsid w:val="009D4A2A"/>
    <w:rsid w:val="009D6A98"/>
    <w:rsid w:val="009E2093"/>
    <w:rsid w:val="009E2794"/>
    <w:rsid w:val="009E3385"/>
    <w:rsid w:val="009E40F2"/>
    <w:rsid w:val="009E5460"/>
    <w:rsid w:val="009E76C2"/>
    <w:rsid w:val="009E7D04"/>
    <w:rsid w:val="009F0EC2"/>
    <w:rsid w:val="009F150E"/>
    <w:rsid w:val="009F2F8C"/>
    <w:rsid w:val="009F43B4"/>
    <w:rsid w:val="009F5F0E"/>
    <w:rsid w:val="009F73AD"/>
    <w:rsid w:val="009F76FF"/>
    <w:rsid w:val="00A01DD6"/>
    <w:rsid w:val="00A02B6D"/>
    <w:rsid w:val="00A04960"/>
    <w:rsid w:val="00A06CEE"/>
    <w:rsid w:val="00A07294"/>
    <w:rsid w:val="00A106A3"/>
    <w:rsid w:val="00A11B13"/>
    <w:rsid w:val="00A148EC"/>
    <w:rsid w:val="00A1511F"/>
    <w:rsid w:val="00A15902"/>
    <w:rsid w:val="00A16297"/>
    <w:rsid w:val="00A163C6"/>
    <w:rsid w:val="00A16445"/>
    <w:rsid w:val="00A2003F"/>
    <w:rsid w:val="00A2026F"/>
    <w:rsid w:val="00A21A8C"/>
    <w:rsid w:val="00A21FC3"/>
    <w:rsid w:val="00A22137"/>
    <w:rsid w:val="00A269DD"/>
    <w:rsid w:val="00A32CC8"/>
    <w:rsid w:val="00A336E3"/>
    <w:rsid w:val="00A37078"/>
    <w:rsid w:val="00A41FFD"/>
    <w:rsid w:val="00A42302"/>
    <w:rsid w:val="00A42387"/>
    <w:rsid w:val="00A44AAA"/>
    <w:rsid w:val="00A46182"/>
    <w:rsid w:val="00A47455"/>
    <w:rsid w:val="00A47E9D"/>
    <w:rsid w:val="00A501AE"/>
    <w:rsid w:val="00A514B6"/>
    <w:rsid w:val="00A536E3"/>
    <w:rsid w:val="00A55CC0"/>
    <w:rsid w:val="00A6065F"/>
    <w:rsid w:val="00A62B79"/>
    <w:rsid w:val="00A63061"/>
    <w:rsid w:val="00A63356"/>
    <w:rsid w:val="00A64268"/>
    <w:rsid w:val="00A6549C"/>
    <w:rsid w:val="00A65570"/>
    <w:rsid w:val="00A7111B"/>
    <w:rsid w:val="00A72893"/>
    <w:rsid w:val="00A74DAF"/>
    <w:rsid w:val="00A75526"/>
    <w:rsid w:val="00A7659C"/>
    <w:rsid w:val="00A86207"/>
    <w:rsid w:val="00A90683"/>
    <w:rsid w:val="00A90EA1"/>
    <w:rsid w:val="00A9221E"/>
    <w:rsid w:val="00AA12B5"/>
    <w:rsid w:val="00AA1DBC"/>
    <w:rsid w:val="00AA2DD6"/>
    <w:rsid w:val="00AA4097"/>
    <w:rsid w:val="00AA5B84"/>
    <w:rsid w:val="00AA6962"/>
    <w:rsid w:val="00AA7433"/>
    <w:rsid w:val="00AB0943"/>
    <w:rsid w:val="00AB0BA7"/>
    <w:rsid w:val="00AB1C2C"/>
    <w:rsid w:val="00AB1DB5"/>
    <w:rsid w:val="00AB5D32"/>
    <w:rsid w:val="00AC414E"/>
    <w:rsid w:val="00AC4F52"/>
    <w:rsid w:val="00AC76BD"/>
    <w:rsid w:val="00AD1A92"/>
    <w:rsid w:val="00AD28F4"/>
    <w:rsid w:val="00AE218F"/>
    <w:rsid w:val="00AE48CF"/>
    <w:rsid w:val="00AE7A5F"/>
    <w:rsid w:val="00AF3C04"/>
    <w:rsid w:val="00AF67BD"/>
    <w:rsid w:val="00B000EC"/>
    <w:rsid w:val="00B00203"/>
    <w:rsid w:val="00B01AA3"/>
    <w:rsid w:val="00B02133"/>
    <w:rsid w:val="00B02663"/>
    <w:rsid w:val="00B0360B"/>
    <w:rsid w:val="00B03E0A"/>
    <w:rsid w:val="00B05DEE"/>
    <w:rsid w:val="00B0655B"/>
    <w:rsid w:val="00B068B1"/>
    <w:rsid w:val="00B20612"/>
    <w:rsid w:val="00B20B58"/>
    <w:rsid w:val="00B21008"/>
    <w:rsid w:val="00B21457"/>
    <w:rsid w:val="00B2293A"/>
    <w:rsid w:val="00B22D14"/>
    <w:rsid w:val="00B25FAA"/>
    <w:rsid w:val="00B26257"/>
    <w:rsid w:val="00B30DD7"/>
    <w:rsid w:val="00B314D9"/>
    <w:rsid w:val="00B330DB"/>
    <w:rsid w:val="00B36D8B"/>
    <w:rsid w:val="00B36F5E"/>
    <w:rsid w:val="00B36FD7"/>
    <w:rsid w:val="00B376A8"/>
    <w:rsid w:val="00B401FA"/>
    <w:rsid w:val="00B4441D"/>
    <w:rsid w:val="00B44DBE"/>
    <w:rsid w:val="00B46D17"/>
    <w:rsid w:val="00B47E7E"/>
    <w:rsid w:val="00B567CF"/>
    <w:rsid w:val="00B62C9C"/>
    <w:rsid w:val="00B64B47"/>
    <w:rsid w:val="00B64C79"/>
    <w:rsid w:val="00B67834"/>
    <w:rsid w:val="00B729F1"/>
    <w:rsid w:val="00B7418B"/>
    <w:rsid w:val="00B77495"/>
    <w:rsid w:val="00B803E5"/>
    <w:rsid w:val="00B818D2"/>
    <w:rsid w:val="00B8280A"/>
    <w:rsid w:val="00B831F9"/>
    <w:rsid w:val="00B94617"/>
    <w:rsid w:val="00B94A29"/>
    <w:rsid w:val="00BA0839"/>
    <w:rsid w:val="00BA104A"/>
    <w:rsid w:val="00BA143F"/>
    <w:rsid w:val="00BA3498"/>
    <w:rsid w:val="00BA60BC"/>
    <w:rsid w:val="00BA6577"/>
    <w:rsid w:val="00BA7DE8"/>
    <w:rsid w:val="00BB04CE"/>
    <w:rsid w:val="00BB225A"/>
    <w:rsid w:val="00BB242D"/>
    <w:rsid w:val="00BB3EC0"/>
    <w:rsid w:val="00BB49BC"/>
    <w:rsid w:val="00BB52F5"/>
    <w:rsid w:val="00BC3CD3"/>
    <w:rsid w:val="00BC43B1"/>
    <w:rsid w:val="00BC492C"/>
    <w:rsid w:val="00BC526F"/>
    <w:rsid w:val="00BC6EA1"/>
    <w:rsid w:val="00BC7630"/>
    <w:rsid w:val="00BC7A26"/>
    <w:rsid w:val="00BD07A1"/>
    <w:rsid w:val="00BD0BBA"/>
    <w:rsid w:val="00BD0C1A"/>
    <w:rsid w:val="00BD2C28"/>
    <w:rsid w:val="00BD2C97"/>
    <w:rsid w:val="00BD34F1"/>
    <w:rsid w:val="00BD3C5C"/>
    <w:rsid w:val="00BD63B4"/>
    <w:rsid w:val="00BD7001"/>
    <w:rsid w:val="00BD7AEC"/>
    <w:rsid w:val="00BE1B72"/>
    <w:rsid w:val="00BE5EB3"/>
    <w:rsid w:val="00BE65A4"/>
    <w:rsid w:val="00BE7994"/>
    <w:rsid w:val="00BE7C57"/>
    <w:rsid w:val="00BF21EB"/>
    <w:rsid w:val="00BF350C"/>
    <w:rsid w:val="00BF53E9"/>
    <w:rsid w:val="00BF5BA2"/>
    <w:rsid w:val="00BF6E0A"/>
    <w:rsid w:val="00C00C5C"/>
    <w:rsid w:val="00C01C91"/>
    <w:rsid w:val="00C0215C"/>
    <w:rsid w:val="00C05F74"/>
    <w:rsid w:val="00C06D99"/>
    <w:rsid w:val="00C06FC3"/>
    <w:rsid w:val="00C07FDE"/>
    <w:rsid w:val="00C152E1"/>
    <w:rsid w:val="00C1601C"/>
    <w:rsid w:val="00C210FE"/>
    <w:rsid w:val="00C2231B"/>
    <w:rsid w:val="00C2796F"/>
    <w:rsid w:val="00C31748"/>
    <w:rsid w:val="00C40E8B"/>
    <w:rsid w:val="00C45826"/>
    <w:rsid w:val="00C45FED"/>
    <w:rsid w:val="00C50EC1"/>
    <w:rsid w:val="00C524BA"/>
    <w:rsid w:val="00C5304D"/>
    <w:rsid w:val="00C54DF1"/>
    <w:rsid w:val="00C5665C"/>
    <w:rsid w:val="00C5705D"/>
    <w:rsid w:val="00C57D06"/>
    <w:rsid w:val="00C61A53"/>
    <w:rsid w:val="00C626A0"/>
    <w:rsid w:val="00C65FCE"/>
    <w:rsid w:val="00C70FA1"/>
    <w:rsid w:val="00C73445"/>
    <w:rsid w:val="00C73589"/>
    <w:rsid w:val="00C75E13"/>
    <w:rsid w:val="00C75F56"/>
    <w:rsid w:val="00C762D1"/>
    <w:rsid w:val="00C80AD2"/>
    <w:rsid w:val="00C825DE"/>
    <w:rsid w:val="00C82F66"/>
    <w:rsid w:val="00C845D2"/>
    <w:rsid w:val="00C846B9"/>
    <w:rsid w:val="00C90A2C"/>
    <w:rsid w:val="00C944C8"/>
    <w:rsid w:val="00C95D3C"/>
    <w:rsid w:val="00C9761B"/>
    <w:rsid w:val="00CA3466"/>
    <w:rsid w:val="00CA42AB"/>
    <w:rsid w:val="00CA5882"/>
    <w:rsid w:val="00CA684E"/>
    <w:rsid w:val="00CA75C2"/>
    <w:rsid w:val="00CA7C42"/>
    <w:rsid w:val="00CB0442"/>
    <w:rsid w:val="00CB18F8"/>
    <w:rsid w:val="00CB27DA"/>
    <w:rsid w:val="00CB58D5"/>
    <w:rsid w:val="00CC021B"/>
    <w:rsid w:val="00CC4DAB"/>
    <w:rsid w:val="00CC5DCD"/>
    <w:rsid w:val="00CD06CE"/>
    <w:rsid w:val="00CD0BE0"/>
    <w:rsid w:val="00CD0C03"/>
    <w:rsid w:val="00CD177B"/>
    <w:rsid w:val="00CD18B4"/>
    <w:rsid w:val="00CD2A08"/>
    <w:rsid w:val="00CD58B7"/>
    <w:rsid w:val="00CD6172"/>
    <w:rsid w:val="00CD7487"/>
    <w:rsid w:val="00CE0F42"/>
    <w:rsid w:val="00CE3F0E"/>
    <w:rsid w:val="00CE426A"/>
    <w:rsid w:val="00CE4896"/>
    <w:rsid w:val="00CE581E"/>
    <w:rsid w:val="00CE71C6"/>
    <w:rsid w:val="00CF35AC"/>
    <w:rsid w:val="00CF4084"/>
    <w:rsid w:val="00CF48C2"/>
    <w:rsid w:val="00CF5625"/>
    <w:rsid w:val="00CF615A"/>
    <w:rsid w:val="00CF789D"/>
    <w:rsid w:val="00D014CE"/>
    <w:rsid w:val="00D052B3"/>
    <w:rsid w:val="00D101BA"/>
    <w:rsid w:val="00D1375D"/>
    <w:rsid w:val="00D16B85"/>
    <w:rsid w:val="00D20183"/>
    <w:rsid w:val="00D202BE"/>
    <w:rsid w:val="00D2139B"/>
    <w:rsid w:val="00D24988"/>
    <w:rsid w:val="00D251BB"/>
    <w:rsid w:val="00D272DF"/>
    <w:rsid w:val="00D3367B"/>
    <w:rsid w:val="00D3430F"/>
    <w:rsid w:val="00D34B35"/>
    <w:rsid w:val="00D42182"/>
    <w:rsid w:val="00D42655"/>
    <w:rsid w:val="00D42C53"/>
    <w:rsid w:val="00D43027"/>
    <w:rsid w:val="00D431D8"/>
    <w:rsid w:val="00D43A23"/>
    <w:rsid w:val="00D444AB"/>
    <w:rsid w:val="00D446D3"/>
    <w:rsid w:val="00D47265"/>
    <w:rsid w:val="00D507C3"/>
    <w:rsid w:val="00D5399E"/>
    <w:rsid w:val="00D54E10"/>
    <w:rsid w:val="00D57B00"/>
    <w:rsid w:val="00D6099A"/>
    <w:rsid w:val="00D61802"/>
    <w:rsid w:val="00D625A1"/>
    <w:rsid w:val="00D63637"/>
    <w:rsid w:val="00D63956"/>
    <w:rsid w:val="00D63E5C"/>
    <w:rsid w:val="00D65A78"/>
    <w:rsid w:val="00D7397C"/>
    <w:rsid w:val="00D73B4B"/>
    <w:rsid w:val="00D74804"/>
    <w:rsid w:val="00D7561F"/>
    <w:rsid w:val="00D75F28"/>
    <w:rsid w:val="00D7657C"/>
    <w:rsid w:val="00D81A3A"/>
    <w:rsid w:val="00D84AC0"/>
    <w:rsid w:val="00D84E7D"/>
    <w:rsid w:val="00D85B76"/>
    <w:rsid w:val="00D945FF"/>
    <w:rsid w:val="00DA30D4"/>
    <w:rsid w:val="00DA3DB6"/>
    <w:rsid w:val="00DA449F"/>
    <w:rsid w:val="00DA736B"/>
    <w:rsid w:val="00DB0451"/>
    <w:rsid w:val="00DB3CCF"/>
    <w:rsid w:val="00DB56B5"/>
    <w:rsid w:val="00DC0DDA"/>
    <w:rsid w:val="00DC2C59"/>
    <w:rsid w:val="00DC455B"/>
    <w:rsid w:val="00DC5DA7"/>
    <w:rsid w:val="00DC714A"/>
    <w:rsid w:val="00DD25E3"/>
    <w:rsid w:val="00DD25FC"/>
    <w:rsid w:val="00DD4C3B"/>
    <w:rsid w:val="00DD5FD8"/>
    <w:rsid w:val="00DE1C04"/>
    <w:rsid w:val="00DE303B"/>
    <w:rsid w:val="00DE3458"/>
    <w:rsid w:val="00DE3DBD"/>
    <w:rsid w:val="00DE4784"/>
    <w:rsid w:val="00DE626E"/>
    <w:rsid w:val="00DE7900"/>
    <w:rsid w:val="00DF00D6"/>
    <w:rsid w:val="00DF2C0B"/>
    <w:rsid w:val="00DF3859"/>
    <w:rsid w:val="00DF3DBE"/>
    <w:rsid w:val="00DF60A0"/>
    <w:rsid w:val="00E01968"/>
    <w:rsid w:val="00E02EA7"/>
    <w:rsid w:val="00E03106"/>
    <w:rsid w:val="00E03E22"/>
    <w:rsid w:val="00E05749"/>
    <w:rsid w:val="00E06515"/>
    <w:rsid w:val="00E10A1E"/>
    <w:rsid w:val="00E11DFD"/>
    <w:rsid w:val="00E14339"/>
    <w:rsid w:val="00E20083"/>
    <w:rsid w:val="00E225C6"/>
    <w:rsid w:val="00E226E6"/>
    <w:rsid w:val="00E22E09"/>
    <w:rsid w:val="00E25613"/>
    <w:rsid w:val="00E26A69"/>
    <w:rsid w:val="00E33996"/>
    <w:rsid w:val="00E349BB"/>
    <w:rsid w:val="00E3563D"/>
    <w:rsid w:val="00E35839"/>
    <w:rsid w:val="00E41F7F"/>
    <w:rsid w:val="00E4207B"/>
    <w:rsid w:val="00E42206"/>
    <w:rsid w:val="00E4330A"/>
    <w:rsid w:val="00E43DA2"/>
    <w:rsid w:val="00E445C3"/>
    <w:rsid w:val="00E51DB2"/>
    <w:rsid w:val="00E53CA6"/>
    <w:rsid w:val="00E54A58"/>
    <w:rsid w:val="00E562E0"/>
    <w:rsid w:val="00E57F28"/>
    <w:rsid w:val="00E62EDE"/>
    <w:rsid w:val="00E649C8"/>
    <w:rsid w:val="00E658B7"/>
    <w:rsid w:val="00E66300"/>
    <w:rsid w:val="00E67501"/>
    <w:rsid w:val="00E70E76"/>
    <w:rsid w:val="00E74016"/>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846"/>
    <w:rsid w:val="00EB7229"/>
    <w:rsid w:val="00EB7FBD"/>
    <w:rsid w:val="00EC0742"/>
    <w:rsid w:val="00EC0D53"/>
    <w:rsid w:val="00EC198A"/>
    <w:rsid w:val="00EC2015"/>
    <w:rsid w:val="00EC4057"/>
    <w:rsid w:val="00EC41B3"/>
    <w:rsid w:val="00EC4B18"/>
    <w:rsid w:val="00EC5F1E"/>
    <w:rsid w:val="00ED01E4"/>
    <w:rsid w:val="00ED03D6"/>
    <w:rsid w:val="00ED2F5A"/>
    <w:rsid w:val="00ED515A"/>
    <w:rsid w:val="00ED6A0D"/>
    <w:rsid w:val="00ED7214"/>
    <w:rsid w:val="00ED7C8C"/>
    <w:rsid w:val="00EE0032"/>
    <w:rsid w:val="00EE0C2D"/>
    <w:rsid w:val="00EE3DEC"/>
    <w:rsid w:val="00EE7C59"/>
    <w:rsid w:val="00EF0E14"/>
    <w:rsid w:val="00EF2A9A"/>
    <w:rsid w:val="00EF3B69"/>
    <w:rsid w:val="00EF6A8D"/>
    <w:rsid w:val="00F03A68"/>
    <w:rsid w:val="00F05AA2"/>
    <w:rsid w:val="00F05AEB"/>
    <w:rsid w:val="00F0605D"/>
    <w:rsid w:val="00F0665F"/>
    <w:rsid w:val="00F06C3D"/>
    <w:rsid w:val="00F12F7E"/>
    <w:rsid w:val="00F14D80"/>
    <w:rsid w:val="00F16291"/>
    <w:rsid w:val="00F16C40"/>
    <w:rsid w:val="00F16D40"/>
    <w:rsid w:val="00F2689C"/>
    <w:rsid w:val="00F2720C"/>
    <w:rsid w:val="00F2753A"/>
    <w:rsid w:val="00F278EB"/>
    <w:rsid w:val="00F30912"/>
    <w:rsid w:val="00F31F48"/>
    <w:rsid w:val="00F3466E"/>
    <w:rsid w:val="00F3760A"/>
    <w:rsid w:val="00F43A1F"/>
    <w:rsid w:val="00F45203"/>
    <w:rsid w:val="00F505DF"/>
    <w:rsid w:val="00F50713"/>
    <w:rsid w:val="00F5078C"/>
    <w:rsid w:val="00F513B0"/>
    <w:rsid w:val="00F5297A"/>
    <w:rsid w:val="00F572AC"/>
    <w:rsid w:val="00F610C0"/>
    <w:rsid w:val="00F63246"/>
    <w:rsid w:val="00F67419"/>
    <w:rsid w:val="00F722D9"/>
    <w:rsid w:val="00F731B0"/>
    <w:rsid w:val="00F732C7"/>
    <w:rsid w:val="00F73A55"/>
    <w:rsid w:val="00F73B8D"/>
    <w:rsid w:val="00F7697A"/>
    <w:rsid w:val="00F777C0"/>
    <w:rsid w:val="00F800D8"/>
    <w:rsid w:val="00F8641E"/>
    <w:rsid w:val="00F95B31"/>
    <w:rsid w:val="00F95C7C"/>
    <w:rsid w:val="00F97610"/>
    <w:rsid w:val="00FA08DB"/>
    <w:rsid w:val="00FA1AB1"/>
    <w:rsid w:val="00FA230A"/>
    <w:rsid w:val="00FA23FE"/>
    <w:rsid w:val="00FA2906"/>
    <w:rsid w:val="00FA293F"/>
    <w:rsid w:val="00FA627E"/>
    <w:rsid w:val="00FA6661"/>
    <w:rsid w:val="00FA7AF6"/>
    <w:rsid w:val="00FB0D0B"/>
    <w:rsid w:val="00FB533A"/>
    <w:rsid w:val="00FB602A"/>
    <w:rsid w:val="00FB690C"/>
    <w:rsid w:val="00FB6BF0"/>
    <w:rsid w:val="00FB7430"/>
    <w:rsid w:val="00FC4766"/>
    <w:rsid w:val="00FC4D52"/>
    <w:rsid w:val="00FC6B0E"/>
    <w:rsid w:val="00FC7700"/>
    <w:rsid w:val="00FC7FB0"/>
    <w:rsid w:val="00FD06F3"/>
    <w:rsid w:val="00FD27A9"/>
    <w:rsid w:val="00FD2A8B"/>
    <w:rsid w:val="00FD358F"/>
    <w:rsid w:val="00FD3E92"/>
    <w:rsid w:val="00FD4DF9"/>
    <w:rsid w:val="00FD57E8"/>
    <w:rsid w:val="00FE1915"/>
    <w:rsid w:val="00FE3D9D"/>
    <w:rsid w:val="00FE5DC0"/>
    <w:rsid w:val="00FE66AF"/>
    <w:rsid w:val="00FE738C"/>
    <w:rsid w:val="00FF50BD"/>
    <w:rsid w:val="00FF5171"/>
    <w:rsid w:val="00FF6F8E"/>
    <w:rsid w:val="00FF7091"/>
    <w:rsid w:val="00FF7505"/>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Ttulo1">
    <w:name w:val="heading 1"/>
    <w:basedOn w:val="Normal"/>
    <w:next w:val="Normal"/>
    <w:qFormat/>
    <w:rsid w:val="003F44AF"/>
    <w:pPr>
      <w:keepNext/>
      <w:suppressLineNumbers/>
      <w:jc w:val="center"/>
      <w:outlineLvl w:val="0"/>
    </w:pPr>
    <w:rPr>
      <w:b/>
      <w:sz w:val="36"/>
      <w:szCs w:val="20"/>
      <w:lang w:val="es-ES"/>
    </w:rPr>
  </w:style>
  <w:style w:type="paragraph" w:styleId="Ttulo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Ttulo3">
    <w:name w:val="heading 3"/>
    <w:basedOn w:val="Normal"/>
    <w:next w:val="Normal"/>
    <w:qFormat/>
    <w:rsid w:val="003F44AF"/>
    <w:pPr>
      <w:keepNext/>
      <w:jc w:val="center"/>
      <w:outlineLvl w:val="2"/>
    </w:pPr>
    <w:rPr>
      <w:rFonts w:ascii="Arial" w:hAnsi="Arial"/>
      <w:b/>
      <w:szCs w:val="20"/>
      <w:lang w:val="es-ES_tradnl"/>
    </w:rPr>
  </w:style>
  <w:style w:type="paragraph" w:styleId="Ttulo4">
    <w:name w:val="heading 4"/>
    <w:basedOn w:val="Normal"/>
    <w:next w:val="Normal"/>
    <w:qFormat/>
    <w:rsid w:val="003F44AF"/>
    <w:pPr>
      <w:keepNext/>
      <w:jc w:val="center"/>
      <w:outlineLvl w:val="3"/>
    </w:pPr>
    <w:rPr>
      <w:rFonts w:ascii="Arial" w:hAnsi="Arial"/>
      <w:b/>
      <w:szCs w:val="20"/>
      <w:lang w:val="es-ES_tradnl"/>
    </w:rPr>
  </w:style>
  <w:style w:type="paragraph" w:styleId="Ttulo5">
    <w:name w:val="heading 5"/>
    <w:next w:val="Normal"/>
    <w:qFormat/>
    <w:rsid w:val="003F44AF"/>
    <w:pPr>
      <w:outlineLvl w:val="4"/>
    </w:pPr>
    <w:rPr>
      <w:noProof/>
    </w:rPr>
  </w:style>
  <w:style w:type="paragraph" w:styleId="Ttulo6">
    <w:name w:val="heading 6"/>
    <w:basedOn w:val="Normal"/>
    <w:next w:val="Normal"/>
    <w:qFormat/>
    <w:rsid w:val="003F44AF"/>
    <w:pPr>
      <w:keepNext/>
      <w:jc w:val="center"/>
      <w:outlineLvl w:val="5"/>
    </w:pPr>
    <w:rPr>
      <w:rFonts w:ascii="CG Times (W1)" w:hAnsi="CG Times (W1)"/>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F44AF"/>
    <w:pPr>
      <w:jc w:val="both"/>
    </w:pPr>
  </w:style>
  <w:style w:type="paragraph" w:styleId="Sangradetextonormal">
    <w:name w:val="Body Text Indent"/>
    <w:basedOn w:val="Normal"/>
    <w:link w:val="SangradetextonormalCar"/>
    <w:rsid w:val="003F44AF"/>
    <w:pPr>
      <w:ind w:left="720"/>
      <w:jc w:val="both"/>
    </w:pPr>
  </w:style>
  <w:style w:type="paragraph" w:styleId="Encabezado">
    <w:name w:val="header"/>
    <w:basedOn w:val="Normal"/>
    <w:rsid w:val="003F44AF"/>
    <w:pPr>
      <w:tabs>
        <w:tab w:val="center" w:pos="4320"/>
        <w:tab w:val="right" w:pos="8640"/>
      </w:tabs>
    </w:pPr>
  </w:style>
  <w:style w:type="character" w:styleId="Nmerodepgina">
    <w:name w:val="page number"/>
    <w:basedOn w:val="Fuentedeprrafopredeter"/>
    <w:rsid w:val="003F44AF"/>
  </w:style>
  <w:style w:type="paragraph" w:styleId="Piedepgina">
    <w:name w:val="footer"/>
    <w:basedOn w:val="Normal"/>
    <w:rsid w:val="003F44AF"/>
    <w:pPr>
      <w:tabs>
        <w:tab w:val="center" w:pos="4320"/>
        <w:tab w:val="right" w:pos="8640"/>
      </w:tabs>
    </w:pPr>
  </w:style>
  <w:style w:type="character" w:styleId="Nmerodelnea">
    <w:name w:val="line number"/>
    <w:basedOn w:val="Fuentedeprrafopredeter"/>
    <w:rsid w:val="003F44AF"/>
  </w:style>
  <w:style w:type="paragraph" w:styleId="Textodeglobo">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ipervnculo">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Prrafodelista">
    <w:name w:val="List Paragraph"/>
    <w:basedOn w:val="Normal"/>
    <w:uiPriority w:val="34"/>
    <w:qFormat/>
    <w:rsid w:val="00327B78"/>
    <w:pPr>
      <w:ind w:left="720"/>
      <w:contextualSpacing/>
    </w:pPr>
  </w:style>
  <w:style w:type="character" w:customStyle="1" w:styleId="SangradetextonormalCar">
    <w:name w:val="Sangría de texto normal Car"/>
    <w:basedOn w:val="Fuentedeprrafopredeter"/>
    <w:link w:val="Sangradetextonormal"/>
    <w:rsid w:val="004877B2"/>
    <w:rPr>
      <w:sz w:val="24"/>
      <w:szCs w:val="24"/>
    </w:rPr>
  </w:style>
  <w:style w:type="character" w:styleId="Refdecomentario">
    <w:name w:val="annotation reference"/>
    <w:basedOn w:val="Fuentedeprrafopredeter"/>
    <w:semiHidden/>
    <w:unhideWhenUsed/>
    <w:rsid w:val="005E1100"/>
    <w:rPr>
      <w:sz w:val="16"/>
      <w:szCs w:val="16"/>
    </w:rPr>
  </w:style>
  <w:style w:type="paragraph" w:styleId="Textocomentario">
    <w:name w:val="annotation text"/>
    <w:basedOn w:val="Normal"/>
    <w:link w:val="TextocomentarioCar"/>
    <w:semiHidden/>
    <w:unhideWhenUsed/>
    <w:rsid w:val="005E1100"/>
    <w:rPr>
      <w:sz w:val="20"/>
      <w:szCs w:val="20"/>
    </w:rPr>
  </w:style>
  <w:style w:type="character" w:customStyle="1" w:styleId="TextocomentarioCar">
    <w:name w:val="Texto comentario Car"/>
    <w:basedOn w:val="Fuentedeprrafopredeter"/>
    <w:link w:val="Textocomentario"/>
    <w:semiHidden/>
    <w:rsid w:val="005E1100"/>
  </w:style>
  <w:style w:type="paragraph" w:styleId="Asuntodelcomentario">
    <w:name w:val="annotation subject"/>
    <w:basedOn w:val="Textocomentario"/>
    <w:next w:val="Textocomentario"/>
    <w:link w:val="AsuntodelcomentarioCar"/>
    <w:semiHidden/>
    <w:unhideWhenUsed/>
    <w:rsid w:val="005E1100"/>
    <w:rPr>
      <w:b/>
      <w:bCs/>
    </w:rPr>
  </w:style>
  <w:style w:type="character" w:customStyle="1" w:styleId="AsuntodelcomentarioCar">
    <w:name w:val="Asunto del comentario Car"/>
    <w:basedOn w:val="TextocomentarioCar"/>
    <w:link w:val="Asuntodelcomentario"/>
    <w:semiHidden/>
    <w:rsid w:val="005E1100"/>
    <w:rPr>
      <w:b/>
      <w:bCs/>
    </w:rPr>
  </w:style>
  <w:style w:type="paragraph" w:styleId="Textonotapie">
    <w:name w:val="footnote text"/>
    <w:basedOn w:val="Normal"/>
    <w:link w:val="TextonotapieCar"/>
    <w:unhideWhenUsed/>
    <w:rsid w:val="002D0E0E"/>
    <w:rPr>
      <w:sz w:val="20"/>
      <w:szCs w:val="20"/>
    </w:rPr>
  </w:style>
  <w:style w:type="character" w:customStyle="1" w:styleId="TextonotapieCar">
    <w:name w:val="Texto nota pie Car"/>
    <w:basedOn w:val="Fuentedeprrafopredeter"/>
    <w:link w:val="Textonotapie"/>
    <w:rsid w:val="002D0E0E"/>
  </w:style>
  <w:style w:type="character" w:styleId="Refdenotaalpie">
    <w:name w:val="footnote reference"/>
    <w:basedOn w:val="Fuentedeprrafopredeter"/>
    <w:unhideWhenUsed/>
    <w:rsid w:val="002D0E0E"/>
    <w:rPr>
      <w:vertAlign w:val="superscript"/>
    </w:rPr>
  </w:style>
  <w:style w:type="character" w:customStyle="1" w:styleId="UnresolvedMention1">
    <w:name w:val="Unresolved Mention1"/>
    <w:basedOn w:val="Fuentedeprrafopredeter"/>
    <w:uiPriority w:val="99"/>
    <w:semiHidden/>
    <w:unhideWhenUsed/>
    <w:rsid w:val="00FD3E92"/>
    <w:rPr>
      <w:color w:val="605E5C"/>
      <w:shd w:val="clear" w:color="auto" w:fill="E1DFDD"/>
    </w:rPr>
  </w:style>
  <w:style w:type="paragraph" w:styleId="Sinespaciado">
    <w:name w:val="No Spacing"/>
    <w:uiPriority w:val="99"/>
    <w:qFormat/>
    <w:rsid w:val="00B36FD7"/>
    <w:rPr>
      <w:rFonts w:ascii="Calibri" w:hAnsi="Calibri"/>
      <w:sz w:val="22"/>
      <w:szCs w:val="22"/>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1325</Words>
  <Characters>7477</Characters>
  <Application>Microsoft Office Word</Application>
  <DocSecurity>0</DocSecurity>
  <Lines>143</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Rocío Alayón Morell</cp:lastModifiedBy>
  <cp:revision>4</cp:revision>
  <cp:lastPrinted>2022-03-24T15:50:00Z</cp:lastPrinted>
  <dcterms:created xsi:type="dcterms:W3CDTF">2026-04-10T17:08:00Z</dcterms:created>
  <dcterms:modified xsi:type="dcterms:W3CDTF">2026-04-13T13:09:00Z</dcterms:modified>
</cp:coreProperties>
</file>