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4FA907" w14:textId="3EF452CC" w:rsidR="005924B5" w:rsidRPr="005924B5" w:rsidRDefault="005924B5" w:rsidP="005924B5">
      <w:pPr>
        <w:jc w:val="both"/>
        <w:rPr>
          <w:rFonts w:ascii="Book Antiqua" w:hAnsi="Book Antiqua"/>
          <w:b/>
          <w:strike/>
          <w:szCs w:val="24"/>
          <w:lang w:val="es-ES_tradnl"/>
        </w:rPr>
      </w:pPr>
    </w:p>
    <w:p w14:paraId="50B47167" w14:textId="08EA924D" w:rsidR="00FF6BD2" w:rsidRDefault="00C05908" w:rsidP="007223FC">
      <w:pPr>
        <w:jc w:val="center"/>
        <w:rPr>
          <w:rFonts w:ascii="Book Antiqua" w:hAnsi="Book Antiqua"/>
          <w:sz w:val="28"/>
          <w:lang w:val="es-ES_tradnl"/>
        </w:rPr>
      </w:pPr>
      <w:r>
        <w:rPr>
          <w:rFonts w:ascii="Book Antiqua" w:hAnsi="Book Antiqua"/>
          <w:sz w:val="28"/>
          <w:lang w:val="es-ES_tradnl"/>
        </w:rPr>
        <w:t>GOBIERNO</w:t>
      </w:r>
      <w:r w:rsidR="007223FC">
        <w:rPr>
          <w:rFonts w:ascii="Book Antiqua" w:hAnsi="Book Antiqua"/>
          <w:sz w:val="28"/>
          <w:lang w:val="es-ES_tradnl"/>
        </w:rPr>
        <w:t xml:space="preserve"> DE PUERTO RICO</w:t>
      </w:r>
    </w:p>
    <w:p w14:paraId="356F59C8" w14:textId="77777777" w:rsidR="007223FC" w:rsidRPr="001E0D88" w:rsidRDefault="007223FC" w:rsidP="001E0D88">
      <w:pPr>
        <w:jc w:val="center"/>
        <w:rPr>
          <w:rFonts w:ascii="Book Antiqua" w:hAnsi="Book Antiqua"/>
          <w:lang w:val="es-ES_tradnl"/>
        </w:rPr>
      </w:pPr>
    </w:p>
    <w:p w14:paraId="0BD40D93" w14:textId="247BE45B" w:rsidR="007223FC" w:rsidRPr="00DA1EDC" w:rsidRDefault="00DA1EDC" w:rsidP="00DA1EDC">
      <w:pPr>
        <w:pStyle w:val="Title2"/>
        <w:tabs>
          <w:tab w:val="clear" w:pos="648"/>
          <w:tab w:val="clear" w:pos="7776"/>
          <w:tab w:val="clear" w:pos="7848"/>
        </w:tabs>
        <w:rPr>
          <w:rFonts w:ascii="Book Antiqua" w:hAnsi="Book Antiqua"/>
          <w:lang w:val="it-IT"/>
        </w:rPr>
      </w:pPr>
      <w:r w:rsidRPr="00DA1EDC">
        <w:rPr>
          <w:rFonts w:ascii="Book Antiqua" w:hAnsi="Book Antiqua"/>
          <w:lang w:val="it-IT"/>
        </w:rPr>
        <w:t>20ma.</w:t>
      </w:r>
      <w:r w:rsidR="007223FC" w:rsidRPr="00DA1EDC">
        <w:rPr>
          <w:rFonts w:ascii="Book Antiqua" w:hAnsi="Book Antiqua"/>
          <w:lang w:val="it-IT"/>
        </w:rPr>
        <w:tab/>
        <w:t>Asamblea</w:t>
      </w:r>
      <w:r w:rsidR="007223FC" w:rsidRPr="00DA1EDC">
        <w:rPr>
          <w:rFonts w:ascii="Book Antiqua" w:hAnsi="Book Antiqua"/>
          <w:lang w:val="it-IT"/>
        </w:rPr>
        <w:tab/>
      </w:r>
      <w:r>
        <w:rPr>
          <w:rFonts w:ascii="Book Antiqua" w:hAnsi="Book Antiqua"/>
          <w:lang w:val="it-IT"/>
        </w:rPr>
        <w:t xml:space="preserve">                </w:t>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t xml:space="preserve">    3ra.</w:t>
      </w:r>
      <w:r w:rsidR="007223FC" w:rsidRPr="00DA1EDC">
        <w:rPr>
          <w:rFonts w:ascii="Book Antiqua" w:hAnsi="Book Antiqua"/>
          <w:lang w:val="it-IT"/>
        </w:rPr>
        <w:tab/>
        <w:t>Sesión</w:t>
      </w:r>
    </w:p>
    <w:p w14:paraId="6119718E" w14:textId="3FF43001" w:rsidR="007223FC" w:rsidRPr="00DA1EDC" w:rsidRDefault="007223FC" w:rsidP="00DA1EDC">
      <w:pPr>
        <w:pStyle w:val="Title2"/>
        <w:tabs>
          <w:tab w:val="clear" w:pos="648"/>
          <w:tab w:val="clear" w:pos="7776"/>
          <w:tab w:val="clear" w:pos="7848"/>
        </w:tabs>
        <w:rPr>
          <w:rFonts w:ascii="Book Antiqua" w:hAnsi="Book Antiqua"/>
          <w:lang w:val="it-IT"/>
        </w:rPr>
      </w:pPr>
      <w:r w:rsidRPr="00DA1EDC">
        <w:rPr>
          <w:rFonts w:ascii="Book Antiqua" w:hAnsi="Book Antiqua"/>
          <w:lang w:val="it-IT"/>
        </w:rPr>
        <w:tab/>
        <w:t>Legislativa</w:t>
      </w:r>
      <w:r w:rsidRPr="00DA1EDC">
        <w:rPr>
          <w:rFonts w:ascii="Book Antiqua" w:hAnsi="Book Antiqua"/>
          <w:lang w:val="it-IT"/>
        </w:rPr>
        <w:tab/>
      </w:r>
      <w:r w:rsidRPr="00DA1EDC">
        <w:rPr>
          <w:rFonts w:ascii="Book Antiqua" w:hAnsi="Book Antiqua"/>
          <w:lang w:val="it-IT"/>
        </w:rPr>
        <w:tab/>
      </w:r>
      <w:r w:rsidR="00DA1EDC">
        <w:rPr>
          <w:rFonts w:ascii="Book Antiqua" w:hAnsi="Book Antiqua"/>
          <w:lang w:val="it-IT"/>
        </w:rPr>
        <w:t xml:space="preserve">       </w:t>
      </w:r>
      <w:r w:rsidR="00DA1EDC">
        <w:rPr>
          <w:rFonts w:ascii="Book Antiqua" w:hAnsi="Book Antiqua"/>
          <w:lang w:val="it-IT"/>
        </w:rPr>
        <w:tab/>
      </w:r>
      <w:r w:rsidR="00DA1EDC">
        <w:rPr>
          <w:rFonts w:ascii="Book Antiqua" w:hAnsi="Book Antiqua"/>
          <w:lang w:val="it-IT"/>
        </w:rPr>
        <w:tab/>
      </w:r>
      <w:r w:rsidR="00DA1EDC">
        <w:rPr>
          <w:rFonts w:ascii="Book Antiqua" w:hAnsi="Book Antiqua"/>
          <w:lang w:val="it-IT"/>
        </w:rPr>
        <w:tab/>
      </w:r>
      <w:r w:rsidR="00DA1EDC">
        <w:rPr>
          <w:rFonts w:ascii="Book Antiqua" w:hAnsi="Book Antiqua"/>
          <w:lang w:val="it-IT"/>
        </w:rPr>
        <w:tab/>
      </w:r>
      <w:r w:rsidR="00DA1EDC">
        <w:rPr>
          <w:rFonts w:ascii="Book Antiqua" w:hAnsi="Book Antiqua"/>
          <w:lang w:val="it-IT"/>
        </w:rPr>
        <w:tab/>
      </w:r>
      <w:r w:rsidR="00DA1EDC">
        <w:rPr>
          <w:rFonts w:ascii="Book Antiqua" w:hAnsi="Book Antiqua"/>
          <w:lang w:val="it-IT"/>
        </w:rPr>
        <w:tab/>
      </w:r>
      <w:r w:rsidR="00DA1EDC">
        <w:rPr>
          <w:rFonts w:ascii="Book Antiqua" w:hAnsi="Book Antiqua"/>
          <w:lang w:val="it-IT"/>
        </w:rPr>
        <w:tab/>
      </w:r>
      <w:r w:rsidRPr="00DA1EDC">
        <w:rPr>
          <w:rFonts w:ascii="Book Antiqua" w:hAnsi="Book Antiqua"/>
          <w:lang w:val="it-IT"/>
        </w:rPr>
        <w:t>Ordinaria</w:t>
      </w:r>
    </w:p>
    <w:p w14:paraId="2826346C" w14:textId="77777777" w:rsidR="007223FC" w:rsidRPr="00DA1EDC" w:rsidRDefault="007223FC" w:rsidP="001E0D88">
      <w:pPr>
        <w:rPr>
          <w:lang w:val="it-IT"/>
        </w:rPr>
      </w:pPr>
    </w:p>
    <w:p w14:paraId="5CB5D2EC" w14:textId="77777777" w:rsidR="007223FC" w:rsidRDefault="007223FC" w:rsidP="001E0D88">
      <w:pPr>
        <w:jc w:val="center"/>
        <w:rPr>
          <w:rFonts w:ascii="Book Antiqua" w:hAnsi="Book Antiqua"/>
          <w:b/>
          <w:sz w:val="36"/>
          <w:lang w:val="es-ES_tradnl"/>
        </w:rPr>
      </w:pPr>
      <w:r>
        <w:rPr>
          <w:rFonts w:ascii="Book Antiqua" w:hAnsi="Book Antiqua"/>
          <w:b/>
          <w:sz w:val="36"/>
          <w:lang w:val="es-ES_tradnl"/>
        </w:rPr>
        <w:t>CÁMARA DE REPRESENTANTES</w:t>
      </w:r>
    </w:p>
    <w:p w14:paraId="466990B5" w14:textId="77777777" w:rsidR="007223FC" w:rsidRPr="001E0D88" w:rsidRDefault="007223FC" w:rsidP="001E0D88">
      <w:pPr>
        <w:jc w:val="center"/>
        <w:rPr>
          <w:rFonts w:ascii="Book Antiqua" w:hAnsi="Book Antiqua"/>
          <w:b/>
          <w:szCs w:val="24"/>
          <w:lang w:val="es-ES_tradnl"/>
        </w:rPr>
      </w:pPr>
    </w:p>
    <w:p w14:paraId="5AE15BF3" w14:textId="4BB919D3" w:rsidR="007223FC" w:rsidRDefault="007223FC" w:rsidP="001E0D88">
      <w:pPr>
        <w:jc w:val="center"/>
        <w:rPr>
          <w:rFonts w:ascii="Book Antiqua" w:hAnsi="Book Antiqua"/>
          <w:b/>
          <w:sz w:val="52"/>
          <w:lang w:val="es-ES_tradnl"/>
        </w:rPr>
      </w:pPr>
      <w:r>
        <w:rPr>
          <w:rFonts w:ascii="Book Antiqua" w:hAnsi="Book Antiqua"/>
          <w:b/>
          <w:sz w:val="52"/>
          <w:lang w:val="es-ES_tradnl"/>
        </w:rPr>
        <w:t>R. de la C.</w:t>
      </w:r>
      <w:r w:rsidR="00157ADE">
        <w:rPr>
          <w:rFonts w:ascii="Book Antiqua" w:hAnsi="Book Antiqua"/>
          <w:b/>
          <w:sz w:val="52"/>
          <w:lang w:val="es-ES_tradnl"/>
        </w:rPr>
        <w:t xml:space="preserve"> 665</w:t>
      </w:r>
    </w:p>
    <w:p w14:paraId="4FB5DD3D" w14:textId="77777777" w:rsidR="001E0D88" w:rsidRPr="001E0D88" w:rsidRDefault="001E0D88" w:rsidP="001E0D88">
      <w:pPr>
        <w:jc w:val="center"/>
        <w:rPr>
          <w:rFonts w:ascii="Book Antiqua" w:hAnsi="Book Antiqua"/>
          <w:b/>
          <w:szCs w:val="24"/>
          <w:lang w:val="es-ES_tradnl"/>
        </w:rPr>
      </w:pPr>
    </w:p>
    <w:p w14:paraId="12915E35" w14:textId="6C30458A" w:rsidR="007223FC" w:rsidRDefault="00157ADE" w:rsidP="001E0D88">
      <w:pPr>
        <w:jc w:val="center"/>
        <w:rPr>
          <w:rFonts w:ascii="Book Antiqua" w:hAnsi="Book Antiqua"/>
          <w:lang w:val="es-ES_tradnl"/>
        </w:rPr>
      </w:pPr>
      <w:r>
        <w:rPr>
          <w:rFonts w:ascii="Book Antiqua" w:hAnsi="Book Antiqua"/>
          <w:lang w:val="es-ES_tradnl"/>
        </w:rPr>
        <w:t xml:space="preserve">10 </w:t>
      </w:r>
      <w:r w:rsidR="00E03207">
        <w:rPr>
          <w:rFonts w:ascii="Book Antiqua" w:hAnsi="Book Antiqua"/>
          <w:lang w:val="es-ES_tradnl"/>
        </w:rPr>
        <w:t xml:space="preserve">DE </w:t>
      </w:r>
      <w:r w:rsidR="006C660F">
        <w:rPr>
          <w:rFonts w:ascii="Book Antiqua" w:hAnsi="Book Antiqua"/>
          <w:lang w:val="es-ES_tradnl"/>
        </w:rPr>
        <w:t>ABRIL</w:t>
      </w:r>
      <w:r w:rsidR="007223FC">
        <w:rPr>
          <w:rFonts w:ascii="Book Antiqua" w:hAnsi="Book Antiqua"/>
          <w:lang w:val="es-ES_tradnl"/>
        </w:rPr>
        <w:t xml:space="preserve"> </w:t>
      </w:r>
      <w:r w:rsidR="00051F5D">
        <w:rPr>
          <w:rFonts w:ascii="Book Antiqua" w:hAnsi="Book Antiqua"/>
          <w:lang w:val="es-ES_tradnl"/>
        </w:rPr>
        <w:t>DE</w:t>
      </w:r>
      <w:r w:rsidR="007223FC">
        <w:rPr>
          <w:rFonts w:ascii="Book Antiqua" w:hAnsi="Book Antiqua"/>
          <w:lang w:val="es-ES_tradnl"/>
        </w:rPr>
        <w:t xml:space="preserve"> 202</w:t>
      </w:r>
      <w:r w:rsidR="00D861AC">
        <w:rPr>
          <w:rFonts w:ascii="Book Antiqua" w:hAnsi="Book Antiqua"/>
          <w:lang w:val="es-ES_tradnl"/>
        </w:rPr>
        <w:t>6</w:t>
      </w:r>
    </w:p>
    <w:p w14:paraId="21F5BBE3" w14:textId="77777777" w:rsidR="001E0D88" w:rsidRDefault="001E0D88" w:rsidP="001E0D88">
      <w:pPr>
        <w:jc w:val="center"/>
        <w:rPr>
          <w:rFonts w:ascii="Book Antiqua" w:hAnsi="Book Antiqua"/>
          <w:lang w:val="es-ES_tradnl"/>
        </w:rPr>
      </w:pPr>
    </w:p>
    <w:p w14:paraId="6DD7E46D" w14:textId="4854D5E0" w:rsidR="007223FC" w:rsidRDefault="007223FC" w:rsidP="001E0D88">
      <w:pPr>
        <w:jc w:val="center"/>
        <w:rPr>
          <w:rFonts w:ascii="Book Antiqua" w:hAnsi="Book Antiqua"/>
          <w:i/>
          <w:lang w:val="es-ES_tradnl"/>
        </w:rPr>
      </w:pPr>
      <w:r>
        <w:rPr>
          <w:rFonts w:ascii="Book Antiqua" w:hAnsi="Book Antiqua"/>
          <w:lang w:val="es-ES_tradnl"/>
        </w:rPr>
        <w:t xml:space="preserve">Presentada por </w:t>
      </w:r>
      <w:r w:rsidR="009370A2" w:rsidRPr="00262BA2">
        <w:rPr>
          <w:rFonts w:ascii="Book Antiqua" w:hAnsi="Book Antiqua"/>
          <w:lang w:val="es-ES"/>
        </w:rPr>
        <w:t>l</w:t>
      </w:r>
      <w:r w:rsidR="00C64BCD">
        <w:rPr>
          <w:rFonts w:ascii="Book Antiqua" w:hAnsi="Book Antiqua"/>
          <w:lang w:val="es-ES"/>
        </w:rPr>
        <w:t>a</w:t>
      </w:r>
      <w:r w:rsidR="009370A2" w:rsidRPr="00262BA2">
        <w:rPr>
          <w:rFonts w:ascii="Book Antiqua" w:hAnsi="Book Antiqua"/>
          <w:lang w:val="es-ES"/>
        </w:rPr>
        <w:t xml:space="preserve"> representante</w:t>
      </w:r>
      <w:r w:rsidR="009370A2" w:rsidRPr="00262BA2">
        <w:rPr>
          <w:rFonts w:ascii="Book Antiqua" w:hAnsi="Book Antiqua"/>
          <w:i/>
          <w:lang w:val="es-ES"/>
        </w:rPr>
        <w:t xml:space="preserve"> Gutiérrez Col</w:t>
      </w:r>
      <w:r w:rsidR="00DA1EDC">
        <w:rPr>
          <w:rFonts w:ascii="Book Antiqua" w:hAnsi="Book Antiqua"/>
          <w:i/>
          <w:lang w:val="es-ES"/>
        </w:rPr>
        <w:t>ó</w:t>
      </w:r>
      <w:r w:rsidR="009370A2" w:rsidRPr="00262BA2">
        <w:rPr>
          <w:rFonts w:ascii="Book Antiqua" w:hAnsi="Book Antiqua"/>
          <w:i/>
          <w:lang w:val="es-ES"/>
        </w:rPr>
        <w:t xml:space="preserve">n </w:t>
      </w:r>
    </w:p>
    <w:p w14:paraId="6B41298E" w14:textId="77777777" w:rsidR="001E0D88" w:rsidRDefault="001E0D88" w:rsidP="001E0D88">
      <w:pPr>
        <w:jc w:val="center"/>
        <w:rPr>
          <w:rFonts w:ascii="Book Antiqua" w:hAnsi="Book Antiqua"/>
          <w:lang w:val="es-ES_tradnl"/>
        </w:rPr>
      </w:pPr>
    </w:p>
    <w:p w14:paraId="0E632D40" w14:textId="04619F8E" w:rsidR="007223FC" w:rsidRDefault="007223FC" w:rsidP="001E0D88">
      <w:pPr>
        <w:jc w:val="center"/>
        <w:rPr>
          <w:rFonts w:ascii="Book Antiqua" w:hAnsi="Book Antiqua"/>
          <w:lang w:val="es-ES_tradnl"/>
        </w:rPr>
      </w:pPr>
      <w:r>
        <w:rPr>
          <w:rFonts w:ascii="Book Antiqua" w:hAnsi="Book Antiqua"/>
          <w:lang w:val="es-ES_tradnl"/>
        </w:rPr>
        <w:t xml:space="preserve">Referida a </w:t>
      </w:r>
      <w:r w:rsidR="00DA1EDC">
        <w:rPr>
          <w:rFonts w:ascii="Book Antiqua" w:hAnsi="Book Antiqua"/>
          <w:lang w:val="es-ES_tradnl"/>
        </w:rPr>
        <w:t>la Comisión de Asuntos Internos</w:t>
      </w:r>
    </w:p>
    <w:p w14:paraId="0DCBA946" w14:textId="77777777" w:rsidR="007223FC" w:rsidRDefault="007223FC" w:rsidP="001E0D88">
      <w:pPr>
        <w:jc w:val="both"/>
        <w:rPr>
          <w:rFonts w:ascii="Book Antiqua" w:hAnsi="Book Antiqua"/>
          <w:lang w:val="es-ES_tradnl"/>
        </w:rPr>
      </w:pPr>
    </w:p>
    <w:p w14:paraId="59299EAC" w14:textId="77777777" w:rsidR="007223FC" w:rsidRDefault="007223FC" w:rsidP="001E0D88">
      <w:pPr>
        <w:jc w:val="center"/>
        <w:rPr>
          <w:rFonts w:ascii="Book Antiqua" w:hAnsi="Book Antiqua"/>
          <w:b/>
          <w:sz w:val="28"/>
          <w:lang w:val="es-ES_tradnl"/>
        </w:rPr>
      </w:pPr>
      <w:r>
        <w:rPr>
          <w:rFonts w:ascii="Book Antiqua" w:hAnsi="Book Antiqua"/>
          <w:b/>
          <w:sz w:val="28"/>
          <w:lang w:val="es-ES_tradnl"/>
        </w:rPr>
        <w:t>RESOLUCIÓN</w:t>
      </w:r>
    </w:p>
    <w:p w14:paraId="2CB907D3" w14:textId="77777777" w:rsidR="007223FC" w:rsidRDefault="007223FC" w:rsidP="001E0D88">
      <w:pPr>
        <w:jc w:val="both"/>
        <w:rPr>
          <w:rFonts w:ascii="Book Antiqua" w:hAnsi="Book Antiqua"/>
          <w:lang w:val="es-ES_tradnl"/>
        </w:rPr>
      </w:pPr>
    </w:p>
    <w:p w14:paraId="516DED3D" w14:textId="517A300B" w:rsidR="007223FC" w:rsidRPr="00ED1E2F" w:rsidRDefault="007223FC" w:rsidP="00DA1EDC">
      <w:pPr>
        <w:ind w:left="720" w:hanging="720"/>
        <w:jc w:val="both"/>
        <w:rPr>
          <w:rFonts w:ascii="Book Antiqua" w:hAnsi="Book Antiqua"/>
          <w:lang w:val="es-ES_tradnl"/>
        </w:rPr>
      </w:pPr>
      <w:r w:rsidRPr="00ED1E2F">
        <w:rPr>
          <w:rFonts w:ascii="Book Antiqua" w:hAnsi="Book Antiqua"/>
          <w:lang w:val="es-ES_tradnl"/>
        </w:rPr>
        <w:t xml:space="preserve">Para </w:t>
      </w:r>
      <w:r w:rsidR="00DE3AA9" w:rsidRPr="00DE3AA9">
        <w:rPr>
          <w:rFonts w:ascii="Book Antiqua" w:hAnsi="Book Antiqua"/>
          <w:lang w:val="es-ES_tradnl"/>
        </w:rPr>
        <w:t>ordenar a la Comisión de Recursos Naturales de la Cámara de Representantes de Puerto Rico</w:t>
      </w:r>
      <w:r w:rsidR="00A47496">
        <w:rPr>
          <w:rFonts w:ascii="Book Antiqua" w:hAnsi="Book Antiqua"/>
          <w:lang w:val="es-ES_tradnl"/>
        </w:rPr>
        <w:t xml:space="preserve"> a</w:t>
      </w:r>
      <w:r w:rsidR="00DE3AA9" w:rsidRPr="00DE3AA9">
        <w:rPr>
          <w:rFonts w:ascii="Book Antiqua" w:hAnsi="Book Antiqua"/>
          <w:lang w:val="es-ES_tradnl"/>
        </w:rPr>
        <w:t xml:space="preserve"> realizar una investigación exhaustiva sobre los señalamientos públicos </w:t>
      </w:r>
      <w:r w:rsidR="00A47496" w:rsidRPr="00A65FCF">
        <w:rPr>
          <w:rFonts w:ascii="Book Antiqua" w:hAnsi="Book Antiqua"/>
          <w:lang w:val="es-ES_tradnl"/>
        </w:rPr>
        <w:t>relacionad</w:t>
      </w:r>
      <w:r w:rsidR="00A47496">
        <w:rPr>
          <w:rFonts w:ascii="Book Antiqua" w:hAnsi="Book Antiqua"/>
          <w:lang w:val="es-ES_tradnl"/>
        </w:rPr>
        <w:t>o</w:t>
      </w:r>
      <w:r w:rsidR="00A47496" w:rsidRPr="00A65FCF">
        <w:rPr>
          <w:rFonts w:ascii="Book Antiqua" w:hAnsi="Book Antiqua"/>
          <w:lang w:val="es-ES_tradnl"/>
        </w:rPr>
        <w:t>s con actividades en fincas aledañas al Lago La Plata en el municipio de Toa Alta</w:t>
      </w:r>
      <w:r w:rsidR="00DE3AA9" w:rsidRPr="00DE3AA9">
        <w:rPr>
          <w:rFonts w:ascii="Book Antiqua" w:hAnsi="Book Antiqua"/>
          <w:lang w:val="es-ES_tradnl"/>
        </w:rPr>
        <w:t>; evaluar posibles actividades de extracción de materiales de la corteza terrestre, el cumplimiento con la reglamentación vigente, así como el impacto potencial sobre la sedimentación del embalse; y para otros fines relacionados.</w:t>
      </w:r>
    </w:p>
    <w:p w14:paraId="7309ED66" w14:textId="77777777" w:rsidR="00ED1E2F" w:rsidRDefault="00ED1E2F" w:rsidP="001E0D88">
      <w:pPr>
        <w:ind w:left="360" w:hanging="360"/>
        <w:jc w:val="both"/>
        <w:rPr>
          <w:rFonts w:ascii="Book Antiqua" w:hAnsi="Book Antiqua"/>
          <w:lang w:val="es-ES_tradnl"/>
        </w:rPr>
      </w:pPr>
    </w:p>
    <w:p w14:paraId="013310DC" w14:textId="68895503" w:rsidR="007223FC" w:rsidRDefault="007223FC" w:rsidP="001E0D88">
      <w:pPr>
        <w:ind w:firstLine="360"/>
        <w:jc w:val="center"/>
        <w:rPr>
          <w:rFonts w:ascii="Book Antiqua" w:hAnsi="Book Antiqua"/>
          <w:lang w:val="es-ES_tradnl"/>
        </w:rPr>
      </w:pPr>
      <w:r>
        <w:rPr>
          <w:rFonts w:ascii="Book Antiqua" w:hAnsi="Book Antiqua"/>
          <w:lang w:val="es-ES_tradnl"/>
        </w:rPr>
        <w:t>EXPOSICIÓN DE MOTIVOS</w:t>
      </w:r>
    </w:p>
    <w:p w14:paraId="778F39FD" w14:textId="77777777" w:rsidR="00ED1E2F" w:rsidRDefault="00ED1E2F" w:rsidP="001E0D88">
      <w:pPr>
        <w:ind w:firstLine="360"/>
        <w:jc w:val="center"/>
        <w:rPr>
          <w:rFonts w:ascii="Book Antiqua" w:hAnsi="Book Antiqua"/>
          <w:lang w:val="es-ES_tradnl"/>
        </w:rPr>
      </w:pPr>
    </w:p>
    <w:p w14:paraId="2CA777FB" w14:textId="77777777" w:rsidR="00A65FCF" w:rsidRPr="00A65FCF" w:rsidRDefault="00160CBC" w:rsidP="00A65FCF">
      <w:pPr>
        <w:ind w:firstLine="360"/>
        <w:jc w:val="both"/>
        <w:rPr>
          <w:rFonts w:ascii="Book Antiqua" w:hAnsi="Book Antiqua"/>
          <w:lang w:val="es-PR"/>
        </w:rPr>
      </w:pPr>
      <w:r>
        <w:rPr>
          <w:rFonts w:ascii="Book Antiqua" w:hAnsi="Book Antiqua"/>
          <w:lang w:val="es-PR"/>
        </w:rPr>
        <w:t xml:space="preserve"> </w:t>
      </w:r>
      <w:r w:rsidR="00A65FCF" w:rsidRPr="00A65FCF">
        <w:rPr>
          <w:rFonts w:ascii="Book Antiqua" w:hAnsi="Book Antiqua"/>
          <w:lang w:val="es-PR"/>
        </w:rPr>
        <w:t>El Lago La Plata constituye una infraestructura crítica para el abasto de agua potable en Puerto Rico, particularmente para la región metropolitana. Estudios científicos han documentado de forma consistente la reducción en la capacidad de almacenamiento del embalse como consecuencia de procesos de sedimentación acumulativa.</w:t>
      </w:r>
    </w:p>
    <w:p w14:paraId="2FB2A0CA" w14:textId="77777777" w:rsidR="00A65FCF" w:rsidRPr="00A65FCF" w:rsidRDefault="00A65FCF" w:rsidP="00A65FCF">
      <w:pPr>
        <w:ind w:firstLine="360"/>
        <w:jc w:val="both"/>
        <w:rPr>
          <w:rFonts w:ascii="Book Antiqua" w:hAnsi="Book Antiqua"/>
          <w:lang w:val="es-PR"/>
        </w:rPr>
      </w:pPr>
    </w:p>
    <w:p w14:paraId="72CF3F98" w14:textId="77777777" w:rsidR="00A65FCF" w:rsidRPr="00A65FCF" w:rsidRDefault="00A65FCF" w:rsidP="00A65FCF">
      <w:pPr>
        <w:ind w:firstLine="360"/>
        <w:jc w:val="both"/>
        <w:rPr>
          <w:rFonts w:ascii="Book Antiqua" w:hAnsi="Book Antiqua"/>
          <w:lang w:val="es-PR"/>
        </w:rPr>
      </w:pPr>
      <w:r w:rsidRPr="00A65FCF">
        <w:rPr>
          <w:rFonts w:ascii="Book Antiqua" w:hAnsi="Book Antiqua"/>
          <w:lang w:val="es-PR"/>
        </w:rPr>
        <w:t>Dicha sedimentación responde, en gran medida, a la erosión de terrenos dentro de la cuenca hidrográfica del río La Plata, fenómeno que puede intensificarse como resultado de actividades humanas tales como la remoción de terreno, la deforestación y la extracción de materiales de la corteza terrestre sin las debidas medidas de mitigación ambiental.</w:t>
      </w:r>
    </w:p>
    <w:p w14:paraId="13C79EBC" w14:textId="77777777" w:rsidR="00A65FCF" w:rsidRPr="00A65FCF" w:rsidRDefault="00A65FCF" w:rsidP="00A65FCF">
      <w:pPr>
        <w:ind w:firstLine="360"/>
        <w:jc w:val="both"/>
        <w:rPr>
          <w:rFonts w:ascii="Book Antiqua" w:hAnsi="Book Antiqua"/>
          <w:lang w:val="es-PR"/>
        </w:rPr>
      </w:pPr>
    </w:p>
    <w:p w14:paraId="6C215727" w14:textId="77777777" w:rsidR="00A65FCF" w:rsidRPr="00A65FCF" w:rsidRDefault="00A65FCF" w:rsidP="00A65FCF">
      <w:pPr>
        <w:ind w:firstLine="360"/>
        <w:jc w:val="both"/>
        <w:rPr>
          <w:rFonts w:ascii="Book Antiqua" w:hAnsi="Book Antiqua"/>
          <w:lang w:val="es-PR"/>
        </w:rPr>
      </w:pPr>
      <w:r w:rsidRPr="00A65FCF">
        <w:rPr>
          <w:rFonts w:ascii="Book Antiqua" w:hAnsi="Book Antiqua"/>
          <w:lang w:val="es-PR"/>
        </w:rPr>
        <w:t xml:space="preserve">En fechas recientes han surgido denuncias públicas provenientes de comunidades y residentes del barrio Ortiz en el municipio de Toa Alta, así como reportajes de medios de </w:t>
      </w:r>
      <w:r w:rsidRPr="00A65FCF">
        <w:rPr>
          <w:rFonts w:ascii="Book Antiqua" w:hAnsi="Book Antiqua"/>
          <w:lang w:val="es-PR"/>
        </w:rPr>
        <w:lastRenderedPageBreak/>
        <w:t>información, en las que se alega la realización de trabajos de movimiento de terreno y extracción de materiales en fincas colindantes al embalse. Dichas denuncias plantean que estas actividades podrían estar contribuyendo al aumento de la sedimentación del lago, lo cual representa un riesgo significativo para la sostenibilidad del recurso hídrico del País.</w:t>
      </w:r>
    </w:p>
    <w:p w14:paraId="56197099" w14:textId="77777777" w:rsidR="00A65FCF" w:rsidRPr="00A65FCF" w:rsidRDefault="00A65FCF" w:rsidP="00A65FCF">
      <w:pPr>
        <w:ind w:firstLine="360"/>
        <w:jc w:val="both"/>
        <w:rPr>
          <w:rFonts w:ascii="Book Antiqua" w:hAnsi="Book Antiqua"/>
          <w:lang w:val="es-PR"/>
        </w:rPr>
      </w:pPr>
    </w:p>
    <w:p w14:paraId="29017A1F" w14:textId="77777777" w:rsidR="00A65FCF" w:rsidRPr="00A65FCF" w:rsidRDefault="00A65FCF" w:rsidP="00A65FCF">
      <w:pPr>
        <w:ind w:firstLine="360"/>
        <w:jc w:val="both"/>
        <w:rPr>
          <w:rFonts w:ascii="Book Antiqua" w:hAnsi="Book Antiqua"/>
          <w:lang w:val="es-PR"/>
        </w:rPr>
      </w:pPr>
      <w:r w:rsidRPr="00A65FCF">
        <w:rPr>
          <w:rFonts w:ascii="Book Antiqua" w:hAnsi="Book Antiqua"/>
          <w:lang w:val="es-PR"/>
        </w:rPr>
        <w:t>Asimismo, se ha señalado la posible expedición de permisos de extracción de corteza terrestre por parte del Departamento de Recursos Naturales y Ambientales (DRNA), incluyendo solicitudes de permisos simples que, conforme a la reglamentación vigente, establecen límites específicos en cuanto al volumen de material que puede ser removido. Se ha cuestionado públicamente si las actividades realizadas cumplen con dichos límites y con los requisitos legales aplicables.</w:t>
      </w:r>
    </w:p>
    <w:p w14:paraId="38B6B740" w14:textId="77777777" w:rsidR="00A65FCF" w:rsidRPr="00A65FCF" w:rsidRDefault="00A65FCF" w:rsidP="00A65FCF">
      <w:pPr>
        <w:ind w:firstLine="360"/>
        <w:jc w:val="both"/>
        <w:rPr>
          <w:rFonts w:ascii="Book Antiqua" w:hAnsi="Book Antiqua"/>
          <w:lang w:val="es-PR"/>
        </w:rPr>
      </w:pPr>
    </w:p>
    <w:p w14:paraId="54A0F0BC" w14:textId="77777777" w:rsidR="00A65FCF" w:rsidRPr="00A65FCF" w:rsidRDefault="00A65FCF" w:rsidP="00A65FCF">
      <w:pPr>
        <w:ind w:firstLine="360"/>
        <w:jc w:val="both"/>
        <w:rPr>
          <w:rFonts w:ascii="Book Antiqua" w:hAnsi="Book Antiqua"/>
          <w:lang w:val="es-PR"/>
        </w:rPr>
      </w:pPr>
      <w:r w:rsidRPr="00A65FCF">
        <w:rPr>
          <w:rFonts w:ascii="Book Antiqua" w:hAnsi="Book Antiqua"/>
          <w:lang w:val="es-PR"/>
        </w:rPr>
        <w:t xml:space="preserve">De igual forma, información difundida públicamente vincula a la entidad corporativa Golden Lake View Villas LLC con la adquisición de varias fincas en el área, así como la participación de personas naturales en la administración o representación de dicha entidad. </w:t>
      </w:r>
    </w:p>
    <w:p w14:paraId="3D403802" w14:textId="77777777" w:rsidR="00A65FCF" w:rsidRPr="00A65FCF" w:rsidRDefault="00A65FCF" w:rsidP="00A65FCF">
      <w:pPr>
        <w:ind w:firstLine="360"/>
        <w:jc w:val="both"/>
        <w:rPr>
          <w:rFonts w:ascii="Book Antiqua" w:hAnsi="Book Antiqua"/>
          <w:lang w:val="es-PR"/>
        </w:rPr>
      </w:pPr>
    </w:p>
    <w:p w14:paraId="63B18B27" w14:textId="14F656CC" w:rsidR="00A65FCF" w:rsidRPr="00A65FCF" w:rsidRDefault="007805C4" w:rsidP="00A65FCF">
      <w:pPr>
        <w:ind w:firstLine="360"/>
        <w:jc w:val="both"/>
        <w:rPr>
          <w:rFonts w:ascii="Book Antiqua" w:hAnsi="Book Antiqua"/>
          <w:lang w:val="es-PR"/>
        </w:rPr>
      </w:pPr>
      <w:r>
        <w:rPr>
          <w:rFonts w:ascii="Book Antiqua" w:hAnsi="Book Antiqua"/>
          <w:lang w:val="es-PR"/>
        </w:rPr>
        <w:t>Debido a</w:t>
      </w:r>
      <w:r w:rsidR="00A65FCF" w:rsidRPr="00A65FCF">
        <w:rPr>
          <w:rFonts w:ascii="Book Antiqua" w:hAnsi="Book Antiqua"/>
          <w:lang w:val="es-PR"/>
        </w:rPr>
        <w:t xml:space="preserve"> la importancia estratégica del Lago La Plata</w:t>
      </w:r>
      <w:r>
        <w:rPr>
          <w:rFonts w:ascii="Book Antiqua" w:hAnsi="Book Antiqua"/>
          <w:lang w:val="es-PR"/>
        </w:rPr>
        <w:t xml:space="preserve"> y, </w:t>
      </w:r>
      <w:r w:rsidRPr="00A65FCF">
        <w:rPr>
          <w:rFonts w:ascii="Book Antiqua" w:hAnsi="Book Antiqua"/>
          <w:lang w:val="es-PR"/>
        </w:rPr>
        <w:t>ante la naturaleza de las denuncias</w:t>
      </w:r>
      <w:r w:rsidR="00A65FCF" w:rsidRPr="00A65FCF">
        <w:rPr>
          <w:rFonts w:ascii="Book Antiqua" w:hAnsi="Book Antiqua"/>
          <w:lang w:val="es-PR"/>
        </w:rPr>
        <w:t xml:space="preserve">, </w:t>
      </w:r>
      <w:r>
        <w:rPr>
          <w:rFonts w:ascii="Book Antiqua" w:hAnsi="Book Antiqua"/>
          <w:lang w:val="es-PR"/>
        </w:rPr>
        <w:t xml:space="preserve">es imperativo </w:t>
      </w:r>
      <w:r w:rsidR="00A65FCF" w:rsidRPr="00A65FCF">
        <w:rPr>
          <w:rFonts w:ascii="Book Antiqua" w:hAnsi="Book Antiqua"/>
          <w:lang w:val="es-PR"/>
        </w:rPr>
        <w:t xml:space="preserve">una evaluación rigurosa por parte de esta </w:t>
      </w:r>
      <w:r>
        <w:rPr>
          <w:rFonts w:ascii="Book Antiqua" w:hAnsi="Book Antiqua"/>
          <w:lang w:val="es-PR"/>
        </w:rPr>
        <w:t>Cámara de Representantes</w:t>
      </w:r>
      <w:r w:rsidR="00A65FCF" w:rsidRPr="00A65FCF">
        <w:rPr>
          <w:rFonts w:ascii="Book Antiqua" w:hAnsi="Book Antiqua"/>
          <w:lang w:val="es-PR"/>
        </w:rPr>
        <w:t xml:space="preserve"> en el ejercicio de su función fiscalizadora</w:t>
      </w:r>
      <w:r>
        <w:rPr>
          <w:rFonts w:ascii="Book Antiqua" w:hAnsi="Book Antiqua"/>
          <w:lang w:val="es-PR"/>
        </w:rPr>
        <w:t>, que arroje luz sobre dichos señalamientos</w:t>
      </w:r>
      <w:r w:rsidR="00A65FCF" w:rsidRPr="00A65FCF">
        <w:rPr>
          <w:rFonts w:ascii="Book Antiqua" w:hAnsi="Book Antiqua"/>
          <w:lang w:val="es-PR"/>
        </w:rPr>
        <w:t>.</w:t>
      </w:r>
    </w:p>
    <w:p w14:paraId="2D343C9F" w14:textId="77777777" w:rsidR="00A65FCF" w:rsidRPr="00A65FCF" w:rsidRDefault="00A65FCF" w:rsidP="00A65FCF">
      <w:pPr>
        <w:ind w:firstLine="360"/>
        <w:jc w:val="both"/>
        <w:rPr>
          <w:rFonts w:ascii="Book Antiqua" w:hAnsi="Book Antiqua"/>
          <w:lang w:val="es-PR"/>
        </w:rPr>
      </w:pPr>
    </w:p>
    <w:p w14:paraId="0D6C7C2D" w14:textId="4806775A" w:rsidR="007F03E4" w:rsidRPr="008629FB" w:rsidRDefault="00A65FCF" w:rsidP="00A65FCF">
      <w:pPr>
        <w:ind w:firstLine="360"/>
        <w:jc w:val="both"/>
        <w:rPr>
          <w:rFonts w:ascii="Book Antiqua" w:hAnsi="Book Antiqua"/>
          <w:lang w:val="es-PR"/>
        </w:rPr>
      </w:pPr>
      <w:r w:rsidRPr="00A65FCF">
        <w:rPr>
          <w:rFonts w:ascii="Book Antiqua" w:hAnsi="Book Antiqua"/>
          <w:lang w:val="es-PR"/>
        </w:rPr>
        <w:t>Por todo lo anterior, esta Cámara de Representantes entiende necesario ordenar una investigación formal que permita esclarecer los hechos, determinar responsabilidades, evaluar la actuación de las agencias concernidas y considerar la adopción de medidas legislativas o administrativas adicionales para la protección de los recursos naturales del País.</w:t>
      </w:r>
      <w:r w:rsidR="007F03E4">
        <w:rPr>
          <w:rFonts w:ascii="Book Antiqua" w:hAnsi="Book Antiqua"/>
          <w:lang w:val="es-PR"/>
        </w:rPr>
        <w:t xml:space="preserve"> </w:t>
      </w:r>
    </w:p>
    <w:p w14:paraId="49F49AD7" w14:textId="77777777" w:rsidR="008629FB" w:rsidRPr="00ED1E2F" w:rsidRDefault="008629FB" w:rsidP="001E0D88">
      <w:pPr>
        <w:ind w:firstLine="360"/>
        <w:jc w:val="both"/>
        <w:rPr>
          <w:rFonts w:ascii="Book Antiqua" w:hAnsi="Book Antiqua"/>
          <w:lang w:val="es-ES_tradnl"/>
        </w:rPr>
      </w:pPr>
    </w:p>
    <w:p w14:paraId="6402879F" w14:textId="77777777" w:rsidR="007223FC" w:rsidRDefault="007223FC" w:rsidP="001E0D88">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5019BC59" w14:textId="77777777" w:rsidR="007223FC" w:rsidRDefault="007223FC" w:rsidP="007223FC">
      <w:pPr>
        <w:spacing w:line="480" w:lineRule="auto"/>
        <w:jc w:val="both"/>
        <w:rPr>
          <w:rFonts w:ascii="Book Antiqua" w:hAnsi="Book Antiqua"/>
          <w:lang w:val="es-ES_tradnl"/>
        </w:rPr>
        <w:sectPr w:rsidR="007223FC">
          <w:headerReference w:type="default" r:id="rId8"/>
          <w:type w:val="continuous"/>
          <w:pgSz w:w="12240" w:h="15840" w:code="1"/>
          <w:pgMar w:top="1440" w:right="1440" w:bottom="1440" w:left="1440" w:header="720" w:footer="720" w:gutter="0"/>
          <w:cols w:space="720"/>
          <w:titlePg/>
        </w:sectPr>
      </w:pPr>
    </w:p>
    <w:p w14:paraId="3B403CD2" w14:textId="5A991DBC" w:rsidR="00A65FCF" w:rsidRPr="00A65FCF" w:rsidRDefault="00A65FCF" w:rsidP="00A65FCF">
      <w:pPr>
        <w:spacing w:line="480" w:lineRule="auto"/>
        <w:ind w:firstLine="720"/>
        <w:jc w:val="both"/>
        <w:rPr>
          <w:rFonts w:ascii="Book Antiqua" w:hAnsi="Book Antiqua"/>
          <w:lang w:val="es-ES_tradnl"/>
        </w:rPr>
      </w:pPr>
      <w:r w:rsidRPr="00A65FCF">
        <w:rPr>
          <w:rFonts w:ascii="Book Antiqua" w:hAnsi="Book Antiqua"/>
          <w:lang w:val="es-ES_tradnl"/>
        </w:rPr>
        <w:t>Sección 1.</w:t>
      </w:r>
      <w:r w:rsidR="00126273">
        <w:rPr>
          <w:rFonts w:ascii="Book Antiqua" w:hAnsi="Book Antiqua"/>
          <w:lang w:val="es-ES_tradnl"/>
        </w:rPr>
        <w:t xml:space="preserve"> </w:t>
      </w:r>
      <w:r w:rsidRPr="00A65FCF">
        <w:rPr>
          <w:rFonts w:ascii="Book Antiqua" w:hAnsi="Book Antiqua"/>
          <w:lang w:val="es-ES_tradnl"/>
        </w:rPr>
        <w:t xml:space="preserve">- Se ordena a la Comisión de Recursos Naturales de la Cámara de Representantes de Puerto Rico </w:t>
      </w:r>
      <w:r w:rsidR="00A47496">
        <w:rPr>
          <w:rFonts w:ascii="Book Antiqua" w:hAnsi="Book Antiqua"/>
          <w:lang w:val="es-ES_tradnl"/>
        </w:rPr>
        <w:t xml:space="preserve">a </w:t>
      </w:r>
      <w:r w:rsidRPr="00A65FCF">
        <w:rPr>
          <w:rFonts w:ascii="Book Antiqua" w:hAnsi="Book Antiqua"/>
          <w:lang w:val="es-ES_tradnl"/>
        </w:rPr>
        <w:t>realizar una investigación exhaustiva sobre l</w:t>
      </w:r>
      <w:r w:rsidR="00A47496">
        <w:rPr>
          <w:rFonts w:ascii="Book Antiqua" w:hAnsi="Book Antiqua"/>
          <w:lang w:val="es-ES_tradnl"/>
        </w:rPr>
        <w:t>o</w:t>
      </w:r>
      <w:r w:rsidRPr="00A65FCF">
        <w:rPr>
          <w:rFonts w:ascii="Book Antiqua" w:hAnsi="Book Antiqua"/>
          <w:lang w:val="es-ES_tradnl"/>
        </w:rPr>
        <w:t xml:space="preserve">s </w:t>
      </w:r>
      <w:r w:rsidR="00A47496">
        <w:rPr>
          <w:rFonts w:ascii="Book Antiqua" w:hAnsi="Book Antiqua"/>
          <w:lang w:val="es-ES_tradnl"/>
        </w:rPr>
        <w:t>señalamiento</w:t>
      </w:r>
      <w:r w:rsidRPr="00A65FCF">
        <w:rPr>
          <w:rFonts w:ascii="Book Antiqua" w:hAnsi="Book Antiqua"/>
          <w:lang w:val="es-ES_tradnl"/>
        </w:rPr>
        <w:t>s públic</w:t>
      </w:r>
      <w:r w:rsidR="00A47496">
        <w:rPr>
          <w:rFonts w:ascii="Book Antiqua" w:hAnsi="Book Antiqua"/>
          <w:lang w:val="es-ES_tradnl"/>
        </w:rPr>
        <w:t>o</w:t>
      </w:r>
      <w:r w:rsidRPr="00A65FCF">
        <w:rPr>
          <w:rFonts w:ascii="Book Antiqua" w:hAnsi="Book Antiqua"/>
          <w:lang w:val="es-ES_tradnl"/>
        </w:rPr>
        <w:t>s relacionad</w:t>
      </w:r>
      <w:r w:rsidR="00A47496">
        <w:rPr>
          <w:rFonts w:ascii="Book Antiqua" w:hAnsi="Book Antiqua"/>
          <w:lang w:val="es-ES_tradnl"/>
        </w:rPr>
        <w:t>o</w:t>
      </w:r>
      <w:r w:rsidRPr="00A65FCF">
        <w:rPr>
          <w:rFonts w:ascii="Book Antiqua" w:hAnsi="Book Antiqua"/>
          <w:lang w:val="es-ES_tradnl"/>
        </w:rPr>
        <w:t>s con actividades en fincas aledañas al Lago La Plata en el municipio de Toa Alta</w:t>
      </w:r>
      <w:r w:rsidR="00E3299F" w:rsidRPr="00DE3AA9">
        <w:rPr>
          <w:rFonts w:ascii="Book Antiqua" w:hAnsi="Book Antiqua"/>
          <w:lang w:val="es-ES_tradnl"/>
        </w:rPr>
        <w:t>; evaluar posibles actividades de extracción de materiales de la corteza terrestre, el cumplimiento con la reglamentación vigente, así como el impacto potencial sobre la sedimentación del embalse</w:t>
      </w:r>
      <w:r w:rsidR="00E3299F">
        <w:rPr>
          <w:rFonts w:ascii="Book Antiqua" w:hAnsi="Book Antiqua"/>
          <w:lang w:val="es-ES_tradnl"/>
        </w:rPr>
        <w:t>.</w:t>
      </w:r>
    </w:p>
    <w:p w14:paraId="4104CCD6" w14:textId="77777777" w:rsidR="00A65FCF" w:rsidRPr="00A65FCF" w:rsidRDefault="00A65FCF" w:rsidP="00A65FCF">
      <w:pPr>
        <w:pStyle w:val="Prrafodelista"/>
        <w:spacing w:line="480" w:lineRule="auto"/>
        <w:ind w:left="0" w:firstLine="720"/>
        <w:jc w:val="both"/>
        <w:rPr>
          <w:rFonts w:ascii="Book Antiqua" w:hAnsi="Book Antiqua"/>
          <w:lang w:val="es-ES_tradnl"/>
        </w:rPr>
      </w:pPr>
      <w:r w:rsidRPr="00A65FCF">
        <w:rPr>
          <w:rFonts w:ascii="Book Antiqua" w:hAnsi="Book Antiqua"/>
          <w:lang w:val="es-ES_tradnl"/>
        </w:rPr>
        <w:lastRenderedPageBreak/>
        <w:t>Sección 2.- La investigación deberá incluir, sin que se entienda como una limitación, lo siguiente:</w:t>
      </w:r>
    </w:p>
    <w:p w14:paraId="71E76317" w14:textId="4824B376" w:rsidR="00A65FCF" w:rsidRPr="00A65FCF" w:rsidRDefault="00A65FCF" w:rsidP="00126273">
      <w:pPr>
        <w:pStyle w:val="Prrafodelista"/>
        <w:numPr>
          <w:ilvl w:val="0"/>
          <w:numId w:val="6"/>
        </w:numPr>
        <w:spacing w:line="480" w:lineRule="auto"/>
        <w:ind w:left="1080"/>
        <w:jc w:val="both"/>
        <w:rPr>
          <w:rFonts w:ascii="Book Antiqua" w:hAnsi="Book Antiqua"/>
          <w:lang w:val="es-ES_tradnl"/>
        </w:rPr>
      </w:pPr>
      <w:r w:rsidRPr="00A65FCF">
        <w:rPr>
          <w:rFonts w:ascii="Book Antiqua" w:hAnsi="Book Antiqua"/>
          <w:lang w:val="es-ES_tradnl"/>
        </w:rPr>
        <w:t>La evaluación de toda actividad de extracción, remoción o movimiento de terreno en fincas colindantes al embalse, incluyendo aquellas realizadas al amparo de permisos emitidos por el Departamento de Recursos Naturales y Ambientales;</w:t>
      </w:r>
    </w:p>
    <w:p w14:paraId="54D15A45" w14:textId="5DF4A693" w:rsidR="00A65FCF" w:rsidRPr="00A65FCF" w:rsidRDefault="00A65FCF" w:rsidP="00126273">
      <w:pPr>
        <w:pStyle w:val="Prrafodelista"/>
        <w:numPr>
          <w:ilvl w:val="0"/>
          <w:numId w:val="6"/>
        </w:numPr>
        <w:spacing w:line="480" w:lineRule="auto"/>
        <w:ind w:left="1080"/>
        <w:jc w:val="both"/>
        <w:rPr>
          <w:rFonts w:ascii="Book Antiqua" w:hAnsi="Book Antiqua"/>
          <w:lang w:val="es-ES_tradnl"/>
        </w:rPr>
      </w:pPr>
      <w:r w:rsidRPr="00A65FCF">
        <w:rPr>
          <w:rFonts w:ascii="Book Antiqua" w:hAnsi="Book Antiqua"/>
          <w:lang w:val="es-ES_tradnl"/>
        </w:rPr>
        <w:t>El análisis del cumplimiento con las leyes y reglamentos aplicables sobre extracción de corteza terrestre, protección ambiental y uso de terrenos;</w:t>
      </w:r>
    </w:p>
    <w:p w14:paraId="7E80FF13" w14:textId="1F660336" w:rsidR="00A65FCF" w:rsidRPr="00A65FCF" w:rsidRDefault="00A65FCF" w:rsidP="00126273">
      <w:pPr>
        <w:pStyle w:val="Prrafodelista"/>
        <w:numPr>
          <w:ilvl w:val="0"/>
          <w:numId w:val="6"/>
        </w:numPr>
        <w:spacing w:line="480" w:lineRule="auto"/>
        <w:ind w:left="1080"/>
        <w:jc w:val="both"/>
        <w:rPr>
          <w:rFonts w:ascii="Book Antiqua" w:hAnsi="Book Antiqua"/>
          <w:lang w:val="es-ES_tradnl"/>
        </w:rPr>
      </w:pPr>
      <w:r w:rsidRPr="00A65FCF">
        <w:rPr>
          <w:rFonts w:ascii="Book Antiqua" w:hAnsi="Book Antiqua"/>
          <w:lang w:val="es-ES_tradnl"/>
        </w:rPr>
        <w:t>La determinación del impacto potencial o real de dichas actividades sobre los niveles de sedimentación del Lago La Plata;</w:t>
      </w:r>
    </w:p>
    <w:p w14:paraId="35C67F54" w14:textId="6D22BA7E" w:rsidR="00A65FCF" w:rsidRPr="00A65FCF" w:rsidRDefault="00A65FCF" w:rsidP="00126273">
      <w:pPr>
        <w:pStyle w:val="Prrafodelista"/>
        <w:numPr>
          <w:ilvl w:val="0"/>
          <w:numId w:val="6"/>
        </w:numPr>
        <w:spacing w:line="480" w:lineRule="auto"/>
        <w:ind w:left="1080"/>
        <w:jc w:val="both"/>
        <w:rPr>
          <w:rFonts w:ascii="Book Antiqua" w:hAnsi="Book Antiqua"/>
          <w:lang w:val="es-ES_tradnl"/>
        </w:rPr>
      </w:pPr>
      <w:r w:rsidRPr="00A65FCF">
        <w:rPr>
          <w:rFonts w:ascii="Book Antiqua" w:hAnsi="Book Antiqua"/>
          <w:lang w:val="es-ES_tradnl"/>
        </w:rPr>
        <w:t>La revisión de las querellas presentadas ante agencias estatales o federales relacionadas con estos hechos, incluyendo el estado procesal de las mismas;</w:t>
      </w:r>
    </w:p>
    <w:p w14:paraId="1B0F8412" w14:textId="2303EB05" w:rsidR="00A65FCF" w:rsidRPr="00A65FCF" w:rsidRDefault="00A65FCF" w:rsidP="00126273">
      <w:pPr>
        <w:pStyle w:val="Prrafodelista"/>
        <w:numPr>
          <w:ilvl w:val="0"/>
          <w:numId w:val="6"/>
        </w:numPr>
        <w:spacing w:line="480" w:lineRule="auto"/>
        <w:ind w:left="1080"/>
        <w:jc w:val="both"/>
        <w:rPr>
          <w:rFonts w:ascii="Book Antiqua" w:hAnsi="Book Antiqua"/>
          <w:lang w:val="es-ES_tradnl"/>
        </w:rPr>
      </w:pPr>
      <w:r w:rsidRPr="00A65FCF">
        <w:rPr>
          <w:rFonts w:ascii="Book Antiqua" w:hAnsi="Book Antiqua"/>
          <w:lang w:val="es-ES_tradnl"/>
        </w:rPr>
        <w:t>La evaluación de las transacciones de compraventa de las fincas en cuestión, incluyendo aquellas vinculadas a la entidad Golden Lake View Villas LLC;</w:t>
      </w:r>
    </w:p>
    <w:p w14:paraId="3D4A761D" w14:textId="1F732938" w:rsidR="00A65FCF" w:rsidRPr="00A65FCF" w:rsidRDefault="00A65FCF" w:rsidP="00126273">
      <w:pPr>
        <w:pStyle w:val="Prrafodelista"/>
        <w:numPr>
          <w:ilvl w:val="0"/>
          <w:numId w:val="6"/>
        </w:numPr>
        <w:spacing w:line="480" w:lineRule="auto"/>
        <w:ind w:left="1080"/>
        <w:jc w:val="both"/>
        <w:rPr>
          <w:rFonts w:ascii="Book Antiqua" w:hAnsi="Book Antiqua"/>
          <w:lang w:val="es-ES_tradnl"/>
        </w:rPr>
      </w:pPr>
      <w:r w:rsidRPr="00A65FCF">
        <w:rPr>
          <w:rFonts w:ascii="Book Antiqua" w:hAnsi="Book Antiqua"/>
          <w:lang w:val="es-ES_tradnl"/>
        </w:rPr>
        <w:t>La identificación de cualquier persona natural o jurídica con participación en las actividades denunciadas, y cualquier otra figura que surja de la investigación</w:t>
      </w:r>
      <w:r w:rsidR="007805C4">
        <w:rPr>
          <w:rFonts w:ascii="Book Antiqua" w:hAnsi="Book Antiqua"/>
          <w:lang w:val="es-ES_tradnl"/>
        </w:rPr>
        <w:t>.</w:t>
      </w:r>
    </w:p>
    <w:p w14:paraId="45413537" w14:textId="46EED7F1" w:rsidR="00051F5D" w:rsidRPr="00256565" w:rsidRDefault="00A65FCF" w:rsidP="00126273">
      <w:pPr>
        <w:pStyle w:val="Prrafodelista"/>
        <w:numPr>
          <w:ilvl w:val="0"/>
          <w:numId w:val="6"/>
        </w:numPr>
        <w:spacing w:line="480" w:lineRule="auto"/>
        <w:ind w:left="1080"/>
        <w:jc w:val="both"/>
        <w:rPr>
          <w:rFonts w:ascii="Book Antiqua" w:hAnsi="Book Antiqua"/>
          <w:lang w:val="es-ES_tradnl"/>
        </w:rPr>
      </w:pPr>
      <w:r w:rsidRPr="00A65FCF">
        <w:rPr>
          <w:rFonts w:ascii="Book Antiqua" w:hAnsi="Book Antiqua"/>
          <w:lang w:val="es-ES_tradnl"/>
        </w:rPr>
        <w:t>La evaluación de la actuación de las agencias reguladoras concernidas, incluyendo el Departamento de Recursos Naturales y Ambientales y la Oficina de Gerencia de Permisos, en la otorgación, fiscalización y cumplimiento de los permisos correspondientes.</w:t>
      </w:r>
    </w:p>
    <w:p w14:paraId="24EC06EF" w14:textId="67C852EE" w:rsidR="00051F5D" w:rsidRPr="00051F5D" w:rsidRDefault="00051F5D" w:rsidP="00051F5D">
      <w:pPr>
        <w:spacing w:line="480" w:lineRule="auto"/>
        <w:ind w:firstLine="720"/>
        <w:jc w:val="both"/>
        <w:rPr>
          <w:rFonts w:ascii="Book Antiqua" w:hAnsi="Book Antiqua"/>
          <w:lang w:val="es-ES_tradnl"/>
        </w:rPr>
      </w:pPr>
      <w:r w:rsidRPr="00051F5D">
        <w:rPr>
          <w:rFonts w:ascii="Book Antiqua" w:hAnsi="Book Antiqua"/>
          <w:lang w:val="es-ES_tradnl"/>
        </w:rPr>
        <w:lastRenderedPageBreak/>
        <w:t>Sección 3</w:t>
      </w:r>
      <w:r>
        <w:rPr>
          <w:rFonts w:ascii="Book Antiqua" w:hAnsi="Book Antiqua"/>
          <w:lang w:val="es-ES_tradnl"/>
        </w:rPr>
        <w:t>.</w:t>
      </w:r>
      <w:r w:rsidRPr="00051F5D">
        <w:rPr>
          <w:rFonts w:ascii="Book Antiqua" w:hAnsi="Book Antiqua"/>
          <w:lang w:val="es-ES_tradnl"/>
        </w:rPr>
        <w:t xml:space="preserve"> –</w:t>
      </w:r>
      <w:r w:rsidR="00A65FCF">
        <w:rPr>
          <w:rFonts w:ascii="Book Antiqua" w:hAnsi="Book Antiqua"/>
          <w:lang w:val="es-ES_tradnl"/>
        </w:rPr>
        <w:t xml:space="preserve"> </w:t>
      </w:r>
      <w:r w:rsidRPr="00051F5D">
        <w:rPr>
          <w:rFonts w:ascii="Book Antiqua" w:hAnsi="Book Antiqua"/>
          <w:lang w:val="es-ES_tradnl"/>
        </w:rPr>
        <w:t xml:space="preserve">La Comisión deberá rendir un informe con sus hallazgos y conclusiones </w:t>
      </w:r>
      <w:r>
        <w:rPr>
          <w:rFonts w:ascii="Book Antiqua" w:hAnsi="Book Antiqua"/>
          <w:lang w:val="es-ES_tradnl"/>
        </w:rPr>
        <w:t>ciento ochenta</w:t>
      </w:r>
      <w:r w:rsidRPr="00051F5D">
        <w:rPr>
          <w:rFonts w:ascii="Book Antiqua" w:hAnsi="Book Antiqua"/>
          <w:lang w:val="es-ES_tradnl"/>
        </w:rPr>
        <w:t xml:space="preserve"> (</w:t>
      </w:r>
      <w:r>
        <w:rPr>
          <w:rFonts w:ascii="Book Antiqua" w:hAnsi="Book Antiqua"/>
          <w:lang w:val="es-ES_tradnl"/>
        </w:rPr>
        <w:t>18</w:t>
      </w:r>
      <w:r w:rsidRPr="00051F5D">
        <w:rPr>
          <w:rFonts w:ascii="Book Antiqua" w:hAnsi="Book Antiqua"/>
          <w:lang w:val="es-ES_tradnl"/>
        </w:rPr>
        <w:t>0) días después de aprobada esta resolución.</w:t>
      </w:r>
    </w:p>
    <w:p w14:paraId="6A8E3044" w14:textId="30126381" w:rsidR="00890C1A" w:rsidRPr="00ED1E2F" w:rsidRDefault="00051F5D" w:rsidP="00051F5D">
      <w:pPr>
        <w:spacing w:line="480" w:lineRule="auto"/>
        <w:ind w:firstLine="720"/>
        <w:jc w:val="both"/>
        <w:rPr>
          <w:rFonts w:ascii="Book Antiqua" w:hAnsi="Book Antiqua"/>
          <w:lang w:val="es-ES_tradnl"/>
        </w:rPr>
      </w:pPr>
      <w:r w:rsidRPr="00051F5D">
        <w:rPr>
          <w:rFonts w:ascii="Book Antiqua" w:hAnsi="Book Antiqua"/>
          <w:lang w:val="es-ES_tradnl"/>
        </w:rPr>
        <w:t xml:space="preserve">Sección </w:t>
      </w:r>
      <w:r w:rsidR="00A65FCF">
        <w:rPr>
          <w:rFonts w:ascii="Book Antiqua" w:hAnsi="Book Antiqua"/>
          <w:lang w:val="es-ES_tradnl"/>
        </w:rPr>
        <w:t>4</w:t>
      </w:r>
      <w:r>
        <w:rPr>
          <w:rFonts w:ascii="Book Antiqua" w:hAnsi="Book Antiqua"/>
          <w:lang w:val="es-ES_tradnl"/>
        </w:rPr>
        <w:t>.</w:t>
      </w:r>
      <w:r w:rsidRPr="00051F5D">
        <w:rPr>
          <w:rFonts w:ascii="Book Antiqua" w:hAnsi="Book Antiqua"/>
          <w:lang w:val="es-ES_tradnl"/>
        </w:rPr>
        <w:t xml:space="preserve"> – Esta Resolución entrará en vigor inmediatamente después de su aprobación.</w:t>
      </w:r>
      <w:r w:rsidR="00890C1A" w:rsidRPr="00ED1E2F">
        <w:rPr>
          <w:rFonts w:ascii="Book Antiqua" w:hAnsi="Book Antiqua"/>
          <w:lang w:val="es-ES_tradnl"/>
        </w:rPr>
        <w:t xml:space="preserve"> </w:t>
      </w:r>
    </w:p>
    <w:sectPr w:rsidR="00890C1A" w:rsidRPr="00ED1E2F" w:rsidSect="007223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B15ADE" w14:textId="77777777" w:rsidR="00566591" w:rsidRDefault="00566591">
      <w:r>
        <w:separator/>
      </w:r>
    </w:p>
  </w:endnote>
  <w:endnote w:type="continuationSeparator" w:id="0">
    <w:p w14:paraId="0C9ECD40" w14:textId="77777777" w:rsidR="00566591" w:rsidRDefault="005665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4852BE" w14:textId="77777777" w:rsidR="00566591" w:rsidRDefault="00566591">
      <w:r>
        <w:separator/>
      </w:r>
    </w:p>
  </w:footnote>
  <w:footnote w:type="continuationSeparator" w:id="0">
    <w:p w14:paraId="03BA18EA" w14:textId="77777777" w:rsidR="00566591" w:rsidRDefault="005665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F0CE" w14:textId="77777777" w:rsidR="00487E1F" w:rsidRDefault="00487E1F">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964941"/>
    <w:multiLevelType w:val="hybridMultilevel"/>
    <w:tmpl w:val="1332B34E"/>
    <w:lvl w:ilvl="0" w:tplc="04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 w15:restartNumberingAfterBreak="0">
    <w:nsid w:val="2F8418CF"/>
    <w:multiLevelType w:val="hybridMultilevel"/>
    <w:tmpl w:val="723611E8"/>
    <w:lvl w:ilvl="0" w:tplc="04090017">
      <w:start w:val="1"/>
      <w:numFmt w:val="lowerLetter"/>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 w15:restartNumberingAfterBreak="0">
    <w:nsid w:val="4F3857A5"/>
    <w:multiLevelType w:val="hybridMultilevel"/>
    <w:tmpl w:val="06DC9D0A"/>
    <w:lvl w:ilvl="0" w:tplc="A40622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ACC5738"/>
    <w:multiLevelType w:val="hybridMultilevel"/>
    <w:tmpl w:val="809ED2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29028248">
    <w:abstractNumId w:val="3"/>
  </w:num>
  <w:num w:numId="2" w16cid:durableId="267277887">
    <w:abstractNumId w:val="5"/>
  </w:num>
  <w:num w:numId="3" w16cid:durableId="1089276419">
    <w:abstractNumId w:val="2"/>
  </w:num>
  <w:num w:numId="4" w16cid:durableId="557935001">
    <w:abstractNumId w:val="4"/>
  </w:num>
  <w:num w:numId="5" w16cid:durableId="20936598">
    <w:abstractNumId w:val="0"/>
  </w:num>
  <w:num w:numId="6" w16cid:durableId="725580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23FC"/>
    <w:rsid w:val="00020BBB"/>
    <w:rsid w:val="00030742"/>
    <w:rsid w:val="00042256"/>
    <w:rsid w:val="00051F5D"/>
    <w:rsid w:val="00056024"/>
    <w:rsid w:val="00095AE1"/>
    <w:rsid w:val="000A6B6C"/>
    <w:rsid w:val="000A76AF"/>
    <w:rsid w:val="000B0DBB"/>
    <w:rsid w:val="00111E71"/>
    <w:rsid w:val="00126273"/>
    <w:rsid w:val="00127C6A"/>
    <w:rsid w:val="001363FE"/>
    <w:rsid w:val="0014430B"/>
    <w:rsid w:val="00157ADE"/>
    <w:rsid w:val="00160CBC"/>
    <w:rsid w:val="0017132B"/>
    <w:rsid w:val="001A4F41"/>
    <w:rsid w:val="001B7F5D"/>
    <w:rsid w:val="001E0D88"/>
    <w:rsid w:val="001F4CA3"/>
    <w:rsid w:val="001F612A"/>
    <w:rsid w:val="00203EFC"/>
    <w:rsid w:val="00211396"/>
    <w:rsid w:val="00226AE6"/>
    <w:rsid w:val="00232094"/>
    <w:rsid w:val="00243720"/>
    <w:rsid w:val="00245B34"/>
    <w:rsid w:val="00246130"/>
    <w:rsid w:val="002502B0"/>
    <w:rsid w:val="00256565"/>
    <w:rsid w:val="00263355"/>
    <w:rsid w:val="00266A3D"/>
    <w:rsid w:val="00273792"/>
    <w:rsid w:val="0029568C"/>
    <w:rsid w:val="002A0D2C"/>
    <w:rsid w:val="002B7EDC"/>
    <w:rsid w:val="002C3354"/>
    <w:rsid w:val="002D4AC8"/>
    <w:rsid w:val="003052A9"/>
    <w:rsid w:val="00305B2A"/>
    <w:rsid w:val="00320D78"/>
    <w:rsid w:val="003372CE"/>
    <w:rsid w:val="00380FE5"/>
    <w:rsid w:val="003924DD"/>
    <w:rsid w:val="00394FCB"/>
    <w:rsid w:val="003963F4"/>
    <w:rsid w:val="003B5254"/>
    <w:rsid w:val="003B580C"/>
    <w:rsid w:val="003B75A6"/>
    <w:rsid w:val="004061CA"/>
    <w:rsid w:val="00415689"/>
    <w:rsid w:val="004220A9"/>
    <w:rsid w:val="00437302"/>
    <w:rsid w:val="004440CB"/>
    <w:rsid w:val="004455CB"/>
    <w:rsid w:val="004713D2"/>
    <w:rsid w:val="00472990"/>
    <w:rsid w:val="00473A4B"/>
    <w:rsid w:val="004811D7"/>
    <w:rsid w:val="00487E1F"/>
    <w:rsid w:val="00495FE7"/>
    <w:rsid w:val="004977D3"/>
    <w:rsid w:val="004B615E"/>
    <w:rsid w:val="004D1D99"/>
    <w:rsid w:val="004E1B57"/>
    <w:rsid w:val="004E55F0"/>
    <w:rsid w:val="004F76E7"/>
    <w:rsid w:val="00521639"/>
    <w:rsid w:val="00532BB7"/>
    <w:rsid w:val="005332E4"/>
    <w:rsid w:val="0053550C"/>
    <w:rsid w:val="00555018"/>
    <w:rsid w:val="00566591"/>
    <w:rsid w:val="005723DC"/>
    <w:rsid w:val="005924B5"/>
    <w:rsid w:val="005B69F5"/>
    <w:rsid w:val="005E095D"/>
    <w:rsid w:val="005F25DA"/>
    <w:rsid w:val="005F25E2"/>
    <w:rsid w:val="006210DC"/>
    <w:rsid w:val="00622CED"/>
    <w:rsid w:val="00631E6F"/>
    <w:rsid w:val="0064349D"/>
    <w:rsid w:val="00653EED"/>
    <w:rsid w:val="00656763"/>
    <w:rsid w:val="00685549"/>
    <w:rsid w:val="006874C9"/>
    <w:rsid w:val="006B7365"/>
    <w:rsid w:val="006C2D81"/>
    <w:rsid w:val="006C660F"/>
    <w:rsid w:val="006C7DF8"/>
    <w:rsid w:val="006E5DD4"/>
    <w:rsid w:val="006F03E8"/>
    <w:rsid w:val="007172D9"/>
    <w:rsid w:val="007223FC"/>
    <w:rsid w:val="00750FC8"/>
    <w:rsid w:val="007533D0"/>
    <w:rsid w:val="00755069"/>
    <w:rsid w:val="00772CD5"/>
    <w:rsid w:val="007805C4"/>
    <w:rsid w:val="00781769"/>
    <w:rsid w:val="00784ADA"/>
    <w:rsid w:val="007915D3"/>
    <w:rsid w:val="00791800"/>
    <w:rsid w:val="007B0660"/>
    <w:rsid w:val="007D449C"/>
    <w:rsid w:val="007E3868"/>
    <w:rsid w:val="007F03E4"/>
    <w:rsid w:val="00820C41"/>
    <w:rsid w:val="00850256"/>
    <w:rsid w:val="008629FB"/>
    <w:rsid w:val="00884C97"/>
    <w:rsid w:val="00890C1A"/>
    <w:rsid w:val="008A6E75"/>
    <w:rsid w:val="008B578C"/>
    <w:rsid w:val="008C470E"/>
    <w:rsid w:val="008E656A"/>
    <w:rsid w:val="0093686F"/>
    <w:rsid w:val="009370A2"/>
    <w:rsid w:val="00942FD4"/>
    <w:rsid w:val="00951997"/>
    <w:rsid w:val="00990352"/>
    <w:rsid w:val="0099602F"/>
    <w:rsid w:val="009A4161"/>
    <w:rsid w:val="009A6C57"/>
    <w:rsid w:val="009C13F0"/>
    <w:rsid w:val="009F211B"/>
    <w:rsid w:val="00A03405"/>
    <w:rsid w:val="00A04536"/>
    <w:rsid w:val="00A1528A"/>
    <w:rsid w:val="00A33918"/>
    <w:rsid w:val="00A47496"/>
    <w:rsid w:val="00A60C09"/>
    <w:rsid w:val="00A65FCF"/>
    <w:rsid w:val="00A7629F"/>
    <w:rsid w:val="00A93582"/>
    <w:rsid w:val="00AC1D44"/>
    <w:rsid w:val="00AD086A"/>
    <w:rsid w:val="00AF0CEE"/>
    <w:rsid w:val="00B14053"/>
    <w:rsid w:val="00B45DFB"/>
    <w:rsid w:val="00B51752"/>
    <w:rsid w:val="00B667AD"/>
    <w:rsid w:val="00B70273"/>
    <w:rsid w:val="00B84C38"/>
    <w:rsid w:val="00B86C00"/>
    <w:rsid w:val="00B91966"/>
    <w:rsid w:val="00B947F6"/>
    <w:rsid w:val="00BB6FD5"/>
    <w:rsid w:val="00BF16AA"/>
    <w:rsid w:val="00C05908"/>
    <w:rsid w:val="00C16A97"/>
    <w:rsid w:val="00C216A3"/>
    <w:rsid w:val="00C32139"/>
    <w:rsid w:val="00C354B8"/>
    <w:rsid w:val="00C52517"/>
    <w:rsid w:val="00C54DD8"/>
    <w:rsid w:val="00C60921"/>
    <w:rsid w:val="00C62936"/>
    <w:rsid w:val="00C64BCD"/>
    <w:rsid w:val="00C653F2"/>
    <w:rsid w:val="00C679E6"/>
    <w:rsid w:val="00C908F9"/>
    <w:rsid w:val="00CA0917"/>
    <w:rsid w:val="00CA1099"/>
    <w:rsid w:val="00CC6791"/>
    <w:rsid w:val="00D36E0F"/>
    <w:rsid w:val="00D417C2"/>
    <w:rsid w:val="00D60936"/>
    <w:rsid w:val="00D709EB"/>
    <w:rsid w:val="00D74714"/>
    <w:rsid w:val="00D76B6A"/>
    <w:rsid w:val="00D82F3F"/>
    <w:rsid w:val="00D861AC"/>
    <w:rsid w:val="00D921C6"/>
    <w:rsid w:val="00D958C2"/>
    <w:rsid w:val="00DA1EDC"/>
    <w:rsid w:val="00DE08B4"/>
    <w:rsid w:val="00DE3AA9"/>
    <w:rsid w:val="00E03207"/>
    <w:rsid w:val="00E04AB5"/>
    <w:rsid w:val="00E3299F"/>
    <w:rsid w:val="00E36C92"/>
    <w:rsid w:val="00E50EEA"/>
    <w:rsid w:val="00E52F58"/>
    <w:rsid w:val="00E67104"/>
    <w:rsid w:val="00E74C1C"/>
    <w:rsid w:val="00E91D88"/>
    <w:rsid w:val="00EA2B65"/>
    <w:rsid w:val="00EB6B8A"/>
    <w:rsid w:val="00EC26AA"/>
    <w:rsid w:val="00ED1E2F"/>
    <w:rsid w:val="00ED7A53"/>
    <w:rsid w:val="00EE1241"/>
    <w:rsid w:val="00EE4273"/>
    <w:rsid w:val="00F02004"/>
    <w:rsid w:val="00F042CB"/>
    <w:rsid w:val="00F14DC1"/>
    <w:rsid w:val="00F60A2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A143F"/>
  <w15:chartTrackingRefBased/>
  <w15:docId w15:val="{EB64A23C-E6CD-4FA4-95F6-C0BDE644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Prrafodelista">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Textodeglobo">
    <w:name w:val="Balloon Text"/>
    <w:basedOn w:val="Normal"/>
    <w:link w:val="TextodegloboCar"/>
    <w:uiPriority w:val="99"/>
    <w:semiHidden/>
    <w:unhideWhenUsed/>
    <w:rsid w:val="00E0320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03207"/>
    <w:rPr>
      <w:rFonts w:ascii="Segoe UI" w:hAnsi="Segoe UI" w:cs="Segoe UI"/>
      <w:sz w:val="18"/>
      <w:szCs w:val="18"/>
    </w:rPr>
  </w:style>
  <w:style w:type="paragraph" w:styleId="Textonotapie">
    <w:name w:val="footnote text"/>
    <w:basedOn w:val="Normal"/>
    <w:link w:val="TextonotapieCar"/>
    <w:uiPriority w:val="99"/>
    <w:semiHidden/>
    <w:unhideWhenUsed/>
    <w:rsid w:val="00D861AC"/>
    <w:rPr>
      <w:rFonts w:asciiTheme="minorHAnsi" w:eastAsiaTheme="minorHAnsi" w:hAnsiTheme="minorHAnsi" w:cstheme="minorBidi"/>
      <w:kern w:val="2"/>
      <w:sz w:val="20"/>
      <w14:ligatures w14:val="standardContextual"/>
    </w:rPr>
  </w:style>
  <w:style w:type="character" w:customStyle="1" w:styleId="TextonotapieCar">
    <w:name w:val="Texto nota pie Car"/>
    <w:basedOn w:val="Fuentedeprrafopredeter"/>
    <w:link w:val="Textonotapie"/>
    <w:uiPriority w:val="99"/>
    <w:semiHidden/>
    <w:rsid w:val="00D861AC"/>
    <w:rPr>
      <w:rFonts w:asciiTheme="minorHAnsi" w:eastAsiaTheme="minorHAnsi" w:hAnsiTheme="minorHAnsi" w:cstheme="minorBidi"/>
      <w:kern w:val="2"/>
      <w14:ligatures w14:val="standardContextual"/>
    </w:rPr>
  </w:style>
  <w:style w:type="character" w:styleId="Refdenotaalpie">
    <w:name w:val="footnote reference"/>
    <w:basedOn w:val="Fuentedeprrafopredeter"/>
    <w:uiPriority w:val="99"/>
    <w:semiHidden/>
    <w:unhideWhenUsed/>
    <w:rsid w:val="00D861AC"/>
    <w:rPr>
      <w:vertAlign w:val="superscript"/>
    </w:rPr>
  </w:style>
  <w:style w:type="character" w:styleId="Hipervnculo">
    <w:name w:val="Hyperlink"/>
    <w:basedOn w:val="Fuentedeprrafopredeter"/>
    <w:uiPriority w:val="99"/>
    <w:unhideWhenUsed/>
    <w:rsid w:val="00D861A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804</Words>
  <Characters>4642</Characters>
  <Application>Microsoft Office Word</Application>
  <DocSecurity>0</DocSecurity>
  <Lines>105</Lines>
  <Paragraphs>35</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Rocío Alayón Morell</cp:lastModifiedBy>
  <cp:revision>3</cp:revision>
  <cp:lastPrinted>2026-04-10T15:54:00Z</cp:lastPrinted>
  <dcterms:created xsi:type="dcterms:W3CDTF">2026-04-10T17:33:00Z</dcterms:created>
  <dcterms:modified xsi:type="dcterms:W3CDTF">2026-04-13T12:53:00Z</dcterms:modified>
</cp:coreProperties>
</file>