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FAFD1" w14:textId="38ED4BF4" w:rsidR="00FF6BD2" w:rsidRPr="00F305E9" w:rsidRDefault="004811F3" w:rsidP="008E4A9E">
      <w:pPr>
        <w:jc w:val="center"/>
        <w:rPr>
          <w:rFonts w:ascii="Book Antiqua" w:hAnsi="Book Antiqua"/>
          <w:sz w:val="28"/>
          <w:lang w:val="es-PR"/>
        </w:rPr>
      </w:pPr>
      <w:r w:rsidRPr="00F305E9">
        <w:rPr>
          <w:rFonts w:ascii="Book Antiqua" w:hAnsi="Book Antiqua"/>
          <w:sz w:val="28"/>
          <w:lang w:val="es-PR"/>
        </w:rPr>
        <w:t xml:space="preserve"> </w:t>
      </w:r>
      <w:r w:rsidR="00852683" w:rsidRPr="00F305E9">
        <w:rPr>
          <w:rFonts w:ascii="Book Antiqua" w:hAnsi="Book Antiqua"/>
          <w:sz w:val="28"/>
          <w:lang w:val="es-PR"/>
        </w:rPr>
        <w:t>GOBIERNO</w:t>
      </w:r>
      <w:r w:rsidR="00DE46D0" w:rsidRPr="00F305E9">
        <w:rPr>
          <w:rFonts w:ascii="Book Antiqua" w:hAnsi="Book Antiqua"/>
          <w:sz w:val="28"/>
          <w:lang w:val="es-PR"/>
        </w:rPr>
        <w:t xml:space="preserve"> DE PUERTO RICO</w:t>
      </w:r>
    </w:p>
    <w:p w14:paraId="5CC89C26" w14:textId="77777777" w:rsidR="00DE46D0" w:rsidRPr="00F305E9" w:rsidRDefault="00DE46D0" w:rsidP="008E4A9E">
      <w:pPr>
        <w:jc w:val="center"/>
        <w:rPr>
          <w:rFonts w:ascii="Book Antiqua" w:hAnsi="Book Antiqua"/>
          <w:szCs w:val="18"/>
          <w:lang w:val="es-PR"/>
        </w:rPr>
      </w:pPr>
    </w:p>
    <w:p w14:paraId="171B32A0" w14:textId="1AB9EFF3" w:rsidR="00DE46D0" w:rsidRPr="00C12536" w:rsidRDefault="00C12536" w:rsidP="00C12536">
      <w:pPr>
        <w:pStyle w:val="Title2"/>
        <w:tabs>
          <w:tab w:val="clear" w:pos="648"/>
          <w:tab w:val="clear" w:pos="7776"/>
          <w:tab w:val="clear" w:pos="7848"/>
        </w:tabs>
        <w:rPr>
          <w:rFonts w:ascii="Book Antiqua" w:hAnsi="Book Antiqua"/>
          <w:lang w:val="it-IT"/>
        </w:rPr>
      </w:pPr>
      <w:r w:rsidRPr="00C12536">
        <w:rPr>
          <w:rFonts w:ascii="Book Antiqua" w:hAnsi="Book Antiqua"/>
          <w:lang w:val="it-IT"/>
        </w:rPr>
        <w:t>20ma.</w:t>
      </w:r>
      <w:r w:rsidR="00DE46D0" w:rsidRPr="00C12536">
        <w:rPr>
          <w:rFonts w:ascii="Book Antiqua" w:hAnsi="Book Antiqua"/>
          <w:lang w:val="it-IT"/>
        </w:rPr>
        <w:tab/>
        <w:t>Asamblea</w:t>
      </w:r>
      <w:r w:rsidR="00DE46D0" w:rsidRPr="00C12536">
        <w:rPr>
          <w:rFonts w:ascii="Book Antiqua" w:hAnsi="Book Antiqua"/>
          <w:lang w:val="it-IT"/>
        </w:rPr>
        <w:tab/>
      </w:r>
      <w:r>
        <w:rPr>
          <w:rFonts w:ascii="Book Antiqua" w:hAnsi="Book Antiqua"/>
          <w:lang w:val="it-IT"/>
        </w:rPr>
        <w:t xml:space="preserve">                                                                                               </w:t>
      </w:r>
      <w:r w:rsidRPr="00C12536">
        <w:rPr>
          <w:rFonts w:ascii="Book Antiqua" w:hAnsi="Book Antiqua"/>
          <w:lang w:val="it-IT"/>
        </w:rPr>
        <w:t xml:space="preserve">3ra. </w:t>
      </w:r>
      <w:r w:rsidR="00DE46D0" w:rsidRPr="00C12536">
        <w:rPr>
          <w:rFonts w:ascii="Book Antiqua" w:hAnsi="Book Antiqua"/>
          <w:lang w:val="it-IT"/>
        </w:rPr>
        <w:t>Sesión</w:t>
      </w:r>
    </w:p>
    <w:p w14:paraId="0971EF48" w14:textId="53D50F54" w:rsidR="00DE46D0" w:rsidRPr="00C12536" w:rsidRDefault="00DE46D0" w:rsidP="00C12536">
      <w:pPr>
        <w:pStyle w:val="Title2"/>
        <w:tabs>
          <w:tab w:val="clear" w:pos="648"/>
          <w:tab w:val="clear" w:pos="7776"/>
          <w:tab w:val="clear" w:pos="7848"/>
        </w:tabs>
        <w:rPr>
          <w:rFonts w:ascii="Book Antiqua" w:hAnsi="Book Antiqua"/>
          <w:lang w:val="it-IT"/>
        </w:rPr>
      </w:pPr>
      <w:r w:rsidRPr="00C12536">
        <w:rPr>
          <w:rFonts w:ascii="Book Antiqua" w:hAnsi="Book Antiqua"/>
          <w:lang w:val="it-IT"/>
        </w:rPr>
        <w:tab/>
        <w:t>Legislativa</w:t>
      </w:r>
      <w:r w:rsidRPr="00C12536">
        <w:rPr>
          <w:rFonts w:ascii="Book Antiqua" w:hAnsi="Book Antiqua"/>
          <w:lang w:val="it-IT"/>
        </w:rPr>
        <w:tab/>
      </w:r>
      <w:r w:rsidRPr="00C12536">
        <w:rPr>
          <w:rFonts w:ascii="Book Antiqua" w:hAnsi="Book Antiqua"/>
          <w:lang w:val="it-IT"/>
        </w:rPr>
        <w:tab/>
      </w:r>
      <w:r w:rsidR="00C12536" w:rsidRPr="00C12536">
        <w:rPr>
          <w:rFonts w:ascii="Book Antiqua" w:hAnsi="Book Antiqua"/>
          <w:lang w:val="it-IT"/>
        </w:rPr>
        <w:tab/>
      </w:r>
      <w:r w:rsidR="00C12536" w:rsidRPr="00C12536">
        <w:rPr>
          <w:rFonts w:ascii="Book Antiqua" w:hAnsi="Book Antiqua"/>
          <w:lang w:val="it-IT"/>
        </w:rPr>
        <w:tab/>
      </w:r>
      <w:r w:rsidR="00C12536" w:rsidRPr="00C12536">
        <w:rPr>
          <w:rFonts w:ascii="Book Antiqua" w:hAnsi="Book Antiqua"/>
          <w:lang w:val="it-IT"/>
        </w:rPr>
        <w:tab/>
      </w:r>
      <w:r w:rsidR="00C12536" w:rsidRPr="00C12536">
        <w:rPr>
          <w:rFonts w:ascii="Book Antiqua" w:hAnsi="Book Antiqua"/>
          <w:lang w:val="it-IT"/>
        </w:rPr>
        <w:tab/>
      </w:r>
      <w:r w:rsidR="00C12536" w:rsidRPr="00C12536">
        <w:rPr>
          <w:rFonts w:ascii="Book Antiqua" w:hAnsi="Book Antiqua"/>
          <w:lang w:val="it-IT"/>
        </w:rPr>
        <w:tab/>
      </w:r>
      <w:r w:rsidR="00C12536" w:rsidRPr="00C12536">
        <w:rPr>
          <w:rFonts w:ascii="Book Antiqua" w:hAnsi="Book Antiqua"/>
          <w:lang w:val="it-IT"/>
        </w:rPr>
        <w:tab/>
      </w:r>
      <w:r w:rsidR="00C12536" w:rsidRPr="00C12536">
        <w:rPr>
          <w:rFonts w:ascii="Book Antiqua" w:hAnsi="Book Antiqua"/>
          <w:lang w:val="it-IT"/>
        </w:rPr>
        <w:tab/>
        <w:t xml:space="preserve">      </w:t>
      </w:r>
      <w:r w:rsidRPr="00C12536">
        <w:rPr>
          <w:rFonts w:ascii="Book Antiqua" w:hAnsi="Book Antiqua"/>
          <w:lang w:val="it-IT"/>
        </w:rPr>
        <w:t>Ordinaria</w:t>
      </w:r>
    </w:p>
    <w:p w14:paraId="72F557BF" w14:textId="77777777" w:rsidR="00DE46D0" w:rsidRPr="00C12536" w:rsidRDefault="00DE46D0" w:rsidP="008E4A9E">
      <w:pPr>
        <w:rPr>
          <w:lang w:val="it-IT"/>
        </w:rPr>
      </w:pPr>
    </w:p>
    <w:p w14:paraId="49343C3D" w14:textId="77777777" w:rsidR="00DE46D0" w:rsidRPr="00F305E9" w:rsidRDefault="00DE46D0" w:rsidP="008E4A9E">
      <w:pPr>
        <w:jc w:val="center"/>
        <w:rPr>
          <w:rFonts w:ascii="Book Antiqua" w:hAnsi="Book Antiqua"/>
          <w:b/>
          <w:sz w:val="36"/>
          <w:lang w:val="es-PR"/>
        </w:rPr>
      </w:pPr>
      <w:r w:rsidRPr="00F305E9">
        <w:rPr>
          <w:rFonts w:ascii="Book Antiqua" w:hAnsi="Book Antiqua"/>
          <w:b/>
          <w:sz w:val="36"/>
          <w:lang w:val="es-PR"/>
        </w:rPr>
        <w:t>CÁMARA DE REPRESENTANTES</w:t>
      </w:r>
    </w:p>
    <w:p w14:paraId="73F7C1C1" w14:textId="77777777" w:rsidR="00DE46D0" w:rsidRPr="00F305E9" w:rsidRDefault="00DE46D0" w:rsidP="008E4A9E">
      <w:pPr>
        <w:jc w:val="center"/>
        <w:rPr>
          <w:rFonts w:ascii="Book Antiqua" w:hAnsi="Book Antiqua"/>
          <w:b/>
          <w:szCs w:val="24"/>
          <w:lang w:val="es-PR"/>
        </w:rPr>
      </w:pPr>
    </w:p>
    <w:p w14:paraId="02D101E7" w14:textId="4CBCB3FF" w:rsidR="00DE46D0" w:rsidRPr="00F305E9" w:rsidRDefault="00DE46D0" w:rsidP="008E4A9E">
      <w:pPr>
        <w:jc w:val="center"/>
        <w:rPr>
          <w:rFonts w:ascii="Book Antiqua" w:hAnsi="Book Antiqua"/>
          <w:b/>
          <w:sz w:val="52"/>
          <w:lang w:val="es-PR"/>
        </w:rPr>
      </w:pPr>
      <w:r w:rsidRPr="00F305E9">
        <w:rPr>
          <w:rFonts w:ascii="Book Antiqua" w:hAnsi="Book Antiqua"/>
          <w:b/>
          <w:sz w:val="52"/>
          <w:lang w:val="es-PR"/>
        </w:rPr>
        <w:t>R. de la C.</w:t>
      </w:r>
      <w:r w:rsidR="00CE2E2D">
        <w:rPr>
          <w:rFonts w:ascii="Book Antiqua" w:hAnsi="Book Antiqua"/>
          <w:b/>
          <w:sz w:val="52"/>
          <w:lang w:val="es-PR"/>
        </w:rPr>
        <w:t xml:space="preserve"> 667</w:t>
      </w:r>
    </w:p>
    <w:p w14:paraId="3A1B5193" w14:textId="77777777" w:rsidR="008E4A9E" w:rsidRPr="00F305E9" w:rsidRDefault="008E4A9E" w:rsidP="008E4A9E">
      <w:pPr>
        <w:jc w:val="center"/>
        <w:rPr>
          <w:rFonts w:ascii="Book Antiqua" w:hAnsi="Book Antiqua"/>
          <w:b/>
          <w:szCs w:val="24"/>
          <w:lang w:val="es-PR"/>
        </w:rPr>
      </w:pPr>
    </w:p>
    <w:p w14:paraId="2742A6E7" w14:textId="5153A440" w:rsidR="00DE46D0" w:rsidRPr="00F305E9" w:rsidRDefault="00BD4B4F" w:rsidP="008E4A9E">
      <w:pPr>
        <w:jc w:val="center"/>
        <w:rPr>
          <w:rFonts w:ascii="Book Antiqua" w:hAnsi="Book Antiqua"/>
          <w:lang w:val="es-PR"/>
        </w:rPr>
      </w:pPr>
      <w:r w:rsidRPr="00F305E9">
        <w:rPr>
          <w:rFonts w:ascii="Book Antiqua" w:hAnsi="Book Antiqua"/>
          <w:lang w:val="es-PR"/>
        </w:rPr>
        <w:t xml:space="preserve">10 </w:t>
      </w:r>
      <w:r w:rsidR="00DE46D0" w:rsidRPr="00F305E9">
        <w:rPr>
          <w:rFonts w:ascii="Book Antiqua" w:hAnsi="Book Antiqua"/>
          <w:lang w:val="es-PR"/>
        </w:rPr>
        <w:t xml:space="preserve">DE </w:t>
      </w:r>
      <w:r w:rsidR="002F758C" w:rsidRPr="00F305E9">
        <w:rPr>
          <w:rFonts w:ascii="Book Antiqua" w:hAnsi="Book Antiqua"/>
          <w:lang w:val="es-PR"/>
        </w:rPr>
        <w:t>ABRIL</w:t>
      </w:r>
      <w:r w:rsidR="00DE46D0" w:rsidRPr="00F305E9">
        <w:rPr>
          <w:rFonts w:ascii="Book Antiqua" w:hAnsi="Book Antiqua"/>
          <w:lang w:val="es-PR"/>
        </w:rPr>
        <w:t xml:space="preserve"> DE 202</w:t>
      </w:r>
      <w:r w:rsidR="002F758C" w:rsidRPr="00F305E9">
        <w:rPr>
          <w:rFonts w:ascii="Book Antiqua" w:hAnsi="Book Antiqua"/>
          <w:lang w:val="es-PR"/>
        </w:rPr>
        <w:t>6</w:t>
      </w:r>
    </w:p>
    <w:p w14:paraId="2F7B2667" w14:textId="77777777" w:rsidR="008E4A9E" w:rsidRPr="00F305E9" w:rsidRDefault="008E4A9E" w:rsidP="008E4A9E">
      <w:pPr>
        <w:jc w:val="center"/>
        <w:rPr>
          <w:rFonts w:ascii="Book Antiqua" w:hAnsi="Book Antiqua"/>
          <w:lang w:val="es-PR"/>
        </w:rPr>
      </w:pPr>
    </w:p>
    <w:p w14:paraId="73CB3512" w14:textId="4351EE6C" w:rsidR="002F758C" w:rsidRPr="00F305E9" w:rsidRDefault="002F758C" w:rsidP="002F758C">
      <w:pPr>
        <w:jc w:val="center"/>
        <w:rPr>
          <w:rFonts w:ascii="Book Antiqua" w:hAnsi="Book Antiqua"/>
          <w:i/>
          <w:lang w:val="es-PR"/>
        </w:rPr>
      </w:pPr>
      <w:r w:rsidRPr="00F305E9">
        <w:rPr>
          <w:rFonts w:ascii="Book Antiqua" w:hAnsi="Book Antiqua"/>
          <w:lang w:val="es-PR"/>
        </w:rPr>
        <w:t>Presentad</w:t>
      </w:r>
      <w:r w:rsidR="00C12536">
        <w:rPr>
          <w:rFonts w:ascii="Book Antiqua" w:hAnsi="Book Antiqua"/>
          <w:lang w:val="es-PR"/>
        </w:rPr>
        <w:t>a</w:t>
      </w:r>
      <w:r w:rsidRPr="00F305E9">
        <w:rPr>
          <w:rFonts w:ascii="Book Antiqua" w:hAnsi="Book Antiqua"/>
          <w:lang w:val="es-PR"/>
        </w:rPr>
        <w:t xml:space="preserve"> por las representantes </w:t>
      </w:r>
      <w:r w:rsidRPr="00F305E9">
        <w:rPr>
          <w:rFonts w:ascii="Book Antiqua" w:hAnsi="Book Antiqua"/>
          <w:i/>
          <w:lang w:val="es-PR"/>
        </w:rPr>
        <w:t xml:space="preserve">Gutiérrez Colón, Lebrón Robles; </w:t>
      </w:r>
      <w:r w:rsidRPr="00F305E9">
        <w:rPr>
          <w:rFonts w:ascii="Book Antiqua" w:hAnsi="Book Antiqua"/>
          <w:i/>
          <w:lang w:val="es-PR"/>
        </w:rPr>
        <w:br/>
      </w:r>
      <w:r w:rsidRPr="00F305E9">
        <w:rPr>
          <w:rFonts w:ascii="Book Antiqua" w:hAnsi="Book Antiqua"/>
          <w:iCs/>
          <w:lang w:val="es-PR"/>
        </w:rPr>
        <w:t xml:space="preserve">y el representante </w:t>
      </w:r>
      <w:r w:rsidRPr="00F305E9">
        <w:rPr>
          <w:rFonts w:ascii="Book Antiqua" w:hAnsi="Book Antiqua"/>
          <w:i/>
          <w:lang w:val="es-PR"/>
        </w:rPr>
        <w:t>Márquez Lebrón</w:t>
      </w:r>
    </w:p>
    <w:p w14:paraId="32C15E5C" w14:textId="77777777" w:rsidR="008E4A9E" w:rsidRPr="00F305E9" w:rsidRDefault="008E4A9E" w:rsidP="008E4A9E">
      <w:pPr>
        <w:jc w:val="center"/>
        <w:rPr>
          <w:rFonts w:ascii="Book Antiqua" w:hAnsi="Book Antiqua"/>
          <w:lang w:val="es-PR"/>
        </w:rPr>
      </w:pPr>
    </w:p>
    <w:p w14:paraId="66C9C51C" w14:textId="61C0BA9B" w:rsidR="00DE46D0" w:rsidRPr="00F305E9" w:rsidRDefault="00DE46D0" w:rsidP="008E4A9E">
      <w:pPr>
        <w:jc w:val="center"/>
        <w:rPr>
          <w:rFonts w:ascii="Book Antiqua" w:hAnsi="Book Antiqua"/>
          <w:lang w:val="es-PR"/>
        </w:rPr>
      </w:pPr>
      <w:r w:rsidRPr="00F305E9">
        <w:rPr>
          <w:rFonts w:ascii="Book Antiqua" w:hAnsi="Book Antiqua"/>
          <w:lang w:val="es-PR"/>
        </w:rPr>
        <w:t xml:space="preserve">Referida a </w:t>
      </w:r>
      <w:r w:rsidR="008E4A9E" w:rsidRPr="00F305E9">
        <w:rPr>
          <w:rFonts w:ascii="Book Antiqua" w:hAnsi="Book Antiqua"/>
          <w:lang w:val="es-PR"/>
        </w:rPr>
        <w:t xml:space="preserve">la Comisión de </w:t>
      </w:r>
      <w:r w:rsidR="00C12536">
        <w:rPr>
          <w:rFonts w:ascii="Book Antiqua" w:hAnsi="Book Antiqua"/>
          <w:lang w:val="es-PR"/>
        </w:rPr>
        <w:t>Asuntos Internos</w:t>
      </w:r>
    </w:p>
    <w:p w14:paraId="659BAF97" w14:textId="77777777" w:rsidR="00DE46D0" w:rsidRPr="00F305E9" w:rsidRDefault="00DE46D0" w:rsidP="008E4A9E">
      <w:pPr>
        <w:jc w:val="both"/>
        <w:rPr>
          <w:rFonts w:ascii="Book Antiqua" w:hAnsi="Book Antiqua"/>
          <w:lang w:val="es-PR"/>
        </w:rPr>
      </w:pPr>
    </w:p>
    <w:p w14:paraId="20AC2DB1" w14:textId="77777777" w:rsidR="00DE46D0" w:rsidRPr="00F305E9" w:rsidRDefault="00DE46D0" w:rsidP="008E4A9E">
      <w:pPr>
        <w:jc w:val="center"/>
        <w:rPr>
          <w:rFonts w:ascii="Book Antiqua" w:hAnsi="Book Antiqua"/>
          <w:b/>
          <w:sz w:val="28"/>
          <w:lang w:val="es-PR"/>
        </w:rPr>
      </w:pPr>
      <w:r w:rsidRPr="00F305E9">
        <w:rPr>
          <w:rFonts w:ascii="Book Antiqua" w:hAnsi="Book Antiqua"/>
          <w:b/>
          <w:sz w:val="28"/>
          <w:lang w:val="es-PR"/>
        </w:rPr>
        <w:t>RESOLUCIÓN</w:t>
      </w:r>
    </w:p>
    <w:p w14:paraId="0861A01E" w14:textId="77777777" w:rsidR="00DE46D0" w:rsidRPr="00F305E9" w:rsidRDefault="00DE46D0" w:rsidP="008E4A9E">
      <w:pPr>
        <w:jc w:val="both"/>
        <w:rPr>
          <w:rFonts w:ascii="Book Antiqua" w:hAnsi="Book Antiqua"/>
          <w:lang w:val="es-PR"/>
        </w:rPr>
      </w:pPr>
    </w:p>
    <w:p w14:paraId="244856F2" w14:textId="65EFB7E8" w:rsidR="00DE46D0" w:rsidRPr="00F305E9" w:rsidRDefault="00DE46D0" w:rsidP="00C12536">
      <w:pPr>
        <w:ind w:left="720" w:hanging="720"/>
        <w:jc w:val="both"/>
        <w:rPr>
          <w:rFonts w:ascii="Book Antiqua" w:hAnsi="Book Antiqua"/>
          <w:lang w:val="es-PR"/>
        </w:rPr>
      </w:pPr>
      <w:r w:rsidRPr="00F305E9">
        <w:rPr>
          <w:rFonts w:ascii="Book Antiqua" w:hAnsi="Book Antiqua"/>
          <w:lang w:val="es-PR"/>
        </w:rPr>
        <w:t xml:space="preserve">Para ordenar a la Comisión de </w:t>
      </w:r>
      <w:r w:rsidR="002F758C" w:rsidRPr="00F305E9">
        <w:rPr>
          <w:rFonts w:ascii="Book Antiqua" w:hAnsi="Book Antiqua"/>
          <w:lang w:val="es-PR"/>
        </w:rPr>
        <w:t>Seguridad Pública</w:t>
      </w:r>
      <w:r w:rsidRPr="00F305E9">
        <w:rPr>
          <w:rFonts w:ascii="Book Antiqua" w:hAnsi="Book Antiqua"/>
          <w:lang w:val="es-PR"/>
        </w:rPr>
        <w:t xml:space="preserve"> de la Cámara de Representantes de Puerto Rico realizar una investigación </w:t>
      </w:r>
      <w:r w:rsidR="002F758C" w:rsidRPr="00F305E9">
        <w:rPr>
          <w:rFonts w:ascii="Book Antiqua" w:hAnsi="Book Antiqua"/>
          <w:lang w:val="es-PR"/>
        </w:rPr>
        <w:t xml:space="preserve">exhaustiva </w:t>
      </w:r>
      <w:r w:rsidRPr="00F305E9">
        <w:rPr>
          <w:rFonts w:ascii="Book Antiqua" w:hAnsi="Book Antiqua"/>
          <w:lang w:val="es-PR"/>
        </w:rPr>
        <w:t>sobre</w:t>
      </w:r>
      <w:r w:rsidR="00F1020F" w:rsidRPr="00F305E9">
        <w:rPr>
          <w:rFonts w:ascii="Book Antiqua" w:hAnsi="Book Antiqua"/>
          <w:lang w:val="es-PR"/>
        </w:rPr>
        <w:t xml:space="preserve"> </w:t>
      </w:r>
      <w:r w:rsidR="002F758C" w:rsidRPr="00F305E9">
        <w:rPr>
          <w:rFonts w:ascii="Book Antiqua" w:hAnsi="Book Antiqua"/>
          <w:lang w:val="es-PR"/>
        </w:rPr>
        <w:t xml:space="preserve">el manejo de las querellas administrativas presentadas contra </w:t>
      </w:r>
      <w:r w:rsidR="0002565F" w:rsidRPr="00F305E9">
        <w:rPr>
          <w:rFonts w:ascii="Book Antiqua" w:hAnsi="Book Antiqua"/>
          <w:lang w:val="es-PR"/>
        </w:rPr>
        <w:t>empleados de la Policía de Puerto Rico</w:t>
      </w:r>
      <w:r w:rsidR="002F758C" w:rsidRPr="00F305E9">
        <w:rPr>
          <w:rFonts w:ascii="Book Antiqua" w:hAnsi="Book Antiqua"/>
          <w:lang w:val="es-PR"/>
        </w:rPr>
        <w:t xml:space="preserve"> relacionadas con el manejo inadecuado de casos de violencia de género; evaluar la efectividad de los protocolos, procedimientos disciplinarios y mecanismos de supervisión existentes; identificar potenciales deficiencias institucionales; y para otros fines relacionados</w:t>
      </w:r>
      <w:r w:rsidRPr="00F305E9">
        <w:rPr>
          <w:rFonts w:ascii="Book Antiqua" w:hAnsi="Book Antiqua"/>
          <w:lang w:val="es-PR"/>
        </w:rPr>
        <w:t>.</w:t>
      </w:r>
    </w:p>
    <w:p w14:paraId="063C56A9" w14:textId="77777777" w:rsidR="00DE46D0" w:rsidRPr="00F305E9" w:rsidRDefault="00DE46D0" w:rsidP="008E4A9E">
      <w:pPr>
        <w:ind w:left="360" w:hanging="360"/>
        <w:jc w:val="both"/>
        <w:rPr>
          <w:rFonts w:ascii="Book Antiqua" w:hAnsi="Book Antiqua"/>
          <w:lang w:val="es-PR"/>
        </w:rPr>
      </w:pPr>
    </w:p>
    <w:p w14:paraId="53D55594" w14:textId="77777777" w:rsidR="00DE46D0" w:rsidRPr="00F305E9" w:rsidRDefault="00DE46D0" w:rsidP="008E4A9E">
      <w:pPr>
        <w:ind w:firstLine="360"/>
        <w:jc w:val="center"/>
        <w:rPr>
          <w:rFonts w:ascii="Book Antiqua" w:hAnsi="Book Antiqua"/>
          <w:lang w:val="es-PR"/>
        </w:rPr>
      </w:pPr>
      <w:r w:rsidRPr="00F305E9">
        <w:rPr>
          <w:rFonts w:ascii="Book Antiqua" w:hAnsi="Book Antiqua"/>
          <w:lang w:val="es-PR"/>
        </w:rPr>
        <w:t>EXPOSICIÓN DE MOTIVOS</w:t>
      </w:r>
    </w:p>
    <w:p w14:paraId="47092D0A" w14:textId="77777777" w:rsidR="008E4A9E" w:rsidRPr="00F305E9" w:rsidRDefault="008E4A9E" w:rsidP="008E4A9E">
      <w:pPr>
        <w:ind w:firstLine="360"/>
        <w:jc w:val="center"/>
        <w:rPr>
          <w:rFonts w:ascii="Book Antiqua" w:hAnsi="Book Antiqua"/>
          <w:lang w:val="es-PR"/>
        </w:rPr>
      </w:pPr>
    </w:p>
    <w:p w14:paraId="2E6CA92D" w14:textId="2F2355A4" w:rsidR="00DE46D0" w:rsidRPr="00F305E9" w:rsidRDefault="002F758C" w:rsidP="008E4A9E">
      <w:pPr>
        <w:ind w:firstLine="360"/>
        <w:jc w:val="both"/>
        <w:rPr>
          <w:rFonts w:ascii="Book Antiqua" w:hAnsi="Book Antiqua"/>
          <w:lang w:val="es-PR"/>
        </w:rPr>
      </w:pPr>
      <w:r w:rsidRPr="00F305E9">
        <w:rPr>
          <w:rFonts w:ascii="Book Antiqua" w:hAnsi="Book Antiqua"/>
          <w:lang w:val="es-PR"/>
        </w:rPr>
        <w:t>La violencia de género constituye una de las problemáticas sociales más graves en la actualidad</w:t>
      </w:r>
      <w:r w:rsidR="00815AA2" w:rsidRPr="00F305E9">
        <w:rPr>
          <w:rFonts w:ascii="Book Antiqua" w:hAnsi="Book Antiqua"/>
          <w:lang w:val="es-PR"/>
        </w:rPr>
        <w:t>.</w:t>
      </w:r>
      <w:r w:rsidRPr="00F305E9">
        <w:rPr>
          <w:rFonts w:ascii="Book Antiqua" w:hAnsi="Book Antiqua"/>
          <w:lang w:val="es-PR"/>
        </w:rPr>
        <w:t xml:space="preserve"> </w:t>
      </w:r>
      <w:r w:rsidR="007F6508" w:rsidRPr="00F305E9">
        <w:rPr>
          <w:rFonts w:ascii="Book Antiqua" w:hAnsi="Book Antiqua"/>
          <w:lang w:val="es-PR"/>
        </w:rPr>
        <w:t>Además del daño directo que sufre la víctima, sus efectos transcienden hasta sus familiares y las comunidades en general. El Estado tiene la obligación de garantizar a los ciudadanos una respuesta sensible y efectiva. Por lo tanto, es imperativo que las personas llamadas a atender estos asuntos complejos desempeñen sus labores de manera diligente para asegurar la protección de las víctimas.</w:t>
      </w:r>
    </w:p>
    <w:p w14:paraId="3A7B428E" w14:textId="77777777" w:rsidR="007F6508" w:rsidRPr="00F305E9" w:rsidRDefault="007F6508" w:rsidP="008E4A9E">
      <w:pPr>
        <w:ind w:firstLine="360"/>
        <w:jc w:val="both"/>
        <w:rPr>
          <w:rFonts w:ascii="Book Antiqua" w:hAnsi="Book Antiqua"/>
          <w:lang w:val="es-PR"/>
        </w:rPr>
      </w:pPr>
    </w:p>
    <w:p w14:paraId="31A1C27C" w14:textId="538AD62D" w:rsidR="007F6508" w:rsidRPr="00F305E9" w:rsidRDefault="007F6508" w:rsidP="008E4A9E">
      <w:pPr>
        <w:ind w:firstLine="360"/>
        <w:jc w:val="both"/>
        <w:rPr>
          <w:rFonts w:ascii="Book Antiqua" w:hAnsi="Book Antiqua"/>
          <w:lang w:val="es-PR"/>
        </w:rPr>
      </w:pPr>
      <w:r w:rsidRPr="00F305E9">
        <w:rPr>
          <w:rFonts w:ascii="Book Antiqua" w:hAnsi="Book Antiqua"/>
          <w:lang w:val="es-PR"/>
        </w:rPr>
        <w:t xml:space="preserve">A menudo, la Policía de Puerto Rico es el primer punto de contacto para las víctimas de violencia de género al momento de pedir auxilio. Por ello, sus actuaciones deben estar regidas por protocolos que ostenten una perspectiva de protección a las víctimas. No obstante, recientemente han surgido denuncias públicas, reportajes y testimonios de organizaciones </w:t>
      </w:r>
      <w:r w:rsidR="003903B2" w:rsidRPr="00F305E9">
        <w:rPr>
          <w:rFonts w:ascii="Book Antiqua" w:hAnsi="Book Antiqua"/>
          <w:lang w:val="es-PR"/>
        </w:rPr>
        <w:t xml:space="preserve">señalando alegadas fallas recurrentes en el manejo de estos casos. </w:t>
      </w:r>
    </w:p>
    <w:p w14:paraId="10BFFA37" w14:textId="77777777" w:rsidR="005C5F3E" w:rsidRPr="00F305E9" w:rsidRDefault="005C5F3E" w:rsidP="008E4A9E">
      <w:pPr>
        <w:ind w:firstLine="360"/>
        <w:jc w:val="both"/>
        <w:rPr>
          <w:rFonts w:ascii="Book Antiqua" w:hAnsi="Book Antiqua"/>
          <w:lang w:val="es-PR"/>
        </w:rPr>
      </w:pPr>
    </w:p>
    <w:p w14:paraId="74F2BB00" w14:textId="030148B2" w:rsidR="005C5F3E" w:rsidRPr="00F305E9" w:rsidRDefault="005C5F3E" w:rsidP="008E4A9E">
      <w:pPr>
        <w:ind w:firstLine="360"/>
        <w:jc w:val="both"/>
        <w:rPr>
          <w:rFonts w:ascii="Book Antiqua" w:hAnsi="Book Antiqua"/>
          <w:lang w:val="es-PR"/>
        </w:rPr>
      </w:pPr>
      <w:r w:rsidRPr="00F305E9">
        <w:rPr>
          <w:rFonts w:ascii="Book Antiqua" w:hAnsi="Book Antiqua"/>
          <w:lang w:val="es-PR"/>
        </w:rPr>
        <w:lastRenderedPageBreak/>
        <w:t xml:space="preserve">En casos donde ocurra un manejo inadecuado por parte de un empleado de la Policía, la víctima tiene alternativas limitadas. Una de ellas es la presentación de una Querella Administrativa ante la Policía de Puerto Rico. Sin embargo, no existen datos públicos agregados que permitan la fiscalización del manejo de estas querellas. </w:t>
      </w:r>
    </w:p>
    <w:p w14:paraId="3A3C5196" w14:textId="77777777" w:rsidR="003903B2" w:rsidRPr="00F305E9" w:rsidRDefault="003903B2" w:rsidP="008E4A9E">
      <w:pPr>
        <w:ind w:firstLine="360"/>
        <w:jc w:val="both"/>
        <w:rPr>
          <w:rFonts w:ascii="Book Antiqua" w:hAnsi="Book Antiqua"/>
          <w:lang w:val="es-PR"/>
        </w:rPr>
      </w:pPr>
    </w:p>
    <w:p w14:paraId="5E0B95D7" w14:textId="61C77A9A" w:rsidR="007F6508" w:rsidRPr="00F305E9" w:rsidRDefault="003903B2" w:rsidP="003903B2">
      <w:pPr>
        <w:ind w:firstLine="360"/>
        <w:jc w:val="both"/>
        <w:rPr>
          <w:rFonts w:ascii="Book Antiqua" w:hAnsi="Book Antiqua"/>
          <w:lang w:val="es-PR"/>
        </w:rPr>
      </w:pPr>
      <w:r w:rsidRPr="00F305E9">
        <w:rPr>
          <w:rFonts w:ascii="Book Antiqua" w:hAnsi="Book Antiqua"/>
          <w:lang w:val="es-PR"/>
        </w:rPr>
        <w:t>La Asamblea Legislativa tiene el deber de fiscalizar el funcionamiento de estos organismos gubernamentales y asegurar que las instituciones encargadas de proteger a las víctimas actúen conforme a la ley y al interés público.</w:t>
      </w:r>
    </w:p>
    <w:p w14:paraId="04B9D285" w14:textId="57A0BC69" w:rsidR="008E4A9E" w:rsidRPr="00F305E9" w:rsidRDefault="007D3737" w:rsidP="00C12536">
      <w:pPr>
        <w:jc w:val="both"/>
        <w:rPr>
          <w:rFonts w:ascii="Book Antiqua" w:hAnsi="Book Antiqua"/>
          <w:lang w:val="es-PR"/>
        </w:rPr>
      </w:pPr>
      <w:r w:rsidRPr="00F305E9">
        <w:rPr>
          <w:rFonts w:ascii="Book Antiqua" w:hAnsi="Book Antiqua"/>
          <w:lang w:val="es-PR"/>
        </w:rPr>
        <w:t xml:space="preserve"> </w:t>
      </w:r>
    </w:p>
    <w:p w14:paraId="19A2DD0C" w14:textId="77777777" w:rsidR="00DE46D0" w:rsidRPr="00F305E9" w:rsidRDefault="00DE46D0" w:rsidP="008E4A9E">
      <w:pPr>
        <w:spacing w:line="480" w:lineRule="auto"/>
        <w:rPr>
          <w:rFonts w:ascii="Book Antiqua" w:hAnsi="Book Antiqua"/>
          <w:i/>
          <w:lang w:val="es-PR"/>
        </w:rPr>
      </w:pPr>
      <w:r w:rsidRPr="00F305E9">
        <w:rPr>
          <w:rFonts w:ascii="Book Antiqua" w:hAnsi="Book Antiqua"/>
          <w:i/>
          <w:lang w:val="es-PR"/>
        </w:rPr>
        <w:t>RESUÉLVESE POR LA CÁMARA DE REPRESENTANTES DE PUERTO RICO:</w:t>
      </w:r>
    </w:p>
    <w:p w14:paraId="1EA6AB70" w14:textId="77777777" w:rsidR="00DE46D0" w:rsidRPr="00F305E9" w:rsidRDefault="00DE46D0" w:rsidP="00DE46D0">
      <w:pPr>
        <w:spacing w:line="480" w:lineRule="auto"/>
        <w:jc w:val="both"/>
        <w:rPr>
          <w:rFonts w:ascii="Book Antiqua" w:hAnsi="Book Antiqua"/>
          <w:lang w:val="es-PR"/>
        </w:rPr>
        <w:sectPr w:rsidR="00DE46D0" w:rsidRPr="00F305E9">
          <w:headerReference w:type="default" r:id="rId8"/>
          <w:type w:val="continuous"/>
          <w:pgSz w:w="12240" w:h="15840" w:code="1"/>
          <w:pgMar w:top="1440" w:right="1440" w:bottom="1440" w:left="1440" w:header="720" w:footer="720" w:gutter="0"/>
          <w:cols w:space="720"/>
          <w:titlePg/>
        </w:sectPr>
      </w:pPr>
    </w:p>
    <w:p w14:paraId="7B0BA1E7" w14:textId="3B17DBB6" w:rsidR="00DE46D0" w:rsidRPr="00F305E9" w:rsidRDefault="00DE46D0" w:rsidP="003903B2">
      <w:pPr>
        <w:spacing w:line="480" w:lineRule="auto"/>
        <w:ind w:firstLine="360"/>
        <w:jc w:val="both"/>
        <w:rPr>
          <w:rFonts w:ascii="Book Antiqua" w:hAnsi="Book Antiqua"/>
          <w:lang w:val="es-PR"/>
        </w:rPr>
      </w:pPr>
      <w:r w:rsidRPr="00F305E9">
        <w:rPr>
          <w:rFonts w:ascii="Book Antiqua" w:hAnsi="Book Antiqua"/>
          <w:lang w:val="es-PR"/>
        </w:rPr>
        <w:t xml:space="preserve">Sección 1. - </w:t>
      </w:r>
      <w:r w:rsidR="003903B2" w:rsidRPr="00F305E9">
        <w:rPr>
          <w:rFonts w:ascii="Book Antiqua" w:hAnsi="Book Antiqua"/>
          <w:lang w:val="es-PR"/>
        </w:rPr>
        <w:t xml:space="preserve">Se ordena a la Comisión de Seguridad Pública </w:t>
      </w:r>
      <w:r w:rsidR="00F305E9" w:rsidRPr="00F305E9">
        <w:rPr>
          <w:rFonts w:ascii="Book Antiqua" w:hAnsi="Book Antiqua"/>
          <w:lang w:val="es-PR"/>
        </w:rPr>
        <w:t>de la Cámara de Representantes de Puerto Rico realizar una investigación exhaustiva sobre el manejo de las querellas administrativas presentadas contra empleados de la Policía de Puerto Rico relacionadas con el manejo inadecuado de casos de violencia de género; evaluar la efectividad de los protocolos, procedimientos disciplinarios y mecanismos de supervisión existentes; e identificar potenciales deficiencias institucionales</w:t>
      </w:r>
      <w:r w:rsidRPr="00F305E9">
        <w:rPr>
          <w:rFonts w:ascii="Book Antiqua" w:hAnsi="Book Antiqua"/>
          <w:bCs/>
          <w:lang w:val="es-PR"/>
        </w:rPr>
        <w:t>.</w:t>
      </w:r>
    </w:p>
    <w:p w14:paraId="40BA3A3B" w14:textId="6BEE272B" w:rsidR="003903B2" w:rsidRPr="00F305E9" w:rsidRDefault="00DE46D0" w:rsidP="003903B2">
      <w:pPr>
        <w:spacing w:line="480" w:lineRule="auto"/>
        <w:ind w:firstLine="360"/>
        <w:jc w:val="both"/>
        <w:rPr>
          <w:rFonts w:ascii="Book Antiqua" w:hAnsi="Book Antiqua"/>
          <w:lang w:val="es-PR"/>
        </w:rPr>
      </w:pPr>
      <w:r w:rsidRPr="00F305E9">
        <w:rPr>
          <w:rFonts w:ascii="Book Antiqua" w:hAnsi="Book Antiqua"/>
          <w:lang w:val="es-PR"/>
        </w:rPr>
        <w:t xml:space="preserve">Sección 2. </w:t>
      </w:r>
      <w:r w:rsidR="003903B2" w:rsidRPr="00F305E9">
        <w:rPr>
          <w:rFonts w:ascii="Book Antiqua" w:hAnsi="Book Antiqua"/>
          <w:lang w:val="es-PR"/>
        </w:rPr>
        <w:t>–</w:t>
      </w:r>
      <w:r w:rsidRPr="00F305E9">
        <w:rPr>
          <w:rFonts w:ascii="Book Antiqua" w:hAnsi="Book Antiqua"/>
          <w:lang w:val="es-PR"/>
        </w:rPr>
        <w:t xml:space="preserve"> </w:t>
      </w:r>
      <w:r w:rsidR="003903B2" w:rsidRPr="00F305E9">
        <w:rPr>
          <w:rFonts w:ascii="Book Antiqua" w:hAnsi="Book Antiqua"/>
          <w:lang w:val="es-PR"/>
        </w:rPr>
        <w:t>La investigación deberá incluir, sin que se entienda como limitación, los siguientes asuntos:</w:t>
      </w:r>
    </w:p>
    <w:p w14:paraId="5DC90B9D" w14:textId="66AC0B0D" w:rsidR="003903B2" w:rsidRPr="00F305E9" w:rsidRDefault="003903B2" w:rsidP="003903B2">
      <w:pPr>
        <w:pStyle w:val="Prrafodelista"/>
        <w:numPr>
          <w:ilvl w:val="0"/>
          <w:numId w:val="3"/>
        </w:numPr>
        <w:spacing w:line="480" w:lineRule="auto"/>
        <w:jc w:val="both"/>
        <w:rPr>
          <w:rFonts w:ascii="Book Antiqua" w:hAnsi="Book Antiqua"/>
          <w:lang w:val="es-PR"/>
        </w:rPr>
      </w:pPr>
      <w:r w:rsidRPr="00F305E9">
        <w:rPr>
          <w:rFonts w:ascii="Book Antiqua" w:hAnsi="Book Antiqua"/>
          <w:lang w:val="es-PR"/>
        </w:rPr>
        <w:t>La cantidad de querellas administrativas presentadas durante los pasados diez (10) años contra agentes, supervisores o funcionarios de la Policía de Puerto Rico por actuaciones, omisiones o conducta impropia en el manejo de casos de violencia doméstica desglosada por año.</w:t>
      </w:r>
    </w:p>
    <w:p w14:paraId="0F001475" w14:textId="49F18EA3" w:rsidR="003903B2" w:rsidRPr="00F305E9" w:rsidRDefault="003903B2" w:rsidP="003903B2">
      <w:pPr>
        <w:pStyle w:val="Prrafodelista"/>
        <w:numPr>
          <w:ilvl w:val="0"/>
          <w:numId w:val="3"/>
        </w:numPr>
        <w:spacing w:line="480" w:lineRule="auto"/>
        <w:jc w:val="both"/>
        <w:rPr>
          <w:rFonts w:ascii="Book Antiqua" w:hAnsi="Book Antiqua"/>
          <w:lang w:val="es-PR"/>
        </w:rPr>
      </w:pPr>
      <w:r w:rsidRPr="00F305E9">
        <w:rPr>
          <w:rFonts w:ascii="Book Antiqua" w:hAnsi="Book Antiqua"/>
          <w:lang w:val="es-PR"/>
        </w:rPr>
        <w:t>La naturaleza de las alegaciones contenidas en dichas querellas desglosadas por tipo, incluyendo, pero sin limitarse a:</w:t>
      </w:r>
    </w:p>
    <w:p w14:paraId="1C534F2F" w14:textId="77777777" w:rsidR="003903B2" w:rsidRPr="00F305E9" w:rsidRDefault="003903B2" w:rsidP="003903B2">
      <w:pPr>
        <w:numPr>
          <w:ilvl w:val="1"/>
          <w:numId w:val="3"/>
        </w:numPr>
        <w:spacing w:line="480" w:lineRule="auto"/>
        <w:jc w:val="both"/>
        <w:rPr>
          <w:rFonts w:ascii="Book Antiqua" w:hAnsi="Book Antiqua"/>
          <w:lang w:val="es-PR"/>
        </w:rPr>
      </w:pPr>
      <w:r w:rsidRPr="00F305E9">
        <w:rPr>
          <w:rFonts w:ascii="Book Antiqua" w:hAnsi="Book Antiqua"/>
          <w:lang w:val="es-PR"/>
        </w:rPr>
        <w:t>Falta de respuesta oportuna;</w:t>
      </w:r>
    </w:p>
    <w:p w14:paraId="43117512" w14:textId="0053D23F" w:rsidR="003903B2" w:rsidRPr="00F305E9" w:rsidRDefault="003903B2" w:rsidP="003903B2">
      <w:pPr>
        <w:numPr>
          <w:ilvl w:val="1"/>
          <w:numId w:val="3"/>
        </w:numPr>
        <w:spacing w:line="480" w:lineRule="auto"/>
        <w:jc w:val="both"/>
        <w:rPr>
          <w:rFonts w:ascii="Book Antiqua" w:hAnsi="Book Antiqua"/>
          <w:lang w:val="es-PR"/>
        </w:rPr>
      </w:pPr>
      <w:r w:rsidRPr="00F305E9">
        <w:rPr>
          <w:rFonts w:ascii="Book Antiqua" w:hAnsi="Book Antiqua"/>
          <w:lang w:val="es-PR"/>
        </w:rPr>
        <w:t>negativa a intervenir;</w:t>
      </w:r>
    </w:p>
    <w:p w14:paraId="0FC519D2" w14:textId="7E79CFE4" w:rsidR="003903B2" w:rsidRPr="00F305E9" w:rsidRDefault="003903B2" w:rsidP="003903B2">
      <w:pPr>
        <w:numPr>
          <w:ilvl w:val="1"/>
          <w:numId w:val="3"/>
        </w:numPr>
        <w:spacing w:line="480" w:lineRule="auto"/>
        <w:jc w:val="both"/>
        <w:rPr>
          <w:rFonts w:ascii="Book Antiqua" w:hAnsi="Book Antiqua"/>
          <w:lang w:val="es-PR"/>
        </w:rPr>
      </w:pPr>
      <w:r w:rsidRPr="00F305E9">
        <w:rPr>
          <w:rFonts w:ascii="Book Antiqua" w:hAnsi="Book Antiqua"/>
          <w:lang w:val="es-PR"/>
        </w:rPr>
        <w:lastRenderedPageBreak/>
        <w:t>omisión de recopilar evidencia;</w:t>
      </w:r>
    </w:p>
    <w:p w14:paraId="177C3E72" w14:textId="2256E699" w:rsidR="003903B2" w:rsidRPr="00F305E9" w:rsidRDefault="003903B2" w:rsidP="003903B2">
      <w:pPr>
        <w:numPr>
          <w:ilvl w:val="1"/>
          <w:numId w:val="3"/>
        </w:numPr>
        <w:spacing w:line="480" w:lineRule="auto"/>
        <w:jc w:val="both"/>
        <w:rPr>
          <w:rFonts w:ascii="Book Antiqua" w:hAnsi="Book Antiqua"/>
          <w:lang w:val="es-PR"/>
        </w:rPr>
      </w:pPr>
      <w:r w:rsidRPr="00F305E9">
        <w:rPr>
          <w:rFonts w:ascii="Book Antiqua" w:hAnsi="Book Antiqua"/>
          <w:lang w:val="es-PR"/>
        </w:rPr>
        <w:t>revictimización de las víctimas;</w:t>
      </w:r>
    </w:p>
    <w:p w14:paraId="7F46A43C" w14:textId="4C821079" w:rsidR="003903B2" w:rsidRPr="00F305E9" w:rsidRDefault="003903B2" w:rsidP="003903B2">
      <w:pPr>
        <w:numPr>
          <w:ilvl w:val="1"/>
          <w:numId w:val="3"/>
        </w:numPr>
        <w:spacing w:line="480" w:lineRule="auto"/>
        <w:jc w:val="both"/>
        <w:rPr>
          <w:rFonts w:ascii="Book Antiqua" w:hAnsi="Book Antiqua"/>
          <w:lang w:val="es-PR"/>
        </w:rPr>
      </w:pPr>
      <w:r w:rsidRPr="00F305E9">
        <w:rPr>
          <w:rFonts w:ascii="Book Antiqua" w:hAnsi="Book Antiqua"/>
          <w:lang w:val="es-PR"/>
        </w:rPr>
        <w:t>falta de seguimiento;</w:t>
      </w:r>
    </w:p>
    <w:p w14:paraId="541784A9" w14:textId="30CE2BFC" w:rsidR="003903B2" w:rsidRPr="00F305E9" w:rsidRDefault="003903B2" w:rsidP="003903B2">
      <w:pPr>
        <w:numPr>
          <w:ilvl w:val="1"/>
          <w:numId w:val="3"/>
        </w:numPr>
        <w:spacing w:line="480" w:lineRule="auto"/>
        <w:jc w:val="both"/>
        <w:rPr>
          <w:rFonts w:ascii="Book Antiqua" w:hAnsi="Book Antiqua"/>
          <w:lang w:val="es-PR"/>
        </w:rPr>
      </w:pPr>
      <w:r w:rsidRPr="00F305E9">
        <w:rPr>
          <w:rFonts w:ascii="Book Antiqua" w:hAnsi="Book Antiqua"/>
          <w:lang w:val="es-PR"/>
        </w:rPr>
        <w:t>incumplimiento con órdenes de protección;</w:t>
      </w:r>
    </w:p>
    <w:p w14:paraId="254932C5" w14:textId="7AA4471F" w:rsidR="003903B2" w:rsidRPr="00F305E9" w:rsidRDefault="003903B2" w:rsidP="003903B2">
      <w:pPr>
        <w:numPr>
          <w:ilvl w:val="1"/>
          <w:numId w:val="3"/>
        </w:numPr>
        <w:spacing w:line="480" w:lineRule="auto"/>
        <w:jc w:val="both"/>
        <w:rPr>
          <w:rFonts w:ascii="Book Antiqua" w:hAnsi="Book Antiqua"/>
          <w:lang w:val="es-PR"/>
        </w:rPr>
      </w:pPr>
      <w:r w:rsidRPr="00F305E9">
        <w:rPr>
          <w:rFonts w:ascii="Book Antiqua" w:hAnsi="Book Antiqua"/>
          <w:lang w:val="es-PR"/>
        </w:rPr>
        <w:t>divulgación indebida de información confidencial; o,</w:t>
      </w:r>
    </w:p>
    <w:p w14:paraId="65FEDD3A" w14:textId="30DED2E8" w:rsidR="003903B2" w:rsidRPr="00F305E9" w:rsidRDefault="003903B2" w:rsidP="003903B2">
      <w:pPr>
        <w:numPr>
          <w:ilvl w:val="1"/>
          <w:numId w:val="3"/>
        </w:numPr>
        <w:spacing w:line="480" w:lineRule="auto"/>
        <w:jc w:val="both"/>
        <w:rPr>
          <w:rFonts w:ascii="Book Antiqua" w:hAnsi="Book Antiqua"/>
          <w:lang w:val="es-PR"/>
        </w:rPr>
      </w:pPr>
      <w:r w:rsidRPr="00F305E9">
        <w:rPr>
          <w:rFonts w:ascii="Book Antiqua" w:hAnsi="Book Antiqua"/>
          <w:lang w:val="es-PR"/>
        </w:rPr>
        <w:t>trato discriminatorio o negligente.</w:t>
      </w:r>
    </w:p>
    <w:p w14:paraId="04427BF4" w14:textId="77777777" w:rsidR="003903B2" w:rsidRPr="00F305E9" w:rsidRDefault="003903B2" w:rsidP="003903B2">
      <w:pPr>
        <w:numPr>
          <w:ilvl w:val="0"/>
          <w:numId w:val="3"/>
        </w:numPr>
        <w:spacing w:line="480" w:lineRule="auto"/>
        <w:jc w:val="both"/>
        <w:rPr>
          <w:rFonts w:ascii="Book Antiqua" w:hAnsi="Book Antiqua"/>
          <w:lang w:val="es-PR"/>
        </w:rPr>
      </w:pPr>
      <w:r w:rsidRPr="00F305E9">
        <w:rPr>
          <w:rFonts w:ascii="Book Antiqua" w:hAnsi="Book Antiqua"/>
          <w:lang w:val="es-PR"/>
        </w:rPr>
        <w:t>El tiempo promedio que tardan las investigaciones administrativas relacionadas con estos casos.</w:t>
      </w:r>
    </w:p>
    <w:p w14:paraId="0599F212" w14:textId="77777777" w:rsidR="003903B2" w:rsidRPr="00F305E9" w:rsidRDefault="003903B2" w:rsidP="003903B2">
      <w:pPr>
        <w:numPr>
          <w:ilvl w:val="0"/>
          <w:numId w:val="3"/>
        </w:numPr>
        <w:spacing w:line="480" w:lineRule="auto"/>
        <w:jc w:val="both"/>
        <w:rPr>
          <w:rFonts w:ascii="Book Antiqua" w:hAnsi="Book Antiqua"/>
          <w:lang w:val="es-PR"/>
        </w:rPr>
      </w:pPr>
      <w:r w:rsidRPr="00F305E9">
        <w:rPr>
          <w:rFonts w:ascii="Book Antiqua" w:hAnsi="Book Antiqua"/>
          <w:lang w:val="es-PR"/>
        </w:rPr>
        <w:t>La cantidad de querellas archivadas, desestimadas, resueltas mediante medidas correctivas o culminadas con sanciones disciplinarias.</w:t>
      </w:r>
    </w:p>
    <w:p w14:paraId="7DE85961" w14:textId="77777777" w:rsidR="003903B2" w:rsidRPr="00F305E9" w:rsidRDefault="003903B2" w:rsidP="003903B2">
      <w:pPr>
        <w:numPr>
          <w:ilvl w:val="0"/>
          <w:numId w:val="3"/>
        </w:numPr>
        <w:spacing w:line="480" w:lineRule="auto"/>
        <w:jc w:val="both"/>
        <w:rPr>
          <w:rFonts w:ascii="Book Antiqua" w:hAnsi="Book Antiqua"/>
          <w:lang w:val="es-PR"/>
        </w:rPr>
      </w:pPr>
      <w:r w:rsidRPr="00F305E9">
        <w:rPr>
          <w:rFonts w:ascii="Book Antiqua" w:hAnsi="Book Antiqua"/>
          <w:lang w:val="es-PR"/>
        </w:rPr>
        <w:t>La naturaleza de las sanciones impuestas y si existe uniformidad en su aplicación.</w:t>
      </w:r>
    </w:p>
    <w:p w14:paraId="55B9CAF5" w14:textId="77777777" w:rsidR="003903B2" w:rsidRPr="00F305E9" w:rsidRDefault="003903B2" w:rsidP="003903B2">
      <w:pPr>
        <w:numPr>
          <w:ilvl w:val="0"/>
          <w:numId w:val="3"/>
        </w:numPr>
        <w:spacing w:line="480" w:lineRule="auto"/>
        <w:jc w:val="both"/>
        <w:rPr>
          <w:rFonts w:ascii="Book Antiqua" w:hAnsi="Book Antiqua"/>
          <w:lang w:val="es-PR"/>
        </w:rPr>
      </w:pPr>
      <w:r w:rsidRPr="00F305E9">
        <w:rPr>
          <w:rFonts w:ascii="Book Antiqua" w:hAnsi="Book Antiqua"/>
          <w:lang w:val="es-PR"/>
        </w:rPr>
        <w:t>Los protocolos, reglamentos y procedimientos internos vigentes para atender querellas administrativas relacionadas con el manejo de casos de violencia doméstica.</w:t>
      </w:r>
    </w:p>
    <w:p w14:paraId="09CBF4E6" w14:textId="77777777" w:rsidR="003903B2" w:rsidRPr="00F305E9" w:rsidRDefault="003903B2" w:rsidP="003903B2">
      <w:pPr>
        <w:numPr>
          <w:ilvl w:val="0"/>
          <w:numId w:val="3"/>
        </w:numPr>
        <w:spacing w:line="480" w:lineRule="auto"/>
        <w:jc w:val="both"/>
        <w:rPr>
          <w:rFonts w:ascii="Book Antiqua" w:hAnsi="Book Antiqua"/>
          <w:lang w:val="es-PR"/>
        </w:rPr>
      </w:pPr>
      <w:r w:rsidRPr="00F305E9">
        <w:rPr>
          <w:rFonts w:ascii="Book Antiqua" w:hAnsi="Book Antiqua"/>
          <w:lang w:val="es-PR"/>
        </w:rPr>
        <w:t>Los programas de capacitación y adiestramiento ofrecidos a los agentes y supervisores sobre violencia doméstica, perspectiva de género, manejo de trauma y protección de víctimas.</w:t>
      </w:r>
    </w:p>
    <w:p w14:paraId="084F204B" w14:textId="1A933C7A" w:rsidR="00DE46D0" w:rsidRPr="00F305E9" w:rsidRDefault="003903B2" w:rsidP="00A570AF">
      <w:pPr>
        <w:numPr>
          <w:ilvl w:val="0"/>
          <w:numId w:val="3"/>
        </w:numPr>
        <w:spacing w:line="480" w:lineRule="auto"/>
        <w:jc w:val="both"/>
        <w:rPr>
          <w:rFonts w:ascii="Book Antiqua" w:hAnsi="Book Antiqua"/>
          <w:lang w:val="es-PR"/>
        </w:rPr>
      </w:pPr>
      <w:r w:rsidRPr="00F305E9">
        <w:rPr>
          <w:rFonts w:ascii="Book Antiqua" w:hAnsi="Book Antiqua"/>
          <w:lang w:val="es-PR"/>
        </w:rPr>
        <w:t xml:space="preserve">La </w:t>
      </w:r>
      <w:r w:rsidR="0002565F" w:rsidRPr="00F305E9">
        <w:rPr>
          <w:rFonts w:ascii="Book Antiqua" w:hAnsi="Book Antiqua"/>
          <w:lang w:val="es-PR"/>
        </w:rPr>
        <w:t xml:space="preserve">potencial </w:t>
      </w:r>
      <w:r w:rsidRPr="00F305E9">
        <w:rPr>
          <w:rFonts w:ascii="Book Antiqua" w:hAnsi="Book Antiqua"/>
          <w:lang w:val="es-PR"/>
        </w:rPr>
        <w:t>existencia de patrones, tendencias o fallas sistémicas dentro de determinadas regiones policiacas, cuarteles o unidades especializadas</w:t>
      </w:r>
      <w:r w:rsidR="00563A3E" w:rsidRPr="00F305E9">
        <w:rPr>
          <w:rFonts w:ascii="Book Antiqua" w:hAnsi="Book Antiqua"/>
          <w:lang w:val="es-PR"/>
        </w:rPr>
        <w:t>.</w:t>
      </w:r>
    </w:p>
    <w:p w14:paraId="5E969D02" w14:textId="17F3AF30" w:rsidR="00DE46D0" w:rsidRPr="00F305E9" w:rsidRDefault="00DE46D0" w:rsidP="00DE46D0">
      <w:pPr>
        <w:spacing w:line="480" w:lineRule="auto"/>
        <w:ind w:firstLine="360"/>
        <w:jc w:val="both"/>
        <w:rPr>
          <w:rFonts w:ascii="Book Antiqua" w:hAnsi="Book Antiqua"/>
          <w:lang w:val="es-PR"/>
        </w:rPr>
      </w:pPr>
      <w:r w:rsidRPr="00F305E9">
        <w:rPr>
          <w:rFonts w:ascii="Book Antiqua" w:hAnsi="Book Antiqua"/>
          <w:lang w:val="es-PR"/>
        </w:rPr>
        <w:lastRenderedPageBreak/>
        <w:t xml:space="preserve">Sección </w:t>
      </w:r>
      <w:r w:rsidR="00A570AF" w:rsidRPr="00F305E9">
        <w:rPr>
          <w:rFonts w:ascii="Book Antiqua" w:hAnsi="Book Antiqua"/>
          <w:lang w:val="es-PR"/>
        </w:rPr>
        <w:t>5</w:t>
      </w:r>
      <w:r w:rsidRPr="00F305E9">
        <w:rPr>
          <w:rFonts w:ascii="Book Antiqua" w:hAnsi="Book Antiqua"/>
          <w:lang w:val="es-PR"/>
        </w:rPr>
        <w:t xml:space="preserve">. - La Comisión rendirá un informe con sus hallazgos, conclusiones y recomendaciones dentro de un término de </w:t>
      </w:r>
      <w:r w:rsidR="005C5F3E" w:rsidRPr="00F305E9">
        <w:rPr>
          <w:rFonts w:ascii="Book Antiqua" w:hAnsi="Book Antiqua"/>
          <w:lang w:val="es-PR"/>
        </w:rPr>
        <w:t>ciento veinte</w:t>
      </w:r>
      <w:r w:rsidRPr="00F305E9">
        <w:rPr>
          <w:rFonts w:ascii="Book Antiqua" w:hAnsi="Book Antiqua"/>
          <w:lang w:val="es-PR"/>
        </w:rPr>
        <w:t xml:space="preserve"> (</w:t>
      </w:r>
      <w:r w:rsidR="005C5F3E" w:rsidRPr="00F305E9">
        <w:rPr>
          <w:rFonts w:ascii="Book Antiqua" w:hAnsi="Book Antiqua"/>
          <w:lang w:val="es-PR"/>
        </w:rPr>
        <w:t>120</w:t>
      </w:r>
      <w:r w:rsidRPr="00F305E9">
        <w:rPr>
          <w:rFonts w:ascii="Book Antiqua" w:hAnsi="Book Antiqua"/>
          <w:lang w:val="es-PR"/>
        </w:rPr>
        <w:t>) días contados a partir de la aprobación de esta Resolución</w:t>
      </w:r>
    </w:p>
    <w:p w14:paraId="67C16C7E" w14:textId="2B0D2CEB" w:rsidR="002F758C" w:rsidRPr="00F305E9" w:rsidRDefault="00DE46D0" w:rsidP="003903B2">
      <w:pPr>
        <w:spacing w:line="480" w:lineRule="auto"/>
        <w:ind w:firstLine="360"/>
        <w:jc w:val="both"/>
        <w:rPr>
          <w:rFonts w:ascii="Book Antiqua" w:hAnsi="Book Antiqua"/>
          <w:lang w:val="es-PR"/>
        </w:rPr>
      </w:pPr>
      <w:r w:rsidRPr="00F305E9">
        <w:rPr>
          <w:rFonts w:ascii="Book Antiqua" w:hAnsi="Book Antiqua"/>
          <w:lang w:val="es-PR"/>
        </w:rPr>
        <w:t xml:space="preserve">Sección </w:t>
      </w:r>
      <w:r w:rsidR="00A570AF" w:rsidRPr="00F305E9">
        <w:rPr>
          <w:rFonts w:ascii="Book Antiqua" w:hAnsi="Book Antiqua"/>
          <w:lang w:val="es-PR"/>
        </w:rPr>
        <w:t>6</w:t>
      </w:r>
      <w:r w:rsidRPr="00F305E9">
        <w:rPr>
          <w:rFonts w:ascii="Book Antiqua" w:hAnsi="Book Antiqua"/>
          <w:lang w:val="es-PR"/>
        </w:rPr>
        <w:t>. - Esta Resolución comenzará a regir inmediatamente después de su aprobación.</w:t>
      </w:r>
    </w:p>
    <w:sectPr w:rsidR="002F758C" w:rsidRPr="00F305E9" w:rsidSect="00DE46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D9A6E" w14:textId="77777777" w:rsidR="00AD7E3E" w:rsidRDefault="00AD7E3E">
      <w:r>
        <w:separator/>
      </w:r>
    </w:p>
  </w:endnote>
  <w:endnote w:type="continuationSeparator" w:id="0">
    <w:p w14:paraId="55842036" w14:textId="77777777" w:rsidR="00AD7E3E" w:rsidRDefault="00AD7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59370" w14:textId="77777777" w:rsidR="00AD7E3E" w:rsidRDefault="00AD7E3E">
      <w:r>
        <w:separator/>
      </w:r>
    </w:p>
  </w:footnote>
  <w:footnote w:type="continuationSeparator" w:id="0">
    <w:p w14:paraId="6AF002F8" w14:textId="77777777" w:rsidR="00AD7E3E" w:rsidRDefault="00AD7E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E274D"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DE46D0">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14DA6"/>
    <w:multiLevelType w:val="multilevel"/>
    <w:tmpl w:val="FF4E0232"/>
    <w:lvl w:ilvl="0">
      <w:start w:val="1"/>
      <w:numFmt w:val="lowerLetter"/>
      <w:lvlText w:val="%1)"/>
      <w:lvlJc w:val="left"/>
      <w:pPr>
        <w:ind w:left="1080" w:hanging="360"/>
      </w:p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BE8698D"/>
    <w:multiLevelType w:val="hybridMultilevel"/>
    <w:tmpl w:val="4B1244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C55502"/>
    <w:multiLevelType w:val="multilevel"/>
    <w:tmpl w:val="DB0E30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0237581">
    <w:abstractNumId w:val="2"/>
  </w:num>
  <w:num w:numId="2" w16cid:durableId="1652127776">
    <w:abstractNumId w:val="1"/>
  </w:num>
  <w:num w:numId="3" w16cid:durableId="1515723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E46D0"/>
    <w:rsid w:val="00020BBB"/>
    <w:rsid w:val="0002565F"/>
    <w:rsid w:val="00056024"/>
    <w:rsid w:val="00095AE1"/>
    <w:rsid w:val="000A6B6C"/>
    <w:rsid w:val="000B0DBB"/>
    <w:rsid w:val="000E317F"/>
    <w:rsid w:val="00111E71"/>
    <w:rsid w:val="00127C6A"/>
    <w:rsid w:val="001363FE"/>
    <w:rsid w:val="0017132B"/>
    <w:rsid w:val="00176ED4"/>
    <w:rsid w:val="001A0F29"/>
    <w:rsid w:val="001F4CA3"/>
    <w:rsid w:val="001F612A"/>
    <w:rsid w:val="00211396"/>
    <w:rsid w:val="00226AE6"/>
    <w:rsid w:val="00245B34"/>
    <w:rsid w:val="00263355"/>
    <w:rsid w:val="00273792"/>
    <w:rsid w:val="002928E6"/>
    <w:rsid w:val="002C350F"/>
    <w:rsid w:val="002D2384"/>
    <w:rsid w:val="002D4AC8"/>
    <w:rsid w:val="002F758C"/>
    <w:rsid w:val="00320D78"/>
    <w:rsid w:val="003258A7"/>
    <w:rsid w:val="00350EA8"/>
    <w:rsid w:val="003763F3"/>
    <w:rsid w:val="00380FE5"/>
    <w:rsid w:val="003903B2"/>
    <w:rsid w:val="003924DD"/>
    <w:rsid w:val="00394FCB"/>
    <w:rsid w:val="003963F4"/>
    <w:rsid w:val="003B5254"/>
    <w:rsid w:val="003B75A6"/>
    <w:rsid w:val="003F107F"/>
    <w:rsid w:val="004061CA"/>
    <w:rsid w:val="00415689"/>
    <w:rsid w:val="004440CB"/>
    <w:rsid w:val="004713D2"/>
    <w:rsid w:val="004811F3"/>
    <w:rsid w:val="004E55F0"/>
    <w:rsid w:val="00521639"/>
    <w:rsid w:val="00532BB7"/>
    <w:rsid w:val="005332E4"/>
    <w:rsid w:val="0053550C"/>
    <w:rsid w:val="0054505E"/>
    <w:rsid w:val="00555018"/>
    <w:rsid w:val="00563A3E"/>
    <w:rsid w:val="005723DC"/>
    <w:rsid w:val="005C5F3E"/>
    <w:rsid w:val="006210DC"/>
    <w:rsid w:val="0064349D"/>
    <w:rsid w:val="00653EED"/>
    <w:rsid w:val="00685549"/>
    <w:rsid w:val="006A035B"/>
    <w:rsid w:val="006B7365"/>
    <w:rsid w:val="006C2D81"/>
    <w:rsid w:val="006C7DF8"/>
    <w:rsid w:val="006D5F15"/>
    <w:rsid w:val="00737B75"/>
    <w:rsid w:val="00750FC8"/>
    <w:rsid w:val="007533D0"/>
    <w:rsid w:val="00755069"/>
    <w:rsid w:val="007B0660"/>
    <w:rsid w:val="007D3737"/>
    <w:rsid w:val="007E3868"/>
    <w:rsid w:val="007F6508"/>
    <w:rsid w:val="00802C05"/>
    <w:rsid w:val="00815AA2"/>
    <w:rsid w:val="00820C41"/>
    <w:rsid w:val="00850256"/>
    <w:rsid w:val="00852683"/>
    <w:rsid w:val="008E4A9E"/>
    <w:rsid w:val="0091615C"/>
    <w:rsid w:val="0093686F"/>
    <w:rsid w:val="00942FD4"/>
    <w:rsid w:val="00951997"/>
    <w:rsid w:val="00971722"/>
    <w:rsid w:val="00990352"/>
    <w:rsid w:val="009C710B"/>
    <w:rsid w:val="00A03405"/>
    <w:rsid w:val="00A1528A"/>
    <w:rsid w:val="00A33918"/>
    <w:rsid w:val="00A570AF"/>
    <w:rsid w:val="00A7629F"/>
    <w:rsid w:val="00A87E58"/>
    <w:rsid w:val="00AD7E3E"/>
    <w:rsid w:val="00AF0CEE"/>
    <w:rsid w:val="00B667AD"/>
    <w:rsid w:val="00B84C38"/>
    <w:rsid w:val="00B86C00"/>
    <w:rsid w:val="00B947F6"/>
    <w:rsid w:val="00BD4B4F"/>
    <w:rsid w:val="00BF16AA"/>
    <w:rsid w:val="00BF1A91"/>
    <w:rsid w:val="00C12536"/>
    <w:rsid w:val="00C354B8"/>
    <w:rsid w:val="00C52517"/>
    <w:rsid w:val="00C60921"/>
    <w:rsid w:val="00C62936"/>
    <w:rsid w:val="00C653F2"/>
    <w:rsid w:val="00C679E6"/>
    <w:rsid w:val="00C908F9"/>
    <w:rsid w:val="00C9448B"/>
    <w:rsid w:val="00CA0917"/>
    <w:rsid w:val="00CA1099"/>
    <w:rsid w:val="00CE2E2D"/>
    <w:rsid w:val="00D417C2"/>
    <w:rsid w:val="00D60936"/>
    <w:rsid w:val="00D6290E"/>
    <w:rsid w:val="00D709EB"/>
    <w:rsid w:val="00D74714"/>
    <w:rsid w:val="00D82F3F"/>
    <w:rsid w:val="00D921C6"/>
    <w:rsid w:val="00D958C2"/>
    <w:rsid w:val="00DE46D0"/>
    <w:rsid w:val="00E04AB5"/>
    <w:rsid w:val="00E12B3C"/>
    <w:rsid w:val="00E336E9"/>
    <w:rsid w:val="00E44DCA"/>
    <w:rsid w:val="00E50EEA"/>
    <w:rsid w:val="00E52F58"/>
    <w:rsid w:val="00EC26AA"/>
    <w:rsid w:val="00EC7012"/>
    <w:rsid w:val="00ED7A53"/>
    <w:rsid w:val="00EE4273"/>
    <w:rsid w:val="00F02004"/>
    <w:rsid w:val="00F042CB"/>
    <w:rsid w:val="00F1020F"/>
    <w:rsid w:val="00F124E3"/>
    <w:rsid w:val="00F305E9"/>
    <w:rsid w:val="00F60A20"/>
    <w:rsid w:val="00FC0A95"/>
    <w:rsid w:val="00FC3D9C"/>
    <w:rsid w:val="00FF0153"/>
    <w:rsid w:val="00FF4DD7"/>
    <w:rsid w:val="00FF580E"/>
    <w:rsid w:val="00FF60DB"/>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AABFC"/>
  <w15:chartTrackingRefBased/>
  <w15:docId w15:val="{2D380566-CCF7-4E77-8319-260F6B15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rsid w:val="002F758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2F758C"/>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character" w:customStyle="1" w:styleId="Ttulo2Car">
    <w:name w:val="Título 2 Car"/>
    <w:basedOn w:val="Fuentedeprrafopredeter"/>
    <w:link w:val="Ttulo2"/>
    <w:uiPriority w:val="9"/>
    <w:semiHidden/>
    <w:rsid w:val="002F758C"/>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2F758C"/>
    <w:rPr>
      <w:rFonts w:asciiTheme="majorHAnsi" w:eastAsiaTheme="majorEastAsia" w:hAnsiTheme="majorHAnsi" w:cstheme="majorBidi"/>
      <w:color w:val="1F4D78" w:themeColor="accent1" w:themeShade="7F"/>
      <w:sz w:val="24"/>
      <w:szCs w:val="24"/>
    </w:rPr>
  </w:style>
  <w:style w:type="paragraph" w:styleId="Prrafodelista">
    <w:name w:val="List Paragraph"/>
    <w:basedOn w:val="Normal"/>
    <w:uiPriority w:val="34"/>
    <w:qFormat/>
    <w:rsid w:val="003903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704</Words>
  <Characters>4120</Characters>
  <Application>Microsoft Office Word</Application>
  <DocSecurity>0</DocSecurity>
  <Lines>98</Lines>
  <Paragraphs>42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3</cp:revision>
  <cp:lastPrinted>2026-04-10T15:32:00Z</cp:lastPrinted>
  <dcterms:created xsi:type="dcterms:W3CDTF">2026-04-10T18:01:00Z</dcterms:created>
  <dcterms:modified xsi:type="dcterms:W3CDTF">2026-04-13T12:57:00Z</dcterms:modified>
</cp:coreProperties>
</file>