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63AA4" w14:textId="77777777" w:rsidR="00E05FCA" w:rsidRPr="00115C3B" w:rsidRDefault="00115C3B">
      <w:pPr>
        <w:spacing w:after="120"/>
        <w:jc w:val="center"/>
        <w:rPr>
          <w:lang w:val="es-ES_tradnl"/>
        </w:rPr>
      </w:pPr>
      <w:r w:rsidRPr="00115C3B">
        <w:rPr>
          <w:rFonts w:ascii="Book Antiqua" w:eastAsia="Book Antiqua" w:hAnsi="Book Antiqua" w:cs="Book Antiqua"/>
          <w:b/>
          <w:bCs/>
          <w:sz w:val="28"/>
          <w:szCs w:val="28"/>
          <w:lang w:val="es-ES_tradnl"/>
        </w:rPr>
        <w:t>GOBIERNO DE PUERTO RICO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05FCA" w:rsidRPr="00115C3B" w14:paraId="10519194" w14:textId="77777777">
        <w:tc>
          <w:tcPr>
            <w:tcW w:w="3120" w:type="dxa"/>
            <w:tcBorders>
              <w:top w:val="none" w:sz="0" w:space="0" w:color="FFFFFF"/>
              <w:left w:val="none" w:sz="0" w:space="0" w:color="FFFFFF"/>
              <w:bottom w:val="none" w:sz="0" w:space="0" w:color="FFFFFF"/>
              <w:right w:val="none" w:sz="0" w:space="0" w:color="FFFFFF"/>
            </w:tcBorders>
          </w:tcPr>
          <w:p w14:paraId="39A47FB8" w14:textId="77777777" w:rsidR="00E05FCA" w:rsidRPr="00115C3B" w:rsidRDefault="00115C3B">
            <w:pPr>
              <w:rPr>
                <w:lang w:val="es-ES_tradnl"/>
              </w:rPr>
            </w:pPr>
            <w:r w:rsidRPr="00115C3B">
              <w:rPr>
                <w:rFonts w:ascii="Book Antiqua" w:eastAsia="Book Antiqua" w:hAnsi="Book Antiqua" w:cs="Book Antiqua"/>
                <w:sz w:val="24"/>
                <w:szCs w:val="24"/>
                <w:lang w:val="es-ES_tradnl"/>
              </w:rPr>
              <w:t>20ma. Asamblea</w:t>
            </w:r>
          </w:p>
        </w:tc>
        <w:tc>
          <w:tcPr>
            <w:tcW w:w="3120" w:type="dxa"/>
            <w:tcBorders>
              <w:top w:val="none" w:sz="0" w:space="0" w:color="FFFFFF"/>
              <w:left w:val="none" w:sz="0" w:space="0" w:color="FFFFFF"/>
              <w:bottom w:val="none" w:sz="0" w:space="0" w:color="FFFFFF"/>
              <w:right w:val="none" w:sz="0" w:space="0" w:color="FFFFFF"/>
            </w:tcBorders>
          </w:tcPr>
          <w:p w14:paraId="76C47D06" w14:textId="77777777" w:rsidR="00E05FCA" w:rsidRPr="00115C3B" w:rsidRDefault="00E05FCA">
            <w:pPr>
              <w:rPr>
                <w:lang w:val="es-ES_tradnl"/>
              </w:rPr>
            </w:pPr>
          </w:p>
        </w:tc>
        <w:tc>
          <w:tcPr>
            <w:tcW w:w="3120" w:type="dxa"/>
            <w:tcBorders>
              <w:top w:val="none" w:sz="0" w:space="0" w:color="FFFFFF"/>
              <w:left w:val="none" w:sz="0" w:space="0" w:color="FFFFFF"/>
              <w:bottom w:val="none" w:sz="0" w:space="0" w:color="FFFFFF"/>
              <w:right w:val="none" w:sz="0" w:space="0" w:color="FFFFFF"/>
            </w:tcBorders>
          </w:tcPr>
          <w:p w14:paraId="6AFD3E72" w14:textId="77777777" w:rsidR="00E05FCA" w:rsidRPr="00115C3B" w:rsidRDefault="00115C3B">
            <w:pPr>
              <w:jc w:val="right"/>
              <w:rPr>
                <w:lang w:val="es-ES_tradnl"/>
              </w:rPr>
            </w:pPr>
            <w:r w:rsidRPr="00115C3B">
              <w:rPr>
                <w:rFonts w:ascii="Book Antiqua" w:eastAsia="Book Antiqua" w:hAnsi="Book Antiqua" w:cs="Book Antiqua"/>
                <w:sz w:val="24"/>
                <w:szCs w:val="24"/>
                <w:lang w:val="es-ES_tradnl"/>
              </w:rPr>
              <w:t>3ra. Sesión</w:t>
            </w:r>
          </w:p>
        </w:tc>
      </w:tr>
      <w:tr w:rsidR="00E05FCA" w:rsidRPr="00115C3B" w14:paraId="666C8172" w14:textId="77777777">
        <w:tc>
          <w:tcPr>
            <w:tcW w:w="3120" w:type="dxa"/>
            <w:tcBorders>
              <w:top w:val="none" w:sz="0" w:space="0" w:color="FFFFFF"/>
              <w:left w:val="none" w:sz="0" w:space="0" w:color="FFFFFF"/>
              <w:bottom w:val="none" w:sz="0" w:space="0" w:color="FFFFFF"/>
              <w:right w:val="none" w:sz="0" w:space="0" w:color="FFFFFF"/>
            </w:tcBorders>
          </w:tcPr>
          <w:p w14:paraId="244A9F7A" w14:textId="77777777" w:rsidR="00E05FCA" w:rsidRPr="00115C3B" w:rsidRDefault="00115C3B">
            <w:pPr>
              <w:rPr>
                <w:lang w:val="es-ES_tradnl"/>
              </w:rPr>
            </w:pPr>
            <w:r w:rsidRPr="00115C3B">
              <w:rPr>
                <w:rFonts w:ascii="Book Antiqua" w:eastAsia="Book Antiqua" w:hAnsi="Book Antiqua" w:cs="Book Antiqua"/>
                <w:sz w:val="24"/>
                <w:szCs w:val="24"/>
                <w:lang w:val="es-ES_tradnl"/>
              </w:rPr>
              <w:t>Legislativa</w:t>
            </w:r>
          </w:p>
        </w:tc>
        <w:tc>
          <w:tcPr>
            <w:tcW w:w="3120" w:type="dxa"/>
            <w:tcBorders>
              <w:top w:val="none" w:sz="0" w:space="0" w:color="FFFFFF"/>
              <w:left w:val="none" w:sz="0" w:space="0" w:color="FFFFFF"/>
              <w:bottom w:val="none" w:sz="0" w:space="0" w:color="FFFFFF"/>
              <w:right w:val="none" w:sz="0" w:space="0" w:color="FFFFFF"/>
            </w:tcBorders>
          </w:tcPr>
          <w:p w14:paraId="5DD4D473" w14:textId="77777777" w:rsidR="00E05FCA" w:rsidRPr="00115C3B" w:rsidRDefault="00E05FCA">
            <w:pPr>
              <w:rPr>
                <w:lang w:val="es-ES_tradnl"/>
              </w:rPr>
            </w:pPr>
          </w:p>
        </w:tc>
        <w:tc>
          <w:tcPr>
            <w:tcW w:w="3120" w:type="dxa"/>
            <w:tcBorders>
              <w:top w:val="none" w:sz="0" w:space="0" w:color="FFFFFF"/>
              <w:left w:val="none" w:sz="0" w:space="0" w:color="FFFFFF"/>
              <w:bottom w:val="none" w:sz="0" w:space="0" w:color="FFFFFF"/>
              <w:right w:val="none" w:sz="0" w:space="0" w:color="FFFFFF"/>
            </w:tcBorders>
          </w:tcPr>
          <w:p w14:paraId="48E72468" w14:textId="77777777" w:rsidR="00E05FCA" w:rsidRPr="00115C3B" w:rsidRDefault="00115C3B">
            <w:pPr>
              <w:jc w:val="right"/>
              <w:rPr>
                <w:lang w:val="es-ES_tradnl"/>
              </w:rPr>
            </w:pPr>
            <w:r w:rsidRPr="00115C3B">
              <w:rPr>
                <w:rFonts w:ascii="Book Antiqua" w:eastAsia="Book Antiqua" w:hAnsi="Book Antiqua" w:cs="Book Antiqua"/>
                <w:sz w:val="24"/>
                <w:szCs w:val="24"/>
                <w:lang w:val="es-ES_tradnl"/>
              </w:rPr>
              <w:t>Ordinaria</w:t>
            </w:r>
          </w:p>
        </w:tc>
      </w:tr>
    </w:tbl>
    <w:p w14:paraId="6BAEE02F" w14:textId="77777777" w:rsidR="00E05FCA" w:rsidRPr="00115C3B" w:rsidRDefault="00E05FCA">
      <w:pPr>
        <w:spacing w:after="120"/>
        <w:rPr>
          <w:lang w:val="es-ES_tradnl"/>
        </w:rPr>
      </w:pPr>
    </w:p>
    <w:p w14:paraId="2EDB48E3" w14:textId="77777777" w:rsidR="00E05FCA" w:rsidRPr="00115C3B" w:rsidRDefault="00115C3B">
      <w:pPr>
        <w:spacing w:after="120"/>
        <w:jc w:val="center"/>
        <w:rPr>
          <w:lang w:val="es-ES_tradnl"/>
        </w:rPr>
      </w:pPr>
      <w:r w:rsidRPr="00115C3B">
        <w:rPr>
          <w:rFonts w:ascii="Book Antiqua" w:eastAsia="Book Antiqua" w:hAnsi="Book Antiqua" w:cs="Book Antiqua"/>
          <w:b/>
          <w:bCs/>
          <w:sz w:val="36"/>
          <w:szCs w:val="36"/>
          <w:lang w:val="es-ES_tradnl"/>
        </w:rPr>
        <w:t>CÁMARA DE REPRESENTANTES</w:t>
      </w:r>
    </w:p>
    <w:p w14:paraId="2D87EFD4" w14:textId="77777777" w:rsidR="00E05FCA" w:rsidRPr="00115C3B" w:rsidRDefault="00E05FCA">
      <w:pPr>
        <w:spacing w:after="80"/>
        <w:rPr>
          <w:lang w:val="es-ES_tradnl"/>
        </w:rPr>
      </w:pPr>
    </w:p>
    <w:p w14:paraId="530856CE" w14:textId="77777777" w:rsidR="00E05FCA" w:rsidRPr="00115C3B" w:rsidRDefault="00115C3B">
      <w:pPr>
        <w:spacing w:after="120"/>
        <w:jc w:val="center"/>
        <w:rPr>
          <w:lang w:val="es-ES_tradnl"/>
        </w:rPr>
      </w:pPr>
      <w:r w:rsidRPr="00115C3B">
        <w:rPr>
          <w:rFonts w:ascii="Book Antiqua" w:eastAsia="Book Antiqua" w:hAnsi="Book Antiqua" w:cs="Book Antiqua"/>
          <w:b/>
          <w:bCs/>
          <w:sz w:val="52"/>
          <w:szCs w:val="52"/>
          <w:lang w:val="es-ES_tradnl"/>
        </w:rPr>
        <w:t>R. DE LA C. 668</w:t>
      </w:r>
    </w:p>
    <w:p w14:paraId="01F6FEEC" w14:textId="77777777" w:rsidR="00E05FCA" w:rsidRPr="00115C3B" w:rsidRDefault="00E05FCA">
      <w:pPr>
        <w:spacing w:after="80"/>
        <w:rPr>
          <w:lang w:val="es-ES_tradnl"/>
        </w:rPr>
      </w:pPr>
    </w:p>
    <w:p w14:paraId="7B9E4E4A" w14:textId="77777777" w:rsidR="00E05FCA" w:rsidRPr="00115C3B" w:rsidRDefault="00115C3B">
      <w:pPr>
        <w:spacing w:after="120"/>
        <w:jc w:val="center"/>
        <w:rPr>
          <w:lang w:val="es-ES_tradnl"/>
        </w:rPr>
      </w:pPr>
      <w:r w:rsidRPr="00115C3B">
        <w:rPr>
          <w:rFonts w:ascii="Book Antiqua" w:eastAsia="Book Antiqua" w:hAnsi="Book Antiqua" w:cs="Book Antiqua"/>
          <w:b/>
          <w:bCs/>
          <w:sz w:val="28"/>
          <w:szCs w:val="28"/>
          <w:lang w:val="es-ES_tradnl"/>
        </w:rPr>
        <w:t>INFORME POSITIVO</w:t>
      </w:r>
    </w:p>
    <w:p w14:paraId="032E73AF" w14:textId="77777777" w:rsidR="00E05FCA" w:rsidRPr="00115C3B" w:rsidRDefault="00E05FCA">
      <w:pPr>
        <w:spacing w:after="80"/>
        <w:rPr>
          <w:lang w:val="es-ES_tradnl"/>
        </w:rPr>
      </w:pPr>
    </w:p>
    <w:p w14:paraId="2818C24A" w14:textId="77777777" w:rsidR="00E05FCA" w:rsidRPr="00115C3B" w:rsidRDefault="00115C3B">
      <w:pPr>
        <w:spacing w:after="200"/>
        <w:jc w:val="center"/>
        <w:rPr>
          <w:lang w:val="es-ES_tradnl"/>
        </w:rPr>
      </w:pPr>
      <w:r w:rsidRPr="00115C3B">
        <w:rPr>
          <w:rFonts w:ascii="Book Antiqua" w:eastAsia="Book Antiqua" w:hAnsi="Book Antiqua" w:cs="Book Antiqua"/>
          <w:sz w:val="24"/>
          <w:szCs w:val="24"/>
          <w:lang w:val="es-ES_tradnl"/>
        </w:rPr>
        <w:t>5 de mayo de 2026</w:t>
      </w:r>
    </w:p>
    <w:p w14:paraId="58E24FD3" w14:textId="77777777" w:rsidR="00E05FCA" w:rsidRPr="00115C3B" w:rsidRDefault="00115C3B">
      <w:pPr>
        <w:spacing w:after="160"/>
        <w:jc w:val="both"/>
        <w:rPr>
          <w:lang w:val="es-ES_tradnl"/>
        </w:rPr>
      </w:pPr>
      <w:r w:rsidRPr="00115C3B">
        <w:rPr>
          <w:rFonts w:ascii="Book Antiqua" w:eastAsia="Book Antiqua" w:hAnsi="Book Antiqua" w:cs="Book Antiqua"/>
          <w:b/>
          <w:bCs/>
          <w:sz w:val="24"/>
          <w:szCs w:val="24"/>
          <w:lang w:val="es-ES_tradnl"/>
        </w:rPr>
        <w:t>A LA CÁMARA DE REPRESENTANTES DE PUERTO RICO:</w:t>
      </w:r>
    </w:p>
    <w:p w14:paraId="7D1D324E" w14:textId="77777777" w:rsidR="00E05FCA" w:rsidRPr="00115C3B" w:rsidRDefault="00E05FCA">
      <w:pPr>
        <w:spacing w:after="80"/>
        <w:rPr>
          <w:lang w:val="es-ES_tradnl"/>
        </w:rPr>
      </w:pPr>
    </w:p>
    <w:p w14:paraId="641FE6AD" w14:textId="77777777" w:rsidR="00E05FCA" w:rsidRPr="00115C3B" w:rsidRDefault="00115C3B">
      <w:pPr>
        <w:spacing w:after="160"/>
        <w:jc w:val="both"/>
        <w:rPr>
          <w:lang w:val="es-ES_tradnl"/>
        </w:rPr>
      </w:pPr>
      <w:r w:rsidRPr="00115C3B">
        <w:rPr>
          <w:rFonts w:ascii="Book Antiqua" w:eastAsia="Book Antiqua" w:hAnsi="Book Antiqua" w:cs="Book Antiqua"/>
          <w:sz w:val="24"/>
          <w:szCs w:val="24"/>
          <w:lang w:val="es-ES_tradnl"/>
        </w:rPr>
        <w:tab/>
        <w:t xml:space="preserve">La Comisión de Asuntos Internos de la Cámara de Representantes, previo estudio y consideración de la R. de la C. 668, tiene a bien someter su informe recomendando la aprobación de la medida con las enmiendas contenidas en el </w:t>
      </w:r>
      <w:proofErr w:type="spellStart"/>
      <w:r w:rsidRPr="00115C3B">
        <w:rPr>
          <w:rFonts w:ascii="Book Antiqua" w:eastAsia="Book Antiqua" w:hAnsi="Book Antiqua" w:cs="Book Antiqua"/>
          <w:sz w:val="24"/>
          <w:szCs w:val="24"/>
          <w:lang w:val="es-ES_tradnl"/>
        </w:rPr>
        <w:t>entirillado</w:t>
      </w:r>
      <w:proofErr w:type="spellEnd"/>
      <w:r w:rsidRPr="00115C3B">
        <w:rPr>
          <w:rFonts w:ascii="Book Antiqua" w:eastAsia="Book Antiqua" w:hAnsi="Book Antiqua" w:cs="Book Antiqua"/>
          <w:sz w:val="24"/>
          <w:szCs w:val="24"/>
          <w:lang w:val="es-ES_tradnl"/>
        </w:rPr>
        <w:t xml:space="preserve"> electrónico que acompaña este informe, cuyo título lee:</w:t>
      </w:r>
    </w:p>
    <w:p w14:paraId="36E15CEE" w14:textId="77777777" w:rsidR="00E05FCA" w:rsidRPr="00115C3B" w:rsidRDefault="00E05FCA">
      <w:pPr>
        <w:spacing w:after="80"/>
        <w:rPr>
          <w:lang w:val="es-ES_tradnl"/>
        </w:rPr>
      </w:pPr>
    </w:p>
    <w:p w14:paraId="7EB6E761" w14:textId="77777777" w:rsidR="00E05FCA" w:rsidRDefault="00115C3B" w:rsidP="00115C3B">
      <w:pPr>
        <w:spacing w:after="200"/>
        <w:ind w:left="567" w:hanging="567"/>
        <w:jc w:val="both"/>
        <w:rPr>
          <w:rFonts w:ascii="Book Antiqua" w:eastAsia="Book Antiqua" w:hAnsi="Book Antiqua" w:cs="Book Antiqua"/>
          <w:sz w:val="24"/>
          <w:szCs w:val="24"/>
          <w:lang w:val="es-ES_tradnl"/>
        </w:rPr>
      </w:pPr>
      <w:r w:rsidRPr="00115C3B">
        <w:rPr>
          <w:rFonts w:ascii="Book Antiqua" w:eastAsia="Book Antiqua" w:hAnsi="Book Antiqua" w:cs="Book Antiqua"/>
          <w:sz w:val="24"/>
          <w:szCs w:val="24"/>
          <w:lang w:val="es-ES_tradnl"/>
        </w:rPr>
        <w:t xml:space="preserve"> “Para ordenar a la Comisión de la Región Norte de la Cámara de Representantes de Puerto Rico realizar una investigación exhaustiva sobre el estado de la infraestructura, la operación, la continuidad y la idoneidad de las estaciones de bombeo provisionales de la Autoridad de Acueductos y Alcantarillados (A.A.A.) ubicadas en el municipio de Arecibo, particularmente en los sectores La Puntilla y El Fuerte; evaluar los riesgos que su condición representa para la salud, el ambiente y la actividad económica; formular recomendaciones y propuestas dirigidas a mejorar la calidad, eficiencia, confiabilidad y continuidad de los servicios provistos por dichas instalaciones; y para otros fines relacionados.”</w:t>
      </w:r>
    </w:p>
    <w:p w14:paraId="49D77B09" w14:textId="77777777" w:rsidR="00115C3B" w:rsidRPr="00115C3B" w:rsidRDefault="00115C3B" w:rsidP="00115C3B">
      <w:pPr>
        <w:spacing w:after="200"/>
        <w:ind w:left="567" w:hanging="567"/>
        <w:jc w:val="both"/>
        <w:rPr>
          <w:lang w:val="es-ES_tradnl"/>
        </w:rPr>
      </w:pPr>
    </w:p>
    <w:p w14:paraId="6A97D96A" w14:textId="77777777" w:rsidR="00E05FCA" w:rsidRPr="00115C3B" w:rsidRDefault="00115C3B" w:rsidP="00115C3B">
      <w:pPr>
        <w:spacing w:after="160"/>
        <w:jc w:val="center"/>
        <w:rPr>
          <w:lang w:val="es-ES_tradnl"/>
        </w:rPr>
      </w:pPr>
      <w:r w:rsidRPr="00115C3B">
        <w:rPr>
          <w:rFonts w:ascii="Book Antiqua" w:eastAsia="Book Antiqua" w:hAnsi="Book Antiqua" w:cs="Book Antiqua"/>
          <w:b/>
          <w:bCs/>
          <w:sz w:val="24"/>
          <w:szCs w:val="24"/>
          <w:u w:val="single"/>
          <w:lang w:val="es-ES_tradnl"/>
        </w:rPr>
        <w:t>ALCANCE Y ANÁLISIS DE LA MEDIDA</w:t>
      </w:r>
    </w:p>
    <w:p w14:paraId="5E7CACD8" w14:textId="77777777" w:rsidR="00E05FCA" w:rsidRPr="00115C3B" w:rsidRDefault="00115C3B">
      <w:pPr>
        <w:spacing w:after="160"/>
        <w:jc w:val="both"/>
        <w:rPr>
          <w:lang w:val="es-ES_tradnl"/>
        </w:rPr>
      </w:pPr>
      <w:r w:rsidRPr="00115C3B">
        <w:rPr>
          <w:rFonts w:ascii="Book Antiqua" w:eastAsia="Book Antiqua" w:hAnsi="Book Antiqua" w:cs="Book Antiqua"/>
          <w:sz w:val="24"/>
          <w:szCs w:val="24"/>
          <w:lang w:val="es-ES_tradnl"/>
        </w:rPr>
        <w:tab/>
        <w:t xml:space="preserve">La Resolución de la Cámara Núm. 668 tiene el propósito de ordenar a la Comisión de la Región Norte de la Cámara de Representantes de Puerto Rico la realización de una investigación exhaustiva sobre la operación, continuidad e idoneidad de las estaciones de bombeo provisionales de la Autoridad de Acueductos y Alcantarillados, con particular atención a las instalaciones ubicadas en los sectores La Puntilla y El Fuerte del municipio de Arecibo. La medida procura evaluar las condiciones de dichas instalaciones, los riesgos asociados a su operación provisional y </w:t>
      </w:r>
      <w:r w:rsidRPr="00115C3B">
        <w:rPr>
          <w:rFonts w:ascii="Book Antiqua" w:eastAsia="Book Antiqua" w:hAnsi="Book Antiqua" w:cs="Book Antiqua"/>
          <w:sz w:val="24"/>
          <w:szCs w:val="24"/>
          <w:lang w:val="es-ES_tradnl"/>
        </w:rPr>
        <w:lastRenderedPageBreak/>
        <w:t>la necesidad de formular recomendaciones dirigidas a mejorar la confiabilidad y continuidad de los servicios provistos por dichas estructuras.</w:t>
      </w:r>
    </w:p>
    <w:p w14:paraId="6FFFC58A" w14:textId="77777777" w:rsidR="00E05FCA" w:rsidRPr="00115C3B" w:rsidRDefault="00115C3B">
      <w:pPr>
        <w:spacing w:after="160"/>
        <w:jc w:val="both"/>
        <w:rPr>
          <w:lang w:val="es-ES_tradnl"/>
        </w:rPr>
      </w:pPr>
      <w:r w:rsidRPr="00115C3B">
        <w:rPr>
          <w:rFonts w:ascii="Book Antiqua" w:eastAsia="Book Antiqua" w:hAnsi="Book Antiqua" w:cs="Book Antiqua"/>
          <w:sz w:val="24"/>
          <w:szCs w:val="24"/>
          <w:lang w:val="es-ES_tradnl"/>
        </w:rPr>
        <w:tab/>
        <w:t>La Exposición de Motivos plantea que las estaciones de bombeo de agua potable y sanitaria forman parte de la infraestructura crítica de la Autoridad de Acueductos y Alcantarillados. Asimismo, destaca que, en determinadas circunstancias, la A.A.A. ha recurrido a soluciones provisionales de bombeo para atender situaciones que comprometen la continuidad del servicio. No obstante, la medida señala que dichas soluciones temporeras pueden extenderse por periodos prolongados sin que se establezcan alternativas permanentes, lo que genera preocupaciones legítimas en torno a la planificación, ejecución y resiliencia de la infraestructura pública esencial.</w:t>
      </w:r>
    </w:p>
    <w:p w14:paraId="424A2EA0" w14:textId="77777777" w:rsidR="00E05FCA" w:rsidRPr="00115C3B" w:rsidRDefault="00115C3B">
      <w:pPr>
        <w:spacing w:after="200"/>
        <w:jc w:val="both"/>
        <w:rPr>
          <w:lang w:val="es-ES_tradnl"/>
        </w:rPr>
      </w:pPr>
      <w:r w:rsidRPr="00115C3B">
        <w:rPr>
          <w:rFonts w:ascii="Book Antiqua" w:eastAsia="Book Antiqua" w:hAnsi="Book Antiqua" w:cs="Book Antiqua"/>
          <w:sz w:val="24"/>
          <w:szCs w:val="24"/>
          <w:lang w:val="es-ES_tradnl"/>
        </w:rPr>
        <w:tab/>
        <w:t>En particular, la Resolución identifica la situación de las estaciones de bombeo ubicadas en La Puntilla y El Fuerte, en Arecibo. Según surge de la medida, la estación de aguas sanitarias de La Puntilla opera mediante un sistema provisional instalado luego del paso del Huracán María, mientras que la estación del sector El Fuerte enfrenta dificultades asociadas a eventos de lluvia e interrupciones en el suministro eléctrico. Estas circunstancias justifican que la Cámara de Representantes autorice un proceso de evaluación legislativa dirigido a conocer el estado físico, estructural y operacional de dichas instalaciones, así como los riesgos que su condición pueda representar para la salud pública, el ambiente y la actividad económica de las comunidades afectadas.</w:t>
      </w:r>
    </w:p>
    <w:p w14:paraId="32EB94C1" w14:textId="77777777" w:rsidR="00E05FCA" w:rsidRPr="00115C3B" w:rsidRDefault="00115C3B">
      <w:pPr>
        <w:spacing w:after="160"/>
        <w:jc w:val="center"/>
        <w:rPr>
          <w:lang w:val="es-ES_tradnl"/>
        </w:rPr>
      </w:pPr>
      <w:r w:rsidRPr="00115C3B">
        <w:rPr>
          <w:rFonts w:ascii="Book Antiqua" w:eastAsia="Book Antiqua" w:hAnsi="Book Antiqua" w:cs="Book Antiqua"/>
          <w:b/>
          <w:bCs/>
          <w:sz w:val="24"/>
          <w:szCs w:val="24"/>
          <w:u w:val="single"/>
          <w:lang w:val="es-ES_tradnl"/>
        </w:rPr>
        <w:t>CONCLUSIÓN Y RECOMENDACIÓN</w:t>
      </w:r>
    </w:p>
    <w:p w14:paraId="12B687C8" w14:textId="77777777" w:rsidR="00E05FCA" w:rsidRPr="00115C3B" w:rsidRDefault="00E05FCA">
      <w:pPr>
        <w:spacing w:after="80"/>
        <w:rPr>
          <w:lang w:val="es-ES_tradnl"/>
        </w:rPr>
      </w:pPr>
    </w:p>
    <w:p w14:paraId="7F83CB0F" w14:textId="77777777" w:rsidR="00E05FCA" w:rsidRPr="00115C3B" w:rsidRDefault="00115C3B">
      <w:pPr>
        <w:spacing w:after="200"/>
        <w:jc w:val="both"/>
        <w:rPr>
          <w:lang w:val="es-ES_tradnl"/>
        </w:rPr>
      </w:pPr>
      <w:r w:rsidRPr="00115C3B">
        <w:rPr>
          <w:rFonts w:ascii="Book Antiqua" w:eastAsia="Book Antiqua" w:hAnsi="Book Antiqua" w:cs="Book Antiqua"/>
          <w:sz w:val="24"/>
          <w:szCs w:val="24"/>
          <w:lang w:val="es-ES_tradnl"/>
        </w:rPr>
        <w:tab/>
        <w:t xml:space="preserve">Considerando los elementos analizados, esta Comisión concluye que la medida examinada responde a un interés legislativo legítimo y debidamente fundamentado. En consecuencia, se recomienda la aprobación de la Resolución de la Cámara 668, con las enmiendas que obran en el </w:t>
      </w:r>
      <w:proofErr w:type="spellStart"/>
      <w:r w:rsidRPr="00115C3B">
        <w:rPr>
          <w:rFonts w:ascii="Book Antiqua" w:eastAsia="Book Antiqua" w:hAnsi="Book Antiqua" w:cs="Book Antiqua"/>
          <w:sz w:val="24"/>
          <w:szCs w:val="24"/>
          <w:lang w:val="es-ES_tradnl"/>
        </w:rPr>
        <w:t>entirillado</w:t>
      </w:r>
      <w:proofErr w:type="spellEnd"/>
      <w:r w:rsidRPr="00115C3B">
        <w:rPr>
          <w:rFonts w:ascii="Book Antiqua" w:eastAsia="Book Antiqua" w:hAnsi="Book Antiqua" w:cs="Book Antiqua"/>
          <w:sz w:val="24"/>
          <w:szCs w:val="24"/>
          <w:lang w:val="es-ES_tradnl"/>
        </w:rPr>
        <w:t xml:space="preserve"> electrónico que acompaña este informe.</w:t>
      </w:r>
    </w:p>
    <w:p w14:paraId="7E12029F" w14:textId="77777777" w:rsidR="00E05FCA" w:rsidRPr="00887E89" w:rsidRDefault="00115C3B">
      <w:pPr>
        <w:spacing w:after="160"/>
        <w:jc w:val="both"/>
        <w:rPr>
          <w:lang w:val="pt-PT"/>
        </w:rPr>
      </w:pPr>
      <w:r w:rsidRPr="00887E89">
        <w:rPr>
          <w:rFonts w:ascii="Book Antiqua" w:eastAsia="Book Antiqua" w:hAnsi="Book Antiqua" w:cs="Book Antiqua"/>
          <w:sz w:val="24"/>
          <w:szCs w:val="24"/>
          <w:lang w:val="pt-PT"/>
        </w:rPr>
        <w:t>Respetuosamente sometido,</w:t>
      </w:r>
    </w:p>
    <w:p w14:paraId="13FB777D" w14:textId="77777777" w:rsidR="00E05FCA" w:rsidRPr="00887E89" w:rsidRDefault="00E05FCA">
      <w:pPr>
        <w:spacing w:after="80"/>
        <w:rPr>
          <w:lang w:val="pt-PT"/>
        </w:rPr>
      </w:pPr>
    </w:p>
    <w:p w14:paraId="3AFAF662" w14:textId="77777777" w:rsidR="00887E89" w:rsidRPr="00887E89" w:rsidRDefault="00887E89">
      <w:pPr>
        <w:spacing w:after="80"/>
        <w:rPr>
          <w:lang w:val="pt-PT"/>
        </w:rPr>
      </w:pPr>
    </w:p>
    <w:p w14:paraId="3123B547" w14:textId="77777777" w:rsidR="00E05FCA" w:rsidRPr="00887E89" w:rsidRDefault="00E05FCA">
      <w:pPr>
        <w:spacing w:after="80"/>
        <w:rPr>
          <w:lang w:val="pt-PT"/>
        </w:rPr>
      </w:pPr>
    </w:p>
    <w:p w14:paraId="41EE277B" w14:textId="77777777" w:rsidR="00E05FCA" w:rsidRPr="00887E89" w:rsidRDefault="00115C3B">
      <w:pPr>
        <w:spacing w:after="80"/>
        <w:jc w:val="both"/>
        <w:rPr>
          <w:lang w:val="pt-PT"/>
        </w:rPr>
      </w:pPr>
      <w:r w:rsidRPr="00887E89">
        <w:rPr>
          <w:rFonts w:ascii="Book Antiqua" w:eastAsia="Book Antiqua" w:hAnsi="Book Antiqua" w:cs="Book Antiqua"/>
          <w:b/>
          <w:bCs/>
          <w:sz w:val="24"/>
          <w:szCs w:val="24"/>
          <w:lang w:val="pt-PT"/>
        </w:rPr>
        <w:t>PEDRO JULIO SANTIAGO GUZMÁN</w:t>
      </w:r>
    </w:p>
    <w:p w14:paraId="686D667C" w14:textId="77777777" w:rsidR="00E05FCA" w:rsidRPr="00115C3B" w:rsidRDefault="00115C3B">
      <w:pPr>
        <w:spacing w:after="80"/>
        <w:jc w:val="both"/>
        <w:rPr>
          <w:lang w:val="es-ES_tradnl"/>
        </w:rPr>
      </w:pPr>
      <w:r w:rsidRPr="00115C3B">
        <w:rPr>
          <w:rFonts w:ascii="Book Antiqua" w:eastAsia="Book Antiqua" w:hAnsi="Book Antiqua" w:cs="Book Antiqua"/>
          <w:sz w:val="24"/>
          <w:szCs w:val="24"/>
          <w:lang w:val="es-ES_tradnl"/>
        </w:rPr>
        <w:t>Presidente</w:t>
      </w:r>
    </w:p>
    <w:p w14:paraId="480183DB" w14:textId="77777777" w:rsidR="00E05FCA" w:rsidRPr="00115C3B" w:rsidRDefault="00115C3B">
      <w:pPr>
        <w:spacing w:after="120"/>
        <w:jc w:val="both"/>
        <w:rPr>
          <w:lang w:val="es-ES_tradnl"/>
        </w:rPr>
      </w:pPr>
      <w:r w:rsidRPr="00115C3B">
        <w:rPr>
          <w:rFonts w:ascii="Book Antiqua" w:eastAsia="Book Antiqua" w:hAnsi="Book Antiqua" w:cs="Book Antiqua"/>
          <w:sz w:val="24"/>
          <w:szCs w:val="24"/>
          <w:lang w:val="es-ES_tradnl"/>
        </w:rPr>
        <w:t>Comisión de Asuntos Internos</w:t>
      </w:r>
    </w:p>
    <w:sectPr w:rsidR="00E05FCA" w:rsidRPr="00115C3B">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941DD7"/>
    <w:multiLevelType w:val="hybridMultilevel"/>
    <w:tmpl w:val="0E2E516C"/>
    <w:lvl w:ilvl="0" w:tplc="F5FC5172">
      <w:start w:val="1"/>
      <w:numFmt w:val="bullet"/>
      <w:lvlText w:val="●"/>
      <w:lvlJc w:val="left"/>
      <w:pPr>
        <w:ind w:left="720" w:hanging="360"/>
      </w:pPr>
    </w:lvl>
    <w:lvl w:ilvl="1" w:tplc="EDBA7A12">
      <w:start w:val="1"/>
      <w:numFmt w:val="bullet"/>
      <w:lvlText w:val="○"/>
      <w:lvlJc w:val="left"/>
      <w:pPr>
        <w:ind w:left="1440" w:hanging="360"/>
      </w:pPr>
    </w:lvl>
    <w:lvl w:ilvl="2" w:tplc="6D781880">
      <w:start w:val="1"/>
      <w:numFmt w:val="bullet"/>
      <w:lvlText w:val="■"/>
      <w:lvlJc w:val="left"/>
      <w:pPr>
        <w:ind w:left="2160" w:hanging="360"/>
      </w:pPr>
    </w:lvl>
    <w:lvl w:ilvl="3" w:tplc="45CC2F6C">
      <w:start w:val="1"/>
      <w:numFmt w:val="bullet"/>
      <w:lvlText w:val="●"/>
      <w:lvlJc w:val="left"/>
      <w:pPr>
        <w:ind w:left="2880" w:hanging="360"/>
      </w:pPr>
    </w:lvl>
    <w:lvl w:ilvl="4" w:tplc="8B8625AC">
      <w:start w:val="1"/>
      <w:numFmt w:val="bullet"/>
      <w:lvlText w:val="○"/>
      <w:lvlJc w:val="left"/>
      <w:pPr>
        <w:ind w:left="3600" w:hanging="360"/>
      </w:pPr>
    </w:lvl>
    <w:lvl w:ilvl="5" w:tplc="BA6405E2">
      <w:start w:val="1"/>
      <w:numFmt w:val="bullet"/>
      <w:lvlText w:val="■"/>
      <w:lvlJc w:val="left"/>
      <w:pPr>
        <w:ind w:left="4320" w:hanging="360"/>
      </w:pPr>
    </w:lvl>
    <w:lvl w:ilvl="6" w:tplc="EF3463C2">
      <w:start w:val="1"/>
      <w:numFmt w:val="bullet"/>
      <w:lvlText w:val="●"/>
      <w:lvlJc w:val="left"/>
      <w:pPr>
        <w:ind w:left="5040" w:hanging="360"/>
      </w:pPr>
    </w:lvl>
    <w:lvl w:ilvl="7" w:tplc="9454C2EA">
      <w:start w:val="1"/>
      <w:numFmt w:val="bullet"/>
      <w:lvlText w:val="●"/>
      <w:lvlJc w:val="left"/>
      <w:pPr>
        <w:ind w:left="5760" w:hanging="360"/>
      </w:pPr>
    </w:lvl>
    <w:lvl w:ilvl="8" w:tplc="181E98EE">
      <w:start w:val="1"/>
      <w:numFmt w:val="bullet"/>
      <w:lvlText w:val="●"/>
      <w:lvlJc w:val="left"/>
      <w:pPr>
        <w:ind w:left="6480" w:hanging="360"/>
      </w:pPr>
    </w:lvl>
  </w:abstractNum>
  <w:num w:numId="1" w16cid:durableId="8770141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E05FCA"/>
    <w:rsid w:val="00115C3B"/>
    <w:rsid w:val="00654464"/>
    <w:rsid w:val="00887E89"/>
    <w:rsid w:val="00E05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1E9615"/>
  <w15:docId w15:val="{BE121D0B-57B3-4386-B20F-D1FB405B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570</Words>
  <Characters>3252</Characters>
  <Application>Microsoft Office Word</Application>
  <DocSecurity>0</DocSecurity>
  <Lines>27</Lines>
  <Paragraphs>7</Paragraphs>
  <ScaleCrop>false</ScaleCrop>
  <Company>Admin</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Miguel A. Candelario Piñeiro</cp:lastModifiedBy>
  <cp:revision>3</cp:revision>
  <dcterms:created xsi:type="dcterms:W3CDTF">2026-05-05T03:44:00Z</dcterms:created>
  <dcterms:modified xsi:type="dcterms:W3CDTF">2026-05-05T13:39:00Z</dcterms:modified>
</cp:coreProperties>
</file>