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8611A" w14:textId="77777777" w:rsidR="00E77265" w:rsidRPr="0064564B" w:rsidRDefault="00E77265" w:rsidP="00E77265">
      <w:pPr>
        <w:jc w:val="center"/>
        <w:outlineLvl w:val="0"/>
        <w:rPr>
          <w:rFonts w:ascii="Book Antiqua" w:hAnsi="Book Antiqua"/>
          <w:b/>
          <w:sz w:val="28"/>
          <w:szCs w:val="28"/>
          <w:lang w:val="es-ES_tradnl"/>
        </w:rPr>
      </w:pPr>
      <w:r>
        <w:rPr>
          <w:rFonts w:ascii="Book Antiqua" w:hAnsi="Book Antiqua"/>
          <w:b/>
          <w:sz w:val="28"/>
          <w:szCs w:val="28"/>
          <w:lang w:val="es-ES_tradnl"/>
        </w:rPr>
        <w:t>GOBIERNO DE PUERTO RICO</w:t>
      </w:r>
    </w:p>
    <w:p w14:paraId="0B22068E" w14:textId="77777777" w:rsidR="00E77265" w:rsidRPr="0064564B" w:rsidRDefault="00E77265" w:rsidP="00E77265">
      <w:pPr>
        <w:tabs>
          <w:tab w:val="left" w:pos="5080"/>
        </w:tabs>
        <w:jc w:val="center"/>
        <w:rPr>
          <w:rFonts w:ascii="Book Antiqua" w:hAnsi="Book Antiqua"/>
          <w:lang w:val="es-ES_tradnl"/>
        </w:rPr>
      </w:pPr>
    </w:p>
    <w:p w14:paraId="33621C7A" w14:textId="1A7559FD" w:rsidR="00E77265" w:rsidRPr="0064564B" w:rsidRDefault="00E77265" w:rsidP="00E77265">
      <w:pPr>
        <w:pStyle w:val="Title2"/>
        <w:tabs>
          <w:tab w:val="clear" w:pos="7776"/>
          <w:tab w:val="clear" w:pos="7848"/>
          <w:tab w:val="right" w:pos="8640"/>
          <w:tab w:val="left" w:pos="9180"/>
        </w:tabs>
        <w:rPr>
          <w:rFonts w:ascii="Book Antiqua" w:hAnsi="Book Antiqua"/>
          <w:szCs w:val="24"/>
          <w:lang w:val="es-ES_tradnl"/>
        </w:rPr>
      </w:pPr>
      <w:r>
        <w:rPr>
          <w:rFonts w:ascii="Book Antiqua" w:hAnsi="Book Antiqua"/>
          <w:szCs w:val="24"/>
          <w:lang w:val="es-ES_tradnl"/>
        </w:rPr>
        <w:t>20ma. Asamblea</w:t>
      </w:r>
      <w:r>
        <w:rPr>
          <w:rFonts w:ascii="Book Antiqua" w:hAnsi="Book Antiqua"/>
          <w:szCs w:val="24"/>
          <w:lang w:val="es-ES_tradnl"/>
        </w:rPr>
        <w:tab/>
        <w:t xml:space="preserve">             </w:t>
      </w:r>
      <w:r w:rsidR="006F04CA">
        <w:rPr>
          <w:rFonts w:ascii="Book Antiqua" w:hAnsi="Book Antiqua"/>
          <w:szCs w:val="24"/>
          <w:lang w:val="es-ES_tradnl"/>
        </w:rPr>
        <w:t>4t</w:t>
      </w:r>
      <w:r>
        <w:rPr>
          <w:rFonts w:ascii="Book Antiqua" w:hAnsi="Book Antiqua"/>
          <w:szCs w:val="24"/>
          <w:lang w:val="es-ES_tradnl"/>
        </w:rPr>
        <w:t>a. Sesión</w:t>
      </w:r>
    </w:p>
    <w:p w14:paraId="55EB3236" w14:textId="59E8680F" w:rsidR="00E77265" w:rsidRPr="0064564B" w:rsidRDefault="00E77265" w:rsidP="00E77265">
      <w:pPr>
        <w:pStyle w:val="Title2"/>
        <w:tabs>
          <w:tab w:val="clear" w:pos="648"/>
          <w:tab w:val="left" w:pos="540"/>
          <w:tab w:val="left" w:pos="6930"/>
        </w:tabs>
        <w:rPr>
          <w:rFonts w:ascii="Book Antiqua" w:hAnsi="Book Antiqua"/>
          <w:szCs w:val="24"/>
          <w:lang w:val="es-ES_tradnl"/>
        </w:rPr>
      </w:pPr>
      <w:r>
        <w:rPr>
          <w:rFonts w:ascii="Book Antiqua" w:hAnsi="Book Antiqua"/>
          <w:szCs w:val="24"/>
          <w:lang w:val="es-ES_tradnl"/>
        </w:rPr>
        <w:tab/>
      </w:r>
      <w:r w:rsidR="004815E0">
        <w:rPr>
          <w:rFonts w:ascii="Book Antiqua" w:hAnsi="Book Antiqua"/>
          <w:szCs w:val="24"/>
          <w:lang w:val="es-ES_tradnl"/>
        </w:rPr>
        <w:t xml:space="preserve">   </w:t>
      </w:r>
      <w:r>
        <w:rPr>
          <w:rFonts w:ascii="Book Antiqua" w:hAnsi="Book Antiqua"/>
          <w:szCs w:val="24"/>
          <w:lang w:val="es-ES_tradnl"/>
        </w:rPr>
        <w:t>Legislativa</w:t>
      </w:r>
      <w:r>
        <w:rPr>
          <w:rFonts w:ascii="Book Antiqua" w:hAnsi="Book Antiqua"/>
          <w:szCs w:val="24"/>
          <w:lang w:val="es-ES_tradnl"/>
        </w:rPr>
        <w:tab/>
        <w:t xml:space="preserve">            </w:t>
      </w:r>
      <w:r w:rsidR="004815E0">
        <w:rPr>
          <w:rFonts w:ascii="Book Antiqua" w:hAnsi="Book Antiqua"/>
          <w:szCs w:val="24"/>
          <w:lang w:val="es-ES_tradnl"/>
        </w:rPr>
        <w:t xml:space="preserve">     </w:t>
      </w:r>
      <w:r>
        <w:rPr>
          <w:rFonts w:ascii="Book Antiqua" w:hAnsi="Book Antiqua"/>
          <w:szCs w:val="24"/>
          <w:lang w:val="es-ES_tradnl"/>
        </w:rPr>
        <w:t>Ordinaria</w:t>
      </w:r>
    </w:p>
    <w:p w14:paraId="3AF21CCE" w14:textId="77777777" w:rsidR="00E77265" w:rsidRPr="0064564B" w:rsidRDefault="00E77265" w:rsidP="00E77265">
      <w:pPr>
        <w:rPr>
          <w:rFonts w:ascii="Book Antiqua" w:hAnsi="Book Antiqua"/>
          <w:lang w:val="es-ES_tradnl"/>
        </w:rPr>
      </w:pPr>
    </w:p>
    <w:p w14:paraId="7547E6D8" w14:textId="77777777" w:rsidR="00E77265" w:rsidRPr="0064564B" w:rsidRDefault="00E77265" w:rsidP="00E77265">
      <w:pPr>
        <w:jc w:val="center"/>
        <w:outlineLvl w:val="0"/>
        <w:rPr>
          <w:rFonts w:ascii="Book Antiqua" w:hAnsi="Book Antiqua"/>
          <w:smallCaps/>
          <w:sz w:val="36"/>
          <w:szCs w:val="36"/>
          <w:lang w:val="es-ES_tradnl"/>
        </w:rPr>
      </w:pPr>
      <w:r>
        <w:rPr>
          <w:rFonts w:ascii="Book Antiqua" w:hAnsi="Book Antiqua"/>
          <w:b/>
          <w:caps/>
          <w:sz w:val="36"/>
          <w:szCs w:val="36"/>
          <w:lang w:val="es-ES_tradnl"/>
        </w:rPr>
        <w:t>CÁMARA DE REPRESENTANTES</w:t>
      </w:r>
    </w:p>
    <w:p w14:paraId="626FEEC4" w14:textId="77777777" w:rsidR="00E77265" w:rsidRPr="0064564B" w:rsidRDefault="00E77265" w:rsidP="00E77265">
      <w:pPr>
        <w:jc w:val="center"/>
        <w:rPr>
          <w:rFonts w:ascii="Book Antiqua" w:hAnsi="Book Antiqua" w:cs="Tahoma"/>
          <w:b/>
          <w:lang w:val="es-ES_tradnl"/>
        </w:rPr>
      </w:pPr>
    </w:p>
    <w:p w14:paraId="7B27D09B" w14:textId="2309EDE5" w:rsidR="00E77265" w:rsidRPr="0064564B" w:rsidRDefault="006F04CA" w:rsidP="006F04CA">
      <w:pPr>
        <w:tabs>
          <w:tab w:val="left" w:pos="7704"/>
        </w:tabs>
        <w:rPr>
          <w:rFonts w:ascii="Book Antiqua" w:hAnsi="Book Antiqua" w:cs="Tahoma"/>
          <w:b/>
          <w:lang w:val="es-ES_tradnl"/>
        </w:rPr>
      </w:pPr>
      <w:r>
        <w:rPr>
          <w:rFonts w:ascii="Book Antiqua" w:hAnsi="Book Antiqua" w:cs="Tahoma"/>
          <w:b/>
          <w:lang w:val="es-ES_tradnl"/>
        </w:rPr>
        <w:tab/>
      </w:r>
    </w:p>
    <w:p w14:paraId="417AD0BB" w14:textId="77777777" w:rsidR="00E77265" w:rsidRPr="0064564B" w:rsidRDefault="00E77265" w:rsidP="00E77265">
      <w:pPr>
        <w:jc w:val="center"/>
        <w:outlineLvl w:val="0"/>
        <w:rPr>
          <w:rFonts w:ascii="Book Antiqua" w:hAnsi="Book Antiqua" w:cs="Tahoma"/>
          <w:b/>
          <w:sz w:val="52"/>
          <w:szCs w:val="52"/>
          <w:lang w:val="es-ES_tradnl"/>
        </w:rPr>
      </w:pPr>
      <w:r>
        <w:rPr>
          <w:rFonts w:ascii="Book Antiqua" w:hAnsi="Book Antiqua" w:cs="Tahoma"/>
          <w:b/>
          <w:sz w:val="52"/>
          <w:szCs w:val="52"/>
          <w:lang w:val="es-ES_tradnl"/>
        </w:rPr>
        <w:t>R. DE LA C. 674</w:t>
      </w:r>
    </w:p>
    <w:p w14:paraId="1FA66AAE" w14:textId="77777777" w:rsidR="00C73BF9" w:rsidRPr="00E77265" w:rsidRDefault="00C73BF9">
      <w:pPr>
        <w:rPr>
          <w:lang w:val="es-ES"/>
        </w:rPr>
      </w:pPr>
    </w:p>
    <w:p w14:paraId="4E575965" w14:textId="77777777" w:rsidR="00C73BF9" w:rsidRDefault="004815E0">
      <w:pPr>
        <w:jc w:val="center"/>
        <w:rPr>
          <w:rFonts w:ascii="Book Antiqua" w:eastAsia="Book Antiqua" w:hAnsi="Book Antiqua" w:cs="Book Antiqua"/>
          <w:b/>
          <w:bCs/>
          <w:sz w:val="28"/>
          <w:szCs w:val="28"/>
          <w:lang w:val="es-ES"/>
        </w:rPr>
      </w:pPr>
      <w:r>
        <w:rPr>
          <w:rFonts w:ascii="Book Antiqua" w:eastAsia="Book Antiqua" w:hAnsi="Book Antiqua" w:cs="Book Antiqua"/>
          <w:b/>
          <w:bCs/>
          <w:sz w:val="28"/>
          <w:szCs w:val="28"/>
          <w:lang w:val="es-ES"/>
        </w:rPr>
        <w:t>INFORME POSITIVO</w:t>
      </w:r>
    </w:p>
    <w:p w14:paraId="080D5CC6" w14:textId="77777777" w:rsidR="00E77265" w:rsidRPr="00E77265" w:rsidRDefault="00E77265">
      <w:pPr>
        <w:jc w:val="center"/>
        <w:rPr>
          <w:lang w:val="es-ES"/>
        </w:rPr>
      </w:pPr>
    </w:p>
    <w:p w14:paraId="03ACCCAF" w14:textId="77777777" w:rsidR="00C73BF9" w:rsidRPr="00E77265" w:rsidRDefault="00C73BF9">
      <w:pPr>
        <w:rPr>
          <w:lang w:val="es-ES"/>
        </w:rPr>
      </w:pPr>
    </w:p>
    <w:p w14:paraId="17350442" w14:textId="2B0BDD8C" w:rsidR="00C73BF9" w:rsidRPr="00E77265" w:rsidRDefault="00747818" w:rsidP="00E77265">
      <w:pPr>
        <w:spacing w:after="200"/>
        <w:jc w:val="center"/>
        <w:rPr>
          <w:lang w:val="es-ES"/>
        </w:rPr>
      </w:pPr>
      <w:r>
        <w:rPr>
          <w:rFonts w:ascii="Book Antiqua" w:eastAsia="Book Antiqua" w:hAnsi="Book Antiqua" w:cs="Book Antiqua"/>
          <w:sz w:val="24"/>
          <w:szCs w:val="24"/>
          <w:lang w:val="es-ES"/>
        </w:rPr>
        <w:t>7</w:t>
      </w:r>
      <w:r w:rsidR="004815E0">
        <w:rPr>
          <w:rFonts w:ascii="Book Antiqua" w:eastAsia="Book Antiqua" w:hAnsi="Book Antiqua" w:cs="Book Antiqua"/>
          <w:sz w:val="24"/>
          <w:szCs w:val="24"/>
          <w:lang w:val="es-ES"/>
        </w:rPr>
        <w:t xml:space="preserve"> de julio de 2026</w:t>
      </w:r>
    </w:p>
    <w:p w14:paraId="67F111AB" w14:textId="77777777" w:rsidR="00C73BF9" w:rsidRPr="00E77265" w:rsidRDefault="00C73BF9">
      <w:pPr>
        <w:rPr>
          <w:lang w:val="es-ES"/>
        </w:rPr>
      </w:pPr>
    </w:p>
    <w:p w14:paraId="263FC815" w14:textId="77777777" w:rsidR="00C73BF9" w:rsidRPr="00E77265" w:rsidRDefault="004815E0">
      <w:pPr>
        <w:rPr>
          <w:lang w:val="es-ES"/>
        </w:rPr>
      </w:pPr>
      <w:r>
        <w:rPr>
          <w:rFonts w:ascii="Book Antiqua" w:eastAsia="Book Antiqua" w:hAnsi="Book Antiqua" w:cs="Book Antiqua"/>
          <w:b/>
          <w:bCs/>
          <w:sz w:val="24"/>
          <w:szCs w:val="24"/>
          <w:lang w:val="es-ES"/>
        </w:rPr>
        <w:t>A LA CÁMARA DE REPRESENTANTES DE PUERTO RICO:</w:t>
      </w:r>
    </w:p>
    <w:p w14:paraId="77EB83E0" w14:textId="77777777" w:rsidR="00C73BF9" w:rsidRPr="00E77265" w:rsidRDefault="00C73BF9">
      <w:pPr>
        <w:rPr>
          <w:lang w:val="es-ES"/>
        </w:rPr>
      </w:pPr>
    </w:p>
    <w:p w14:paraId="212F15B3" w14:textId="122AC599" w:rsidR="00C73BF9" w:rsidRPr="00E77265" w:rsidRDefault="004815E0">
      <w:pPr>
        <w:ind w:firstLine="720"/>
        <w:jc w:val="both"/>
        <w:rPr>
          <w:lang w:val="es-ES"/>
        </w:rPr>
      </w:pPr>
      <w:r>
        <w:rPr>
          <w:rFonts w:ascii="Book Antiqua" w:eastAsia="Book Antiqua" w:hAnsi="Book Antiqua" w:cs="Book Antiqua"/>
          <w:sz w:val="24"/>
          <w:szCs w:val="24"/>
          <w:lang w:val="es-ES"/>
        </w:rPr>
        <w:t>La Comisión de Asuntos Internos de la Cámara de Representantes, previo estudio y consideración de la R. de la C. 674, tiene a bien someter su informe recomendando la aprobación de la medida con las enmiendas contenidas en el entirillado electrónico que acompaña este informe, cuyo título lee:</w:t>
      </w:r>
    </w:p>
    <w:p w14:paraId="2660281B" w14:textId="77777777" w:rsidR="00C73BF9" w:rsidRPr="00E77265" w:rsidRDefault="00C73BF9">
      <w:pPr>
        <w:rPr>
          <w:lang w:val="es-ES"/>
        </w:rPr>
      </w:pPr>
    </w:p>
    <w:p w14:paraId="51EF5080" w14:textId="14B38719" w:rsidR="00C73BF9" w:rsidRDefault="004815E0">
      <w:pPr>
        <w:ind w:firstLine="720"/>
        <w:jc w:val="both"/>
        <w:rPr>
          <w:rFonts w:ascii="Book Antiqua" w:eastAsia="Book Antiqua" w:hAnsi="Book Antiqua" w:cs="Book Antiqua"/>
          <w:sz w:val="24"/>
          <w:szCs w:val="24"/>
          <w:lang w:val="es-ES"/>
        </w:rPr>
      </w:pPr>
      <w:r>
        <w:rPr>
          <w:rFonts w:ascii="Book Antiqua" w:eastAsia="Book Antiqua" w:hAnsi="Book Antiqua" w:cs="Book Antiqua"/>
          <w:sz w:val="24"/>
          <w:szCs w:val="24"/>
          <w:lang w:val="es-ES"/>
        </w:rPr>
        <w:t>“Para enmendar la Sección 2 de la R. de la C. 201, aprobada el 11 de septiembre de 2025, a los fines de extender hasta que culmine la Vigésima Asamblea Legislativa, el término concedido a la Comisión de Adultos Mayores y Bienestar Social de la Cámara de Representantes de Puerto Rico, para rendir su informe final; y para otros fines relacionados.”</w:t>
      </w:r>
    </w:p>
    <w:p w14:paraId="64F01D48" w14:textId="77777777" w:rsidR="00C73BF9" w:rsidRPr="00E77265" w:rsidRDefault="00C73BF9">
      <w:pPr>
        <w:rPr>
          <w:lang w:val="es-ES"/>
        </w:rPr>
      </w:pPr>
    </w:p>
    <w:p w14:paraId="6AA04ABD" w14:textId="77777777" w:rsidR="00C73BF9" w:rsidRPr="00E77265" w:rsidRDefault="004815E0" w:rsidP="00F73A8A">
      <w:pPr>
        <w:jc w:val="center"/>
        <w:rPr>
          <w:lang w:val="es-ES"/>
        </w:rPr>
      </w:pPr>
      <w:r>
        <w:rPr>
          <w:rFonts w:ascii="Book Antiqua" w:eastAsia="Book Antiqua" w:hAnsi="Book Antiqua" w:cs="Book Antiqua"/>
          <w:b/>
          <w:bCs/>
          <w:sz w:val="24"/>
          <w:szCs w:val="24"/>
          <w:lang w:val="es-ES"/>
        </w:rPr>
        <w:t>ALCANCE Y ANÁLISIS DE LA MEDIDA</w:t>
      </w:r>
    </w:p>
    <w:p w14:paraId="226030F8" w14:textId="77777777" w:rsidR="00C73BF9" w:rsidRPr="00E77265" w:rsidRDefault="00C73BF9">
      <w:pPr>
        <w:rPr>
          <w:lang w:val="es-ES"/>
        </w:rPr>
      </w:pPr>
    </w:p>
    <w:p w14:paraId="5F435AAE" w14:textId="46528726" w:rsidR="00C73BF9" w:rsidRPr="00E77265" w:rsidRDefault="004815E0">
      <w:pPr>
        <w:ind w:firstLine="720"/>
        <w:jc w:val="both"/>
        <w:rPr>
          <w:lang w:val="es-ES"/>
        </w:rPr>
      </w:pPr>
      <w:r>
        <w:rPr>
          <w:rFonts w:ascii="Book Antiqua" w:eastAsia="Book Antiqua" w:hAnsi="Book Antiqua" w:cs="Book Antiqua"/>
          <w:sz w:val="24"/>
          <w:szCs w:val="24"/>
          <w:lang w:val="es-ES"/>
        </w:rPr>
        <w:t>La Resolución de la Cámara Núm. 674 persigue enmendar la Sección 2 de la Resolución de la Cámara 201, aprobada el 11 de septiembre de 2025, mediante la cual se ordenó a la Comisión de Adultos Mayores y Bienestar Social realizar una investigación sobre el nivel de cumplimiento por parte de las diferentes agencias del Gobierno de Puerto Rico con el mandato impuesto en la Ley 163-2024, conocida como “Ley para la Protección, Seguridad, Integración, Bienestar y Desarrollo Integral de las Personas con los Trastornos del Espectro Autista”. La Sección 2 de dicha Resolución concedió a la referida Comisión un término de ciento veinte (120) días, contados a partir de su aprobación, para rendir el informe correspondiente.</w:t>
      </w:r>
    </w:p>
    <w:p w14:paraId="35FAB514" w14:textId="77777777" w:rsidR="00C73BF9" w:rsidRPr="00E77265" w:rsidRDefault="00C73BF9">
      <w:pPr>
        <w:rPr>
          <w:lang w:val="es-ES"/>
        </w:rPr>
      </w:pPr>
    </w:p>
    <w:p w14:paraId="6E01A15F" w14:textId="67179811" w:rsidR="00C73BF9" w:rsidRPr="00E77265" w:rsidRDefault="004815E0">
      <w:pPr>
        <w:ind w:firstLine="720"/>
        <w:jc w:val="both"/>
        <w:rPr>
          <w:lang w:val="es-ES"/>
        </w:rPr>
      </w:pPr>
      <w:r>
        <w:rPr>
          <w:rFonts w:ascii="Book Antiqua" w:eastAsia="Book Antiqua" w:hAnsi="Book Antiqua" w:cs="Book Antiqua"/>
          <w:sz w:val="24"/>
          <w:szCs w:val="24"/>
          <w:lang w:val="es-ES"/>
        </w:rPr>
        <w:t xml:space="preserve">La Comisión de Adultos Mayores y Bienestar Social ha iniciado las gestiones propias de esta encomienda, incluyendo el contacto preliminar con las entidades concernidas. No obstante, la amplitud de las agencias involucradas y la complejidad de </w:t>
      </w:r>
      <w:r>
        <w:rPr>
          <w:rFonts w:ascii="Book Antiqua" w:eastAsia="Book Antiqua" w:hAnsi="Book Antiqua" w:cs="Book Antiqua"/>
          <w:sz w:val="24"/>
          <w:szCs w:val="24"/>
          <w:lang w:val="es-ES"/>
        </w:rPr>
        <w:lastRenderedPageBreak/>
        <w:t>los asuntos objeto de evaluación requieren un análisis más detallado y abarcador que el originalmente contemplado dentro del término de ciento veinte (120) días, por lo cual resulta necesario conceder tiempo adicional para que dicha Comisión pueda completar su encomienda de manera responsable. Por consiguiente, se estima meritorio extender el término concedido hasta que culmine la Vigésima Asamblea Legislativa, en sustitución del plazo fijo originalmente dispuesto, de manera que la Comisión no tenga que solicitar extensiones sucesivas cada vez que se agote un término específico.</w:t>
      </w:r>
    </w:p>
    <w:p w14:paraId="4F98A2EF" w14:textId="77777777" w:rsidR="00C73BF9" w:rsidRPr="00E77265" w:rsidRDefault="00C73BF9">
      <w:pPr>
        <w:rPr>
          <w:lang w:val="es-ES"/>
        </w:rPr>
      </w:pPr>
    </w:p>
    <w:p w14:paraId="2DAF9A8B" w14:textId="77777777" w:rsidR="00C73BF9" w:rsidRPr="00E77265" w:rsidRDefault="004815E0">
      <w:pPr>
        <w:ind w:firstLine="720"/>
        <w:jc w:val="both"/>
        <w:rPr>
          <w:lang w:val="es-ES"/>
        </w:rPr>
      </w:pPr>
      <w:r>
        <w:rPr>
          <w:rFonts w:ascii="Book Antiqua" w:eastAsia="Book Antiqua" w:hAnsi="Book Antiqua" w:cs="Book Antiqua"/>
          <w:sz w:val="24"/>
          <w:szCs w:val="24"/>
          <w:lang w:val="es-ES"/>
        </w:rPr>
        <w:t>Como comisión cameral, la Comisión de Asuntos Internos entiende que la Resolución objeto de análisis cuenta con todo lo requerido constitucional, estatutaria y jurisprudencialmente para dar paso a su aprobación. La Comisión de Asuntos Internos no tiene jurisdicción sobre el fondo de la investigación autorizada mediante la R. de la C. 201, la cual permanece bajo la competencia exclusiva de la Comisión de Adultos Mayores y Bienestar Social; su intervención en este informe se limita a la consideración de la enmienda de término aquí propuesta, conforme a su jurisdicción sobre la estructura, procedimientos y funcionamiento de la Cámara de Representantes.</w:t>
      </w:r>
    </w:p>
    <w:p w14:paraId="44C899AB" w14:textId="77777777" w:rsidR="00C73BF9" w:rsidRPr="00E77265" w:rsidRDefault="00C73BF9">
      <w:pPr>
        <w:rPr>
          <w:lang w:val="es-ES"/>
        </w:rPr>
      </w:pPr>
    </w:p>
    <w:p w14:paraId="5EBC006C" w14:textId="58141A4F" w:rsidR="00C73BF9" w:rsidRPr="00E77265" w:rsidRDefault="004815E0">
      <w:pPr>
        <w:ind w:firstLine="720"/>
        <w:jc w:val="both"/>
        <w:rPr>
          <w:lang w:val="es-ES"/>
        </w:rPr>
      </w:pPr>
      <w:r>
        <w:rPr>
          <w:rFonts w:ascii="Book Antiqua" w:eastAsia="Book Antiqua" w:hAnsi="Book Antiqua" w:cs="Book Antiqua"/>
          <w:sz w:val="24"/>
          <w:szCs w:val="24"/>
          <w:lang w:val="es-ES"/>
        </w:rPr>
        <w:t>Finalmente, recomendamos a la Comisión de Adultos Mayores y Bienestar Social tramitar la misma conforme al reglamento y con apego al plazo concedido para rendir su informe, si alguno, o mientras se mantenga en vigor la misma.</w:t>
      </w:r>
    </w:p>
    <w:p w14:paraId="6D691E20" w14:textId="77777777" w:rsidR="00C73BF9" w:rsidRPr="00E77265" w:rsidRDefault="00C73BF9">
      <w:pPr>
        <w:rPr>
          <w:lang w:val="es-ES"/>
        </w:rPr>
      </w:pPr>
    </w:p>
    <w:p w14:paraId="74B5AB3B" w14:textId="77777777" w:rsidR="00C73BF9" w:rsidRPr="00E77265" w:rsidRDefault="004815E0" w:rsidP="00F73A8A">
      <w:pPr>
        <w:jc w:val="center"/>
        <w:rPr>
          <w:lang w:val="es-ES"/>
        </w:rPr>
      </w:pPr>
      <w:r>
        <w:rPr>
          <w:rFonts w:ascii="Book Antiqua" w:eastAsia="Book Antiqua" w:hAnsi="Book Antiqua" w:cs="Book Antiqua"/>
          <w:b/>
          <w:bCs/>
          <w:sz w:val="24"/>
          <w:szCs w:val="24"/>
          <w:lang w:val="es-ES"/>
        </w:rPr>
        <w:t>CONCLUSIÓN Y RECOMENDACIÓN</w:t>
      </w:r>
    </w:p>
    <w:p w14:paraId="7876EF24" w14:textId="77777777" w:rsidR="00C73BF9" w:rsidRPr="00E77265" w:rsidRDefault="00C73BF9">
      <w:pPr>
        <w:rPr>
          <w:lang w:val="es-ES"/>
        </w:rPr>
      </w:pPr>
    </w:p>
    <w:p w14:paraId="05C129E6" w14:textId="77777777" w:rsidR="00C73BF9" w:rsidRPr="00E77265" w:rsidRDefault="004815E0">
      <w:pPr>
        <w:ind w:firstLine="720"/>
        <w:jc w:val="both"/>
        <w:rPr>
          <w:lang w:val="es-ES"/>
        </w:rPr>
      </w:pPr>
      <w:r>
        <w:rPr>
          <w:rFonts w:ascii="Book Antiqua" w:eastAsia="Book Antiqua" w:hAnsi="Book Antiqua" w:cs="Book Antiqua"/>
          <w:sz w:val="24"/>
          <w:szCs w:val="24"/>
          <w:lang w:val="es-ES"/>
        </w:rPr>
        <w:t>Considerando los elementos analizados, esta Comisión concluye que la medida examinada responde a un interés legislativo legítimo y debidamente fundamentado. En consecuencia, se recomienda la aprobación de la Resolución de la Cámara 674, con las enmiendas que obran en el entirillado electrónico que acompaña este informe.</w:t>
      </w:r>
    </w:p>
    <w:p w14:paraId="5E710CBB" w14:textId="77777777" w:rsidR="00C73BF9" w:rsidRPr="00E77265" w:rsidRDefault="00C73BF9">
      <w:pPr>
        <w:rPr>
          <w:lang w:val="es-ES"/>
        </w:rPr>
      </w:pPr>
    </w:p>
    <w:p w14:paraId="32025A45" w14:textId="77777777" w:rsidR="00C73BF9" w:rsidRPr="00686B26" w:rsidRDefault="004815E0">
      <w:pPr>
        <w:rPr>
          <w:rFonts w:ascii="Book Antiqua" w:eastAsia="Book Antiqua" w:hAnsi="Book Antiqua" w:cs="Book Antiqua"/>
          <w:sz w:val="24"/>
          <w:szCs w:val="24"/>
          <w:lang w:val="pt-PT"/>
        </w:rPr>
      </w:pPr>
      <w:r>
        <w:rPr>
          <w:rFonts w:ascii="Book Antiqua" w:eastAsia="Book Antiqua" w:hAnsi="Book Antiqua" w:cs="Book Antiqua"/>
          <w:sz w:val="24"/>
          <w:szCs w:val="24"/>
          <w:lang w:val="pt-PT"/>
        </w:rPr>
        <w:t>Respetuosamente sometido,</w:t>
      </w:r>
    </w:p>
    <w:p w14:paraId="1F4DD7F8" w14:textId="77777777" w:rsidR="00F73A8A" w:rsidRPr="00686B26" w:rsidRDefault="00F73A8A">
      <w:pPr>
        <w:rPr>
          <w:lang w:val="pt-PT"/>
        </w:rPr>
      </w:pPr>
    </w:p>
    <w:p w14:paraId="086302D7" w14:textId="77777777" w:rsidR="00C73BF9" w:rsidRPr="00686B26" w:rsidRDefault="00C73BF9">
      <w:pPr>
        <w:rPr>
          <w:lang w:val="pt-PT"/>
        </w:rPr>
      </w:pPr>
    </w:p>
    <w:p w14:paraId="597098FE" w14:textId="77777777" w:rsidR="00C73BF9" w:rsidRDefault="00C73BF9">
      <w:pPr>
        <w:rPr>
          <w:lang w:val="pt-PT"/>
        </w:rPr>
      </w:pPr>
    </w:p>
    <w:p w14:paraId="6C5A85CB" w14:textId="77777777" w:rsidR="00C75102" w:rsidRPr="00686B26" w:rsidRDefault="00C75102">
      <w:pPr>
        <w:rPr>
          <w:lang w:val="pt-PT"/>
        </w:rPr>
      </w:pPr>
    </w:p>
    <w:p w14:paraId="4FAA2C87" w14:textId="77777777" w:rsidR="00C73BF9" w:rsidRPr="00686B26" w:rsidRDefault="00C73BF9">
      <w:pPr>
        <w:rPr>
          <w:lang w:val="pt-PT"/>
        </w:rPr>
      </w:pPr>
    </w:p>
    <w:p w14:paraId="4E7B123B" w14:textId="77777777" w:rsidR="00C73BF9" w:rsidRPr="00686B26" w:rsidRDefault="004815E0">
      <w:pPr>
        <w:rPr>
          <w:lang w:val="pt-PT"/>
        </w:rPr>
      </w:pPr>
      <w:r>
        <w:rPr>
          <w:rFonts w:ascii="Book Antiqua" w:eastAsia="Book Antiqua" w:hAnsi="Book Antiqua" w:cs="Book Antiqua"/>
          <w:b/>
          <w:bCs/>
          <w:sz w:val="24"/>
          <w:szCs w:val="24"/>
          <w:lang w:val="pt-PT"/>
        </w:rPr>
        <w:t>PEDRO JULIO SANTIAGO GUZMÁN</w:t>
      </w:r>
    </w:p>
    <w:p w14:paraId="62773D72" w14:textId="77777777" w:rsidR="00C73BF9" w:rsidRPr="00552008" w:rsidRDefault="004815E0">
      <w:r w:rsidRPr="00552008">
        <w:rPr>
          <w:rFonts w:ascii="Book Antiqua" w:eastAsia="Book Antiqua" w:hAnsi="Book Antiqua" w:cs="Book Antiqua"/>
          <w:sz w:val="24"/>
          <w:szCs w:val="24"/>
        </w:rPr>
        <w:t>Presidente</w:t>
      </w:r>
    </w:p>
    <w:p w14:paraId="137D1A5B" w14:textId="77777777" w:rsidR="00C73BF9" w:rsidRPr="00552008" w:rsidRDefault="004815E0">
      <w:r w:rsidRPr="00552008">
        <w:rPr>
          <w:rFonts w:ascii="Book Antiqua" w:eastAsia="Book Antiqua" w:hAnsi="Book Antiqua" w:cs="Book Antiqua"/>
          <w:sz w:val="24"/>
          <w:szCs w:val="24"/>
        </w:rPr>
        <w:t xml:space="preserve">Comisión de </w:t>
      </w:r>
      <w:proofErr w:type="spellStart"/>
      <w:r w:rsidRPr="00552008">
        <w:rPr>
          <w:rFonts w:ascii="Book Antiqua" w:eastAsia="Book Antiqua" w:hAnsi="Book Antiqua" w:cs="Book Antiqua"/>
          <w:sz w:val="24"/>
          <w:szCs w:val="24"/>
        </w:rPr>
        <w:t>Asuntos</w:t>
      </w:r>
      <w:proofErr w:type="spellEnd"/>
      <w:r w:rsidRPr="00552008">
        <w:rPr>
          <w:rFonts w:ascii="Book Antiqua" w:eastAsia="Book Antiqua" w:hAnsi="Book Antiqua" w:cs="Book Antiqua"/>
          <w:sz w:val="24"/>
          <w:szCs w:val="24"/>
        </w:rPr>
        <w:t xml:space="preserve"> </w:t>
      </w:r>
      <w:proofErr w:type="spellStart"/>
      <w:r w:rsidRPr="00552008">
        <w:rPr>
          <w:rFonts w:ascii="Book Antiqua" w:eastAsia="Book Antiqua" w:hAnsi="Book Antiqua" w:cs="Book Antiqua"/>
          <w:sz w:val="24"/>
          <w:szCs w:val="24"/>
        </w:rPr>
        <w:t>Internos</w:t>
      </w:r>
      <w:proofErr w:type="spellEnd"/>
    </w:p>
    <w:sectPr w:rsidR="00C73BF9" w:rsidRPr="00552008">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D2920" w14:textId="77777777" w:rsidR="005931DD" w:rsidRDefault="005931DD" w:rsidP="00571553">
      <w:r>
        <w:separator/>
      </w:r>
    </w:p>
  </w:endnote>
  <w:endnote w:type="continuationSeparator" w:id="0">
    <w:p w14:paraId="2440FDBA" w14:textId="77777777" w:rsidR="005931DD" w:rsidRDefault="005931DD" w:rsidP="00571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rPr>
      <w:id w:val="368415336"/>
      <w:docPartObj>
        <w:docPartGallery w:val="Page Numbers (Bottom of Page)"/>
        <w:docPartUnique/>
      </w:docPartObj>
    </w:sdtPr>
    <w:sdtEndPr>
      <w:rPr>
        <w:noProof/>
      </w:rPr>
    </w:sdtEndPr>
    <w:sdtContent>
      <w:p w14:paraId="1BA98F24" w14:textId="1A5005C8" w:rsidR="00571553" w:rsidRPr="00571553" w:rsidRDefault="00571553">
        <w:pPr>
          <w:pStyle w:val="Footer"/>
          <w:jc w:val="center"/>
          <w:rPr>
            <w:rFonts w:ascii="Book Antiqua" w:hAnsi="Book Antiqua"/>
          </w:rPr>
        </w:pPr>
        <w:r w:rsidRPr="00571553">
          <w:rPr>
            <w:rFonts w:ascii="Book Antiqua" w:hAnsi="Book Antiqua"/>
          </w:rPr>
          <w:fldChar w:fldCharType="begin"/>
        </w:r>
        <w:r w:rsidRPr="00571553">
          <w:rPr>
            <w:rFonts w:ascii="Book Antiqua" w:hAnsi="Book Antiqua"/>
          </w:rPr>
          <w:instrText xml:space="preserve"> PAGE   \* MERGEFORMAT </w:instrText>
        </w:r>
        <w:r w:rsidRPr="00571553">
          <w:rPr>
            <w:rFonts w:ascii="Book Antiqua" w:hAnsi="Book Antiqua"/>
          </w:rPr>
          <w:fldChar w:fldCharType="separate"/>
        </w:r>
        <w:r w:rsidRPr="00571553">
          <w:rPr>
            <w:rFonts w:ascii="Book Antiqua" w:hAnsi="Book Antiqua"/>
            <w:noProof/>
          </w:rPr>
          <w:t>2</w:t>
        </w:r>
        <w:r w:rsidRPr="00571553">
          <w:rPr>
            <w:rFonts w:ascii="Book Antiqua" w:hAnsi="Book Antiqua"/>
            <w:noProof/>
          </w:rPr>
          <w:fldChar w:fldCharType="end"/>
        </w:r>
      </w:p>
    </w:sdtContent>
  </w:sdt>
  <w:p w14:paraId="75A547C6" w14:textId="77777777" w:rsidR="00571553" w:rsidRPr="00571553" w:rsidRDefault="00571553">
    <w:pPr>
      <w:pStyle w:val="Footer"/>
      <w:rPr>
        <w:rFonts w:ascii="Book Antiqua" w:hAnsi="Book Antiqu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173AB" w14:textId="77777777" w:rsidR="005931DD" w:rsidRDefault="005931DD" w:rsidP="00571553">
      <w:r>
        <w:separator/>
      </w:r>
    </w:p>
  </w:footnote>
  <w:footnote w:type="continuationSeparator" w:id="0">
    <w:p w14:paraId="1467897B" w14:textId="77777777" w:rsidR="005931DD" w:rsidRDefault="005931DD" w:rsidP="005715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CB713C"/>
    <w:multiLevelType w:val="hybridMultilevel"/>
    <w:tmpl w:val="97C4E61A"/>
    <w:lvl w:ilvl="0" w:tplc="35488738">
      <w:start w:val="1"/>
      <w:numFmt w:val="bullet"/>
      <w:lvlText w:val="●"/>
      <w:lvlJc w:val="left"/>
      <w:pPr>
        <w:ind w:left="720" w:hanging="360"/>
      </w:pPr>
    </w:lvl>
    <w:lvl w:ilvl="1" w:tplc="1978572C">
      <w:start w:val="1"/>
      <w:numFmt w:val="bullet"/>
      <w:lvlText w:val="○"/>
      <w:lvlJc w:val="left"/>
      <w:pPr>
        <w:ind w:left="1440" w:hanging="360"/>
      </w:pPr>
    </w:lvl>
    <w:lvl w:ilvl="2" w:tplc="97F03CD2">
      <w:start w:val="1"/>
      <w:numFmt w:val="bullet"/>
      <w:lvlText w:val="■"/>
      <w:lvlJc w:val="left"/>
      <w:pPr>
        <w:ind w:left="2160" w:hanging="360"/>
      </w:pPr>
    </w:lvl>
    <w:lvl w:ilvl="3" w:tplc="A1AE1D80">
      <w:start w:val="1"/>
      <w:numFmt w:val="bullet"/>
      <w:lvlText w:val="●"/>
      <w:lvlJc w:val="left"/>
      <w:pPr>
        <w:ind w:left="2880" w:hanging="360"/>
      </w:pPr>
    </w:lvl>
    <w:lvl w:ilvl="4" w:tplc="007ABE20">
      <w:start w:val="1"/>
      <w:numFmt w:val="bullet"/>
      <w:lvlText w:val="○"/>
      <w:lvlJc w:val="left"/>
      <w:pPr>
        <w:ind w:left="3600" w:hanging="360"/>
      </w:pPr>
    </w:lvl>
    <w:lvl w:ilvl="5" w:tplc="7EA4C33A">
      <w:start w:val="1"/>
      <w:numFmt w:val="bullet"/>
      <w:lvlText w:val="■"/>
      <w:lvlJc w:val="left"/>
      <w:pPr>
        <w:ind w:left="4320" w:hanging="360"/>
      </w:pPr>
    </w:lvl>
    <w:lvl w:ilvl="6" w:tplc="1ED07386">
      <w:start w:val="1"/>
      <w:numFmt w:val="bullet"/>
      <w:lvlText w:val="●"/>
      <w:lvlJc w:val="left"/>
      <w:pPr>
        <w:ind w:left="5040" w:hanging="360"/>
      </w:pPr>
    </w:lvl>
    <w:lvl w:ilvl="7" w:tplc="59D263A2">
      <w:start w:val="1"/>
      <w:numFmt w:val="bullet"/>
      <w:lvlText w:val="●"/>
      <w:lvlJc w:val="left"/>
      <w:pPr>
        <w:ind w:left="5760" w:hanging="360"/>
      </w:pPr>
    </w:lvl>
    <w:lvl w:ilvl="8" w:tplc="A75A9136">
      <w:start w:val="1"/>
      <w:numFmt w:val="bullet"/>
      <w:lvlText w:val="●"/>
      <w:lvlJc w:val="left"/>
      <w:pPr>
        <w:ind w:left="6480" w:hanging="360"/>
      </w:pPr>
    </w:lvl>
  </w:abstractNum>
  <w:num w:numId="1" w16cid:durableId="103503914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3BF9"/>
    <w:rsid w:val="0030574D"/>
    <w:rsid w:val="004815E0"/>
    <w:rsid w:val="004C5545"/>
    <w:rsid w:val="00552008"/>
    <w:rsid w:val="00561E83"/>
    <w:rsid w:val="00571553"/>
    <w:rsid w:val="005931DD"/>
    <w:rsid w:val="006046D3"/>
    <w:rsid w:val="00686B26"/>
    <w:rsid w:val="006F04CA"/>
    <w:rsid w:val="00700FD9"/>
    <w:rsid w:val="00747818"/>
    <w:rsid w:val="00A34376"/>
    <w:rsid w:val="00C73BF9"/>
    <w:rsid w:val="00C75102"/>
    <w:rsid w:val="00CC3709"/>
    <w:rsid w:val="00E77265"/>
    <w:rsid w:val="00F356BF"/>
    <w:rsid w:val="00F73A8A"/>
    <w:rsid w:val="00F922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6B1F11"/>
  <w15:docId w15:val="{42B9D1D0-2252-4A00-BA15-7934AB5E4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customStyle="1" w:styleId="Title2">
    <w:name w:val="Title2"/>
    <w:basedOn w:val="Normal"/>
    <w:next w:val="Normal"/>
    <w:rsid w:val="00E77265"/>
    <w:pPr>
      <w:tabs>
        <w:tab w:val="left" w:pos="648"/>
        <w:tab w:val="right" w:pos="7776"/>
        <w:tab w:val="left" w:pos="7848"/>
      </w:tabs>
    </w:pPr>
    <w:rPr>
      <w:sz w:val="24"/>
    </w:rPr>
  </w:style>
  <w:style w:type="paragraph" w:styleId="Header">
    <w:name w:val="header"/>
    <w:basedOn w:val="Normal"/>
    <w:link w:val="HeaderChar"/>
    <w:uiPriority w:val="99"/>
    <w:unhideWhenUsed/>
    <w:rsid w:val="00571553"/>
    <w:pPr>
      <w:tabs>
        <w:tab w:val="center" w:pos="4680"/>
        <w:tab w:val="right" w:pos="9360"/>
      </w:tabs>
    </w:pPr>
  </w:style>
  <w:style w:type="character" w:customStyle="1" w:styleId="HeaderChar">
    <w:name w:val="Header Char"/>
    <w:basedOn w:val="DefaultParagraphFont"/>
    <w:link w:val="Header"/>
    <w:uiPriority w:val="99"/>
    <w:rsid w:val="00571553"/>
  </w:style>
  <w:style w:type="paragraph" w:styleId="Footer">
    <w:name w:val="footer"/>
    <w:basedOn w:val="Normal"/>
    <w:link w:val="FooterChar"/>
    <w:uiPriority w:val="99"/>
    <w:unhideWhenUsed/>
    <w:rsid w:val="00571553"/>
    <w:pPr>
      <w:tabs>
        <w:tab w:val="center" w:pos="4680"/>
        <w:tab w:val="right" w:pos="9360"/>
      </w:tabs>
    </w:pPr>
  </w:style>
  <w:style w:type="character" w:customStyle="1" w:styleId="FooterChar">
    <w:name w:val="Footer Char"/>
    <w:basedOn w:val="DefaultParagraphFont"/>
    <w:link w:val="Footer"/>
    <w:uiPriority w:val="99"/>
    <w:rsid w:val="005715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566</Words>
  <Characters>3238</Characters>
  <Application>Microsoft Office Word</Application>
  <DocSecurity>0</DocSecurity>
  <Lines>68</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Miguel A. Candelario Piñeiro</cp:lastModifiedBy>
  <cp:revision>8</cp:revision>
  <dcterms:created xsi:type="dcterms:W3CDTF">2026-07-03T01:39:00Z</dcterms:created>
  <dcterms:modified xsi:type="dcterms:W3CDTF">2026-07-06T19:07:00Z</dcterms:modified>
</cp:coreProperties>
</file>