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B0AED" w14:textId="1FE09EB8" w:rsidR="008F24D7" w:rsidRDefault="003E0F29" w:rsidP="00BE52AF">
      <w:pPr>
        <w:jc w:val="center"/>
        <w:rPr>
          <w:rFonts w:ascii="Book Antiqua" w:hAnsi="Book Antiqua"/>
          <w:sz w:val="28"/>
          <w:szCs w:val="28"/>
          <w:lang w:val="es-ES"/>
        </w:rPr>
      </w:pPr>
      <w:r>
        <w:rPr>
          <w:rFonts w:ascii="Book Antiqua" w:hAnsi="Book Antiqua"/>
          <w:sz w:val="28"/>
          <w:szCs w:val="28"/>
          <w:lang w:val="es-ES"/>
        </w:rPr>
        <w:t>GOBIERNO</w:t>
      </w:r>
      <w:r w:rsidR="008F24D7" w:rsidRPr="00A10635">
        <w:rPr>
          <w:rFonts w:ascii="Book Antiqua" w:hAnsi="Book Antiqua"/>
          <w:sz w:val="28"/>
          <w:szCs w:val="28"/>
          <w:lang w:val="es-ES"/>
        </w:rPr>
        <w:t xml:space="preserve"> DE PUERTO RICO</w:t>
      </w:r>
    </w:p>
    <w:p w14:paraId="25FEF8AC" w14:textId="77777777" w:rsidR="00BE52AF" w:rsidRPr="000B3BF9" w:rsidRDefault="00BE52AF" w:rsidP="00BE52AF">
      <w:pPr>
        <w:jc w:val="center"/>
        <w:rPr>
          <w:rFonts w:ascii="Book Antiqua" w:hAnsi="Book Antiqua"/>
          <w:lang w:val="es-ES"/>
        </w:rPr>
      </w:pPr>
    </w:p>
    <w:p w14:paraId="41969867" w14:textId="326CCAA1" w:rsidR="008F24D7" w:rsidRPr="00BE2818" w:rsidRDefault="00BE2818" w:rsidP="00BE52AF">
      <w:pPr>
        <w:rPr>
          <w:rFonts w:ascii="Book Antiqua" w:hAnsi="Book Antiqua"/>
          <w:lang w:val="it-IT"/>
        </w:rPr>
      </w:pPr>
      <w:r w:rsidRPr="00BE2818">
        <w:rPr>
          <w:rFonts w:ascii="Book Antiqua" w:hAnsi="Book Antiqua"/>
          <w:lang w:val="it-IT"/>
        </w:rPr>
        <w:t>20ma.</w:t>
      </w:r>
      <w:r w:rsidR="008F24D7" w:rsidRPr="00BE2818">
        <w:rPr>
          <w:rFonts w:ascii="Book Antiqua" w:hAnsi="Book Antiqua"/>
          <w:lang w:val="it-IT"/>
        </w:rPr>
        <w:t xml:space="preserve"> Asamblea      </w:t>
      </w:r>
      <w:r w:rsidR="006C3647" w:rsidRPr="00BE2818">
        <w:rPr>
          <w:rFonts w:ascii="Book Antiqua" w:hAnsi="Book Antiqua"/>
          <w:lang w:val="it-IT"/>
        </w:rPr>
        <w:t xml:space="preserve">                                         </w:t>
      </w:r>
      <w:r w:rsidR="003E0F29" w:rsidRPr="00BE2818">
        <w:rPr>
          <w:lang w:val="it-IT"/>
        </w:rPr>
        <w:tab/>
      </w:r>
      <w:r w:rsidR="008F24D7" w:rsidRPr="00BE2818">
        <w:rPr>
          <w:rFonts w:ascii="Book Antiqua" w:hAnsi="Book Antiqua"/>
          <w:lang w:val="it-IT"/>
        </w:rPr>
        <w:t xml:space="preserve">    </w:t>
      </w:r>
      <w:r w:rsidR="00A9143E" w:rsidRPr="00BE2818">
        <w:rPr>
          <w:rFonts w:ascii="Book Antiqua" w:hAnsi="Book Antiqua"/>
          <w:lang w:val="it-IT"/>
        </w:rPr>
        <w:tab/>
      </w:r>
      <w:r w:rsidR="00A9143E" w:rsidRPr="00BE2818">
        <w:rPr>
          <w:rFonts w:ascii="Book Antiqua" w:hAnsi="Book Antiqua"/>
          <w:lang w:val="it-IT"/>
        </w:rPr>
        <w:tab/>
      </w:r>
      <w:r w:rsidR="00A9143E" w:rsidRPr="00BE2818">
        <w:rPr>
          <w:rFonts w:ascii="Book Antiqua" w:hAnsi="Book Antiqua"/>
          <w:lang w:val="it-IT"/>
        </w:rPr>
        <w:tab/>
        <w:t xml:space="preserve">       </w:t>
      </w:r>
      <w:r w:rsidRPr="00BE2818">
        <w:rPr>
          <w:rFonts w:ascii="Book Antiqua" w:hAnsi="Book Antiqua"/>
          <w:lang w:val="it-IT"/>
        </w:rPr>
        <w:t xml:space="preserve">    3ra.</w:t>
      </w:r>
      <w:r w:rsidR="008F24D7" w:rsidRPr="00BE2818">
        <w:rPr>
          <w:rFonts w:ascii="Book Antiqua" w:hAnsi="Book Antiqua"/>
          <w:lang w:val="it-IT"/>
        </w:rPr>
        <w:t xml:space="preserve"> Sesión</w:t>
      </w:r>
    </w:p>
    <w:p w14:paraId="496190EB" w14:textId="12A656DC" w:rsidR="008F24D7" w:rsidRPr="00BE2818" w:rsidRDefault="008F24D7" w:rsidP="00BE52AF">
      <w:pPr>
        <w:rPr>
          <w:rFonts w:ascii="Book Antiqua" w:hAnsi="Book Antiqua"/>
          <w:lang w:val="it-IT"/>
        </w:rPr>
      </w:pPr>
      <w:r w:rsidRPr="00BE2818">
        <w:rPr>
          <w:rFonts w:ascii="Book Antiqua" w:hAnsi="Book Antiqua"/>
          <w:lang w:val="it-IT"/>
        </w:rPr>
        <w:t xml:space="preserve">           </w:t>
      </w:r>
      <w:r w:rsidR="00BE2818">
        <w:rPr>
          <w:rFonts w:ascii="Book Antiqua" w:hAnsi="Book Antiqua"/>
          <w:lang w:val="it-IT"/>
        </w:rPr>
        <w:t xml:space="preserve"> </w:t>
      </w:r>
      <w:r w:rsidRPr="00BE2818">
        <w:rPr>
          <w:rFonts w:ascii="Book Antiqua" w:hAnsi="Book Antiqua"/>
          <w:lang w:val="it-IT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BE2818">
        <w:rPr>
          <w:lang w:val="it-IT"/>
        </w:rPr>
        <w:tab/>
      </w:r>
      <w:r w:rsidRPr="00BE2818">
        <w:rPr>
          <w:rFonts w:ascii="Book Antiqua" w:hAnsi="Book Antiqua"/>
          <w:lang w:val="it-IT"/>
        </w:rPr>
        <w:t xml:space="preserve"> </w:t>
      </w:r>
      <w:r w:rsidR="00BE2818" w:rsidRPr="00BE2818">
        <w:rPr>
          <w:rFonts w:ascii="Book Antiqua" w:hAnsi="Book Antiqua"/>
          <w:lang w:val="it-IT"/>
        </w:rPr>
        <w:t xml:space="preserve">     </w:t>
      </w:r>
      <w:r w:rsidRPr="00BE2818">
        <w:rPr>
          <w:rFonts w:ascii="Book Antiqua" w:hAnsi="Book Antiqua"/>
          <w:lang w:val="it-IT"/>
        </w:rPr>
        <w:t>Ordinaria</w:t>
      </w:r>
    </w:p>
    <w:p w14:paraId="3F01579F" w14:textId="77777777" w:rsidR="008F24D7" w:rsidRPr="00BE2818" w:rsidRDefault="008F24D7" w:rsidP="00BE52AF">
      <w:pPr>
        <w:rPr>
          <w:rFonts w:ascii="Book Antiqua" w:hAnsi="Book Antiqua"/>
          <w:lang w:val="it-IT"/>
        </w:rPr>
      </w:pPr>
    </w:p>
    <w:p w14:paraId="318B36D8" w14:textId="77777777" w:rsidR="008F24D7" w:rsidRDefault="008F24D7" w:rsidP="00BE52AF">
      <w:pPr>
        <w:keepNext/>
        <w:jc w:val="center"/>
        <w:outlineLvl w:val="0"/>
        <w:rPr>
          <w:rFonts w:ascii="Book Antiqua" w:hAnsi="Book Antiqua"/>
          <w:b/>
          <w:bCs/>
          <w:iCs/>
          <w:sz w:val="36"/>
          <w:szCs w:val="36"/>
          <w:lang w:val="es-ES"/>
        </w:rPr>
      </w:pPr>
      <w:r w:rsidRPr="00A10635">
        <w:rPr>
          <w:rFonts w:ascii="Book Antiqua" w:hAnsi="Book Antiqua"/>
          <w:b/>
          <w:bCs/>
          <w:iCs/>
          <w:sz w:val="36"/>
          <w:szCs w:val="36"/>
          <w:lang w:val="es-ES"/>
        </w:rPr>
        <w:t>CÁMARA DE REPRESENTANTES</w:t>
      </w:r>
    </w:p>
    <w:p w14:paraId="44C3CC44" w14:textId="77777777" w:rsidR="00BE52AF" w:rsidRPr="000B3BF9" w:rsidRDefault="00BE52AF" w:rsidP="00BE52AF">
      <w:pPr>
        <w:keepNext/>
        <w:jc w:val="center"/>
        <w:outlineLvl w:val="0"/>
        <w:rPr>
          <w:rFonts w:ascii="Book Antiqua" w:hAnsi="Book Antiqua"/>
          <w:b/>
          <w:bCs/>
          <w:iCs/>
          <w:lang w:val="es-ES"/>
        </w:rPr>
      </w:pPr>
    </w:p>
    <w:p w14:paraId="268037B4" w14:textId="66142D8B" w:rsidR="008F24D7" w:rsidRDefault="008F24D7" w:rsidP="00BE52AF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00A10635">
        <w:rPr>
          <w:rFonts w:ascii="Book Antiqua" w:hAnsi="Book Antiqua"/>
          <w:b/>
          <w:bCs/>
          <w:sz w:val="52"/>
          <w:szCs w:val="52"/>
          <w:lang w:val="es-ES"/>
        </w:rPr>
        <w:t xml:space="preserve">P. de la C. </w:t>
      </w:r>
      <w:r w:rsidR="002015C6">
        <w:rPr>
          <w:rFonts w:ascii="Book Antiqua" w:hAnsi="Book Antiqua"/>
          <w:b/>
          <w:bCs/>
          <w:sz w:val="52"/>
          <w:szCs w:val="52"/>
          <w:lang w:val="es-ES"/>
        </w:rPr>
        <w:t>1073</w:t>
      </w:r>
    </w:p>
    <w:p w14:paraId="1FE5B68E" w14:textId="77777777" w:rsidR="008F24D7" w:rsidRPr="00FD2416" w:rsidRDefault="008F24D7" w:rsidP="00BE52AF">
      <w:pPr>
        <w:jc w:val="center"/>
        <w:rPr>
          <w:rFonts w:ascii="Book Antiqua" w:hAnsi="Book Antiqua"/>
          <w:b/>
          <w:bCs/>
          <w:szCs w:val="52"/>
          <w:lang w:val="es-ES"/>
        </w:rPr>
      </w:pPr>
    </w:p>
    <w:p w14:paraId="4A9927F9" w14:textId="191CA7A9" w:rsidR="008F24D7" w:rsidRDefault="002015C6" w:rsidP="00BE52AF">
      <w:pPr>
        <w:jc w:val="center"/>
        <w:rPr>
          <w:rFonts w:ascii="Book Antiqua" w:hAnsi="Book Antiqua"/>
          <w:caps/>
          <w:lang w:val="es-ES"/>
        </w:rPr>
      </w:pPr>
      <w:r>
        <w:rPr>
          <w:rFonts w:ascii="Book Antiqua" w:hAnsi="Book Antiqua"/>
          <w:caps/>
          <w:lang w:val="es-ES"/>
        </w:rPr>
        <w:t>22</w:t>
      </w:r>
      <w:r w:rsidR="008F24D7" w:rsidRPr="00A10635">
        <w:rPr>
          <w:rFonts w:ascii="Book Antiqua" w:hAnsi="Book Antiqua"/>
          <w:caps/>
          <w:lang w:val="es-ES"/>
        </w:rPr>
        <w:t xml:space="preserve"> de </w:t>
      </w:r>
      <w:r w:rsidR="005343D7">
        <w:rPr>
          <w:rFonts w:ascii="Book Antiqua" w:hAnsi="Book Antiqua"/>
          <w:caps/>
          <w:lang w:val="es-ES"/>
        </w:rPr>
        <w:t xml:space="preserve">ENERO </w:t>
      </w:r>
      <w:r w:rsidR="008F24D7" w:rsidRPr="00A10635">
        <w:rPr>
          <w:rFonts w:ascii="Book Antiqua" w:hAnsi="Book Antiqua"/>
          <w:caps/>
          <w:lang w:val="es-ES"/>
        </w:rPr>
        <w:t>de 202</w:t>
      </w:r>
      <w:r w:rsidR="005343D7">
        <w:rPr>
          <w:rFonts w:ascii="Book Antiqua" w:hAnsi="Book Antiqua"/>
          <w:caps/>
          <w:lang w:val="es-ES"/>
        </w:rPr>
        <w:t>6</w:t>
      </w:r>
    </w:p>
    <w:p w14:paraId="709F52BF" w14:textId="77777777" w:rsidR="00BE52AF" w:rsidRPr="00A10635" w:rsidRDefault="00BE52AF" w:rsidP="00BE52AF">
      <w:pPr>
        <w:jc w:val="center"/>
        <w:rPr>
          <w:rFonts w:ascii="Book Antiqua" w:hAnsi="Book Antiqua"/>
          <w:caps/>
          <w:lang w:val="es-ES"/>
        </w:rPr>
      </w:pPr>
    </w:p>
    <w:p w14:paraId="2B365AAE" w14:textId="12F9DE6B" w:rsidR="008F24D7" w:rsidRDefault="008F24D7" w:rsidP="005343D7">
      <w:pPr>
        <w:jc w:val="center"/>
        <w:rPr>
          <w:rFonts w:ascii="Book Antiqua" w:hAnsi="Book Antiqua"/>
          <w:i/>
          <w:iCs/>
          <w:lang w:val="es-ES"/>
        </w:rPr>
      </w:pPr>
      <w:r w:rsidRPr="00A10635">
        <w:rPr>
          <w:rFonts w:ascii="Book Antiqua" w:hAnsi="Book Antiqua"/>
          <w:lang w:val="es-ES"/>
        </w:rPr>
        <w:t xml:space="preserve">Presentado por </w:t>
      </w:r>
      <w:r w:rsidR="005343D7">
        <w:rPr>
          <w:rFonts w:ascii="Book Antiqua" w:hAnsi="Book Antiqua"/>
          <w:lang w:val="es-ES"/>
        </w:rPr>
        <w:t xml:space="preserve">el </w:t>
      </w:r>
      <w:r w:rsidRPr="00A10635">
        <w:rPr>
          <w:rFonts w:ascii="Book Antiqua" w:hAnsi="Book Antiqua"/>
          <w:lang w:val="es-ES"/>
        </w:rPr>
        <w:t xml:space="preserve">representante </w:t>
      </w:r>
      <w:r w:rsidR="005343D7">
        <w:rPr>
          <w:rFonts w:ascii="Book Antiqua" w:hAnsi="Book Antiqua"/>
          <w:i/>
          <w:iCs/>
          <w:lang w:val="es-ES"/>
        </w:rPr>
        <w:t xml:space="preserve">Ferrer Santiago </w:t>
      </w:r>
    </w:p>
    <w:p w14:paraId="5F419143" w14:textId="77777777" w:rsidR="00BE52AF" w:rsidRPr="00A10635" w:rsidRDefault="00BE52AF" w:rsidP="00BE52AF">
      <w:pPr>
        <w:jc w:val="center"/>
        <w:rPr>
          <w:rFonts w:ascii="Book Antiqua" w:hAnsi="Book Antiqua"/>
          <w:i/>
          <w:iCs/>
          <w:lang w:val="es-ES"/>
        </w:rPr>
      </w:pPr>
    </w:p>
    <w:p w14:paraId="716E9F30" w14:textId="6083AF6C" w:rsidR="008F24D7" w:rsidRDefault="008F24D7" w:rsidP="005343D7">
      <w:pPr>
        <w:jc w:val="center"/>
        <w:rPr>
          <w:rFonts w:ascii="Book Antiqua" w:hAnsi="Book Antiqua"/>
          <w:lang w:val="es-ES"/>
        </w:rPr>
      </w:pPr>
      <w:r w:rsidRPr="00A10635">
        <w:rPr>
          <w:rFonts w:ascii="Book Antiqua" w:hAnsi="Book Antiqua"/>
          <w:lang w:val="es-ES"/>
        </w:rPr>
        <w:t xml:space="preserve">Referido a </w:t>
      </w:r>
      <w:r w:rsidR="00B02CEB">
        <w:rPr>
          <w:rFonts w:ascii="Book Antiqua" w:hAnsi="Book Antiqua"/>
          <w:lang w:val="es-ES"/>
        </w:rPr>
        <w:t>la Comisión de Educación</w:t>
      </w:r>
    </w:p>
    <w:p w14:paraId="3BDDEB33" w14:textId="77777777" w:rsidR="00BE52AF" w:rsidRPr="00A10635" w:rsidRDefault="00BE52AF" w:rsidP="00BE52AF">
      <w:pPr>
        <w:jc w:val="center"/>
        <w:rPr>
          <w:rFonts w:ascii="Book Antiqua" w:hAnsi="Book Antiqua"/>
          <w:lang w:val="es-ES"/>
        </w:rPr>
      </w:pPr>
    </w:p>
    <w:p w14:paraId="4B94D99F" w14:textId="77777777" w:rsidR="008F24D7" w:rsidRPr="000B3BF9" w:rsidRDefault="008F24D7" w:rsidP="00BE52AF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0B3BF9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286D774A" w14:textId="77777777" w:rsidR="00BE52AF" w:rsidRPr="00781050" w:rsidRDefault="00BE52AF" w:rsidP="00BE52AF">
      <w:pPr>
        <w:jc w:val="center"/>
        <w:rPr>
          <w:rFonts w:ascii="Book Antiqua" w:hAnsi="Book Antiqua"/>
          <w:b/>
          <w:lang w:val="es-ES"/>
        </w:rPr>
      </w:pPr>
    </w:p>
    <w:p w14:paraId="0A861326" w14:textId="0CC2636E" w:rsidR="00710E06" w:rsidRPr="006C3647" w:rsidRDefault="00710E06" w:rsidP="00BE2818">
      <w:pPr>
        <w:ind w:left="720" w:hanging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Para</w:t>
      </w:r>
      <w:r w:rsidR="006C3647" w:rsidRPr="006C3647">
        <w:rPr>
          <w:rFonts w:ascii="Book Antiqua" w:eastAsia="Times New Roman" w:hAnsi="Book Antiqua"/>
          <w:lang w:val="es-ES"/>
        </w:rPr>
        <w:t xml:space="preserve"> establecer la “Ley de Orientación previo a la Deuda de Préstamos Estudiantiles”</w:t>
      </w:r>
      <w:r w:rsidR="006C3647" w:rsidRPr="006C3647">
        <w:rPr>
          <w:rFonts w:ascii="Book Antiqua" w:hAnsi="Book Antiqua"/>
          <w:lang w:val="es-PR"/>
        </w:rPr>
        <w:t xml:space="preserve"> a los fines de establecer la responsabilidad de las instituciones de educación superior de </w:t>
      </w:r>
      <w:r w:rsidR="006C3647" w:rsidRPr="006C3647">
        <w:rPr>
          <w:rFonts w:ascii="Book Antiqua" w:eastAsia="Times New Roman" w:hAnsi="Book Antiqua"/>
          <w:lang w:val="es-ES"/>
        </w:rPr>
        <w:t>fomentar la transparencia, la educación financiera, y la orientación adecuada previo a toda transacción de préstamos estudiantiles, garantizando que los estudiantes comprendan plenamente las obligaciones financieras que asumen</w:t>
      </w:r>
      <w:r w:rsidR="005343D7" w:rsidRPr="006C3647">
        <w:rPr>
          <w:rFonts w:ascii="Book Antiqua" w:eastAsia="Times New Roman" w:hAnsi="Book Antiqua"/>
          <w:lang w:val="es-ES"/>
        </w:rPr>
        <w:t>, y para otros fines relacionados.</w:t>
      </w:r>
    </w:p>
    <w:p w14:paraId="5499544C" w14:textId="77777777" w:rsidR="00710E06" w:rsidRPr="000B0E6E" w:rsidRDefault="00710E06" w:rsidP="00BE52AF">
      <w:pPr>
        <w:ind w:left="360" w:hanging="360"/>
        <w:jc w:val="both"/>
        <w:rPr>
          <w:rFonts w:ascii="Book Antiqua" w:eastAsia="Times New Roman" w:hAnsi="Book Antiqua"/>
          <w:szCs w:val="20"/>
          <w:lang w:val="es-ES"/>
        </w:rPr>
      </w:pPr>
    </w:p>
    <w:p w14:paraId="1943C9FE" w14:textId="77777777" w:rsidR="00710E06" w:rsidRDefault="00710E06" w:rsidP="000B3BF9">
      <w:pPr>
        <w:jc w:val="center"/>
        <w:rPr>
          <w:rFonts w:ascii="Book Antiqua" w:eastAsia="Times New Roman" w:hAnsi="Book Antiqua"/>
          <w:szCs w:val="20"/>
          <w:lang w:val="es-ES_tradnl"/>
        </w:rPr>
      </w:pPr>
      <w:r w:rsidRPr="00BE52AF">
        <w:rPr>
          <w:rFonts w:ascii="Book Antiqua" w:eastAsia="Times New Roman" w:hAnsi="Book Antiqua"/>
          <w:szCs w:val="20"/>
          <w:lang w:val="es-ES_tradnl"/>
        </w:rPr>
        <w:t>EXPOSICIÓN DE MOTIVOS</w:t>
      </w:r>
    </w:p>
    <w:p w14:paraId="58A8DBB4" w14:textId="77777777" w:rsidR="00BE52AF" w:rsidRPr="00BE52AF" w:rsidRDefault="00BE52AF" w:rsidP="00BE52AF">
      <w:pPr>
        <w:ind w:firstLine="360"/>
        <w:jc w:val="center"/>
        <w:rPr>
          <w:rFonts w:ascii="Book Antiqua" w:eastAsia="Times New Roman" w:hAnsi="Book Antiqua"/>
          <w:szCs w:val="20"/>
          <w:lang w:val="es-ES_tradnl"/>
        </w:rPr>
      </w:pPr>
    </w:p>
    <w:p w14:paraId="15CD134C" w14:textId="1605CD96" w:rsid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  <w:r w:rsidRPr="006C3647">
        <w:rPr>
          <w:rFonts w:ascii="Book Antiqua" w:eastAsia="Times New Roman" w:hAnsi="Book Antiqua"/>
          <w:szCs w:val="20"/>
          <w:lang w:val="es-ES_tradnl"/>
        </w:rPr>
        <w:t>El endeudamiento estudiantil constituye una de las cargas financieras más significativas para miles de estudiantes y jóvenes profesionales en Puerto Rico. De acuerdo con datos de la Encuesta de la Comunidad del Negociado del Censo federal, entre 2018 y 2022 la deuda promedio por estudiante ascendió a $28,242, mientras que el ingreso mediano de los hogares en Puerto Rico rondó los $24,000.</w:t>
      </w:r>
    </w:p>
    <w:p w14:paraId="77ACBC65" w14:textId="77777777" w:rsidR="006C3647" w:rsidRP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</w:p>
    <w:p w14:paraId="7769FA09" w14:textId="77777777" w:rsidR="006C3647" w:rsidRP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  <w:r w:rsidRPr="006C3647">
        <w:rPr>
          <w:rFonts w:ascii="Book Antiqua" w:eastAsia="Times New Roman" w:hAnsi="Book Antiqua"/>
          <w:szCs w:val="20"/>
          <w:lang w:val="es-ES_tradnl"/>
        </w:rPr>
        <w:t>El acceso a financiamiento adecuado y suficiente es un componente esencial para garantizar que los estudiantes universitarios puedan iniciar, continuar y culminar sus estudios postsecundarios. En un contexto socioeconómico como el de Puerto Rico, los préstamos estudiantiles constituyen, para muchos jóvenes y sus familias, el principal mecanismo para sufragar los costos de matrícula, materiales, alojamiento y otros gastos esenciales asociados a la educación superior. La falta de acceso a estos préstamos puede traducirse en barreras estructurales al desarrollo académico, profesional y económico del País.</w:t>
      </w:r>
    </w:p>
    <w:p w14:paraId="37AA2AA6" w14:textId="77777777" w:rsid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  <w:r w:rsidRPr="006C3647">
        <w:rPr>
          <w:rFonts w:ascii="Book Antiqua" w:eastAsia="Times New Roman" w:hAnsi="Book Antiqua"/>
          <w:szCs w:val="20"/>
          <w:lang w:val="es-ES_tradnl"/>
        </w:rPr>
        <w:lastRenderedPageBreak/>
        <w:t>No obstante, el acceso al crédito educativo debe ir acompañado de información clara, orientación responsable y educación financiera adecuada. Asumir deuda estudiantil implica compromisos financieros de largo plazo que pueden incidir directamente en la estabilidad económica futura del prestatario, su capacidad de ahorro, su acceso a vivienda, su historial crediticio y sus decisiones laborales. La falta de comprensión sobre tasas de interés, acumulación de intereses, obligaciones de pago y consecuencias del incumplimiento ha contribuido al sobreendeudamiento y a situaciones de impago que afectan de manera desproporcionada a poblaciones jóvenes y de ingresos moderados.</w:t>
      </w:r>
    </w:p>
    <w:p w14:paraId="38C464C7" w14:textId="77777777" w:rsidR="006C3647" w:rsidRP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</w:p>
    <w:p w14:paraId="1632F40E" w14:textId="77777777" w:rsid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  <w:r w:rsidRPr="006C3647">
        <w:rPr>
          <w:rFonts w:ascii="Book Antiqua" w:eastAsia="Times New Roman" w:hAnsi="Book Antiqua"/>
          <w:szCs w:val="20"/>
          <w:lang w:val="es-ES_tradnl"/>
        </w:rPr>
        <w:t>La planificación financiera informada previo a la contratación de préstamos estudiantiles resulta indispensable para que los estudiantes puedan evaluar responsablemente cuánto endeudarse, proyectar su relación deuda-ingresos y comprender el impacto real de sus decisiones crediticias. De igual forma, conocer las consecuencias del impago —incluyendo daños al crédito, cargos adicionales, limitaciones de acceso a financiamiento futuro y otras repercusiones legales y económicas— permite fomentar conductas financieras responsables y prevenir crisis económicas personales una vez culminados los estudios.</w:t>
      </w:r>
    </w:p>
    <w:p w14:paraId="615B0A52" w14:textId="77777777" w:rsidR="006C3647" w:rsidRP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</w:p>
    <w:p w14:paraId="3BC97715" w14:textId="77777777" w:rsid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  <w:r w:rsidRPr="006C3647">
        <w:rPr>
          <w:rFonts w:ascii="Book Antiqua" w:eastAsia="Times New Roman" w:hAnsi="Book Antiqua"/>
          <w:szCs w:val="20"/>
          <w:lang w:val="es-ES_tradnl"/>
        </w:rPr>
        <w:t>El aumento sostenido en los costos de educación postsecundaria, junto con la dependencia creciente de préstamos federales y privados, exige la adopción de mecanismos que garanticen que los prestatarios reciban información clara, completa y comprensible antes de asumir obligaciones financieras a largo plazo.</w:t>
      </w:r>
    </w:p>
    <w:p w14:paraId="7CA7D86F" w14:textId="77777777" w:rsidR="006C3647" w:rsidRP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</w:p>
    <w:p w14:paraId="3AEA2ABC" w14:textId="77777777" w:rsid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  <w:r w:rsidRPr="006C3647">
        <w:rPr>
          <w:rFonts w:ascii="Book Antiqua" w:eastAsia="Times New Roman" w:hAnsi="Book Antiqua"/>
          <w:szCs w:val="20"/>
          <w:lang w:val="es-ES_tradnl"/>
        </w:rPr>
        <w:t>El Congreso de los Estados Unidos ha considerado legislación similar, particularmente el proyecto H.R. 3298 — Know Before You Owe Federal Student Loan Act of 2025, cuyo propósito principal es asegurar que los estudiantes reciban asesoría previa al préstamo, confirmación expresa del monto solicitado y divulgación periódica sobre saldos y acumulación de intereses.</w:t>
      </w:r>
    </w:p>
    <w:p w14:paraId="3BCE091E" w14:textId="77777777" w:rsidR="006C3647" w:rsidRP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</w:p>
    <w:p w14:paraId="44763A6D" w14:textId="77777777" w:rsid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  <w:r w:rsidRPr="006C3647">
        <w:rPr>
          <w:rFonts w:ascii="Book Antiqua" w:eastAsia="Times New Roman" w:hAnsi="Book Antiqua"/>
          <w:szCs w:val="20"/>
          <w:lang w:val="es-ES_tradnl"/>
        </w:rPr>
        <w:t>La Asamblea Legislativa de Puerto Rico reconoce la importancia de adoptar algunos de estos principios con el fin de fortalecer la transparencia crediticia, la educación financiera y la protección del consumidor en el contexto educativo. Aunque las entidades financieras y el Departamento de Educación Federal son quienes administran y notifican información específica sobre saldos, intereses y términos de los préstamos, las instituciones de educación superior desempeñan un rol fundamental en la orientación temprana y preventiva del estudiante.</w:t>
      </w:r>
    </w:p>
    <w:p w14:paraId="6F19BD2E" w14:textId="77777777" w:rsidR="006C3647" w:rsidRPr="006C3647" w:rsidRDefault="006C364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</w:p>
    <w:p w14:paraId="46286FCB" w14:textId="06AC300F" w:rsidR="005343D7" w:rsidRDefault="006C3647" w:rsidP="00BE2818">
      <w:pPr>
        <w:ind w:firstLine="562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szCs w:val="20"/>
          <w:lang w:val="es-ES_tradnl"/>
        </w:rPr>
        <w:t xml:space="preserve">Esta Ley adapta y adopta algunos de los principios del Know Before You Owe Federal Student Loan Act of 2025 al contexto puertorriqueño, creando requisitos de orientación pre-préstamo que promueven decisiones informadas, fomentan la planificación financiera responsable y reducen el riesgo de sobreendeudamiento y de impagos futuros. De esta manera, se persigue que los estudiantes comprendan </w:t>
      </w:r>
      <w:r w:rsidRPr="006C3647">
        <w:rPr>
          <w:rFonts w:ascii="Book Antiqua" w:eastAsia="Times New Roman" w:hAnsi="Book Antiqua"/>
          <w:szCs w:val="20"/>
          <w:lang w:val="es-ES_tradnl"/>
        </w:rPr>
        <w:lastRenderedPageBreak/>
        <w:t>plenamente, antes de comprometerse con un préstamo, la magnitud de la obligación que asumen y su impacto en su bienestar económico a largo plazo.</w:t>
      </w:r>
      <w:r w:rsidR="005343D7" w:rsidRPr="533F5409">
        <w:rPr>
          <w:rFonts w:ascii="Book Antiqua" w:eastAsia="Times New Roman" w:hAnsi="Book Antiqua"/>
          <w:lang w:val="es-ES"/>
        </w:rPr>
        <w:t xml:space="preserve"> </w:t>
      </w:r>
    </w:p>
    <w:p w14:paraId="1F9BEEC6" w14:textId="77777777" w:rsidR="005343D7" w:rsidRPr="005343D7" w:rsidRDefault="005343D7" w:rsidP="00BE2818">
      <w:pPr>
        <w:ind w:firstLine="562"/>
        <w:jc w:val="both"/>
        <w:rPr>
          <w:rFonts w:ascii="Book Antiqua" w:eastAsia="Times New Roman" w:hAnsi="Book Antiqua"/>
          <w:szCs w:val="20"/>
          <w:lang w:val="es-ES_tradnl"/>
        </w:rPr>
      </w:pPr>
    </w:p>
    <w:p w14:paraId="67C896F3" w14:textId="67DF837B" w:rsidR="00465D1D" w:rsidRPr="000B0E6E" w:rsidRDefault="005343D7" w:rsidP="00BE2818">
      <w:pPr>
        <w:ind w:firstLine="562"/>
        <w:jc w:val="both"/>
        <w:rPr>
          <w:rFonts w:ascii="Book Antiqua" w:hAnsi="Book Antiqua"/>
          <w:lang w:val="es-PR"/>
        </w:rPr>
      </w:pPr>
      <w:r w:rsidRPr="005343D7">
        <w:rPr>
          <w:rFonts w:ascii="Book Antiqua" w:eastAsia="Times New Roman" w:hAnsi="Book Antiqua"/>
          <w:szCs w:val="20"/>
          <w:lang w:val="es-ES_tradnl"/>
        </w:rPr>
        <w:t>Esta medida permite fortalecer la seguridad escolar mediante el aprovechamiento de los recursos municipales, promoviendo una respuesta más inmediata, coordinada y adaptada a las necesidades de cada comunidad.</w:t>
      </w:r>
      <w:r w:rsidR="00465D1D" w:rsidRPr="000B0E6E">
        <w:rPr>
          <w:rStyle w:val="PageNumber"/>
          <w:rFonts w:ascii="Book Antiqua" w:hAnsi="Book Antiqua"/>
          <w:lang w:val="es-PR"/>
        </w:rPr>
        <w:t xml:space="preserve">     </w:t>
      </w:r>
    </w:p>
    <w:p w14:paraId="1553E3D6" w14:textId="77777777" w:rsidR="00123A83" w:rsidRPr="000B0E6E" w:rsidRDefault="00123A83" w:rsidP="00BE52AF">
      <w:pPr>
        <w:jc w:val="both"/>
        <w:rPr>
          <w:rFonts w:ascii="Book Antiqua" w:hAnsi="Book Antiqua"/>
          <w:lang w:val="es-PR"/>
        </w:rPr>
      </w:pPr>
    </w:p>
    <w:p w14:paraId="4E585060" w14:textId="06454553" w:rsidR="00A06A97" w:rsidRPr="000B0E6E" w:rsidRDefault="00A06A97" w:rsidP="00BE52AF">
      <w:pPr>
        <w:widowControl w:val="0"/>
        <w:spacing w:line="480" w:lineRule="auto"/>
        <w:rPr>
          <w:rFonts w:ascii="Book Antiqua" w:eastAsia="Times New Roman" w:hAnsi="Book Antiqua"/>
          <w:i/>
          <w:lang w:val="es-PR"/>
        </w:rPr>
      </w:pPr>
      <w:r w:rsidRPr="000B0E6E">
        <w:rPr>
          <w:rFonts w:ascii="Book Antiqua" w:eastAsia="Times New Roman" w:hAnsi="Book Antiqua"/>
          <w:i/>
          <w:lang w:val="es-PR"/>
        </w:rPr>
        <w:t>DECR</w:t>
      </w:r>
      <w:r w:rsidR="00BE2818">
        <w:rPr>
          <w:rFonts w:ascii="Book Antiqua" w:eastAsia="Times New Roman" w:hAnsi="Book Antiqua"/>
          <w:i/>
          <w:lang w:val="es-PR"/>
        </w:rPr>
        <w:t>É</w:t>
      </w:r>
      <w:r w:rsidRPr="000B0E6E">
        <w:rPr>
          <w:rFonts w:ascii="Book Antiqua" w:eastAsia="Times New Roman" w:hAnsi="Book Antiqua"/>
          <w:i/>
          <w:lang w:val="es-PR"/>
        </w:rPr>
        <w:t>TASE POR LA ASAMBLEA LEGISLATIVA DE PUERTO RICO:</w:t>
      </w:r>
    </w:p>
    <w:p w14:paraId="2D103F3A" w14:textId="77777777" w:rsidR="00A06A97" w:rsidRPr="000B0E6E" w:rsidRDefault="00A06A97" w:rsidP="00A06A97">
      <w:pPr>
        <w:spacing w:line="480" w:lineRule="auto"/>
        <w:jc w:val="both"/>
        <w:rPr>
          <w:rFonts w:ascii="Book Antiqua" w:eastAsia="Times New Roman" w:hAnsi="Book Antiqua"/>
          <w:lang w:val="es-ES"/>
        </w:rPr>
        <w:sectPr w:rsidR="00A06A97" w:rsidRPr="000B0E6E" w:rsidSect="00A06A97">
          <w:headerReference w:type="default" r:id="rId8"/>
          <w:footerReference w:type="default" r:id="rId9"/>
          <w:pgSz w:w="12240" w:h="15840"/>
          <w:pgMar w:top="1440" w:right="1440" w:bottom="1440" w:left="1440" w:header="706" w:footer="706" w:gutter="0"/>
          <w:cols w:space="708"/>
          <w:titlePg/>
          <w:docGrid w:linePitch="360"/>
        </w:sectPr>
      </w:pPr>
    </w:p>
    <w:p w14:paraId="23424687" w14:textId="0AFA1AAC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Artículo 1</w:t>
      </w:r>
      <w:r w:rsidR="00C178B0">
        <w:rPr>
          <w:rFonts w:ascii="Book Antiqua" w:eastAsia="Times New Roman" w:hAnsi="Book Antiqua"/>
          <w:lang w:val="es-ES"/>
        </w:rPr>
        <w:t xml:space="preserve">.- </w:t>
      </w:r>
      <w:r w:rsidRPr="006C3647">
        <w:rPr>
          <w:rFonts w:ascii="Book Antiqua" w:eastAsia="Times New Roman" w:hAnsi="Book Antiqua"/>
          <w:lang w:val="es-ES"/>
        </w:rPr>
        <w:t>Título de la Ley</w:t>
      </w:r>
    </w:p>
    <w:p w14:paraId="409878EB" w14:textId="77777777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Esta Ley se conocerá como la “Ley de Orientación previo a la Deuda de Préstamos Estudiantiles”.</w:t>
      </w:r>
    </w:p>
    <w:p w14:paraId="34639AFA" w14:textId="4CC07D9D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Artículo 2</w:t>
      </w:r>
      <w:r w:rsidR="00C178B0">
        <w:rPr>
          <w:rFonts w:ascii="Book Antiqua" w:eastAsia="Times New Roman" w:hAnsi="Book Antiqua"/>
          <w:lang w:val="es-ES"/>
        </w:rPr>
        <w:t>.-</w:t>
      </w:r>
      <w:r w:rsidRPr="006C3647">
        <w:rPr>
          <w:rFonts w:ascii="Book Antiqua" w:eastAsia="Times New Roman" w:hAnsi="Book Antiqua"/>
          <w:lang w:val="es-ES"/>
        </w:rPr>
        <w:t xml:space="preserve"> Declaración de Política Pública</w:t>
      </w:r>
    </w:p>
    <w:p w14:paraId="6C3D26DC" w14:textId="77777777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Se declara como política pública del Estado Libre Asociado de Puerto Rico fomentar la transparencia, la educación financiera, y la orientación adecuada previo a toda transacción de préstamos estudiantiles, garantizando que los estudiantes comprendan plenamente las obligaciones financieras que asumen.</w:t>
      </w:r>
    </w:p>
    <w:p w14:paraId="0108AF0D" w14:textId="44BE2895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Artículo 3</w:t>
      </w:r>
      <w:r w:rsidR="00C178B0">
        <w:rPr>
          <w:rFonts w:ascii="Book Antiqua" w:eastAsia="Times New Roman" w:hAnsi="Book Antiqua"/>
          <w:lang w:val="es-ES"/>
        </w:rPr>
        <w:t>.-</w:t>
      </w:r>
      <w:r w:rsidRPr="006C3647">
        <w:rPr>
          <w:rFonts w:ascii="Book Antiqua" w:eastAsia="Times New Roman" w:hAnsi="Book Antiqua"/>
          <w:lang w:val="es-ES"/>
        </w:rPr>
        <w:t xml:space="preserve"> Definiciones</w:t>
      </w:r>
    </w:p>
    <w:p w14:paraId="45303334" w14:textId="77777777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Para fines de esta Ley, los siguientes términos tendrán el significado que aquí se dispone:</w:t>
      </w:r>
    </w:p>
    <w:p w14:paraId="6529358B" w14:textId="77777777" w:rsidR="006C3647" w:rsidRPr="006C3647" w:rsidRDefault="006C3647" w:rsidP="00C178B0">
      <w:pPr>
        <w:spacing w:line="480" w:lineRule="auto"/>
        <w:ind w:left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1. Préstamo estudiantil — Todo préstamo federal, privado o institucional solicitado para financiar estudios postsecundarios.</w:t>
      </w:r>
    </w:p>
    <w:p w14:paraId="78F81120" w14:textId="77777777" w:rsidR="006C3647" w:rsidRPr="006C3647" w:rsidRDefault="006C3647" w:rsidP="00C178B0">
      <w:pPr>
        <w:spacing w:line="480" w:lineRule="auto"/>
        <w:ind w:left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 xml:space="preserve">2. Asesoría Pre-Préstamo — Proceso obligatorio de orientación que deberá brindarse al estudiante que paga sus estudios con préstamos estudiantiles. </w:t>
      </w:r>
    </w:p>
    <w:p w14:paraId="5FB5ED96" w14:textId="77777777" w:rsidR="006C3647" w:rsidRPr="006C3647" w:rsidRDefault="006C3647" w:rsidP="00C178B0">
      <w:pPr>
        <w:spacing w:line="480" w:lineRule="auto"/>
        <w:ind w:left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3. Institución educativa — Toda entidad postsecundaria autorizada a operar en Puerto Rico.</w:t>
      </w:r>
    </w:p>
    <w:p w14:paraId="0156439A" w14:textId="7CCA7CB3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lastRenderedPageBreak/>
        <w:t>Artículo 4</w:t>
      </w:r>
      <w:r w:rsidR="00C178B0">
        <w:rPr>
          <w:rFonts w:ascii="Book Antiqua" w:eastAsia="Times New Roman" w:hAnsi="Book Antiqua"/>
          <w:lang w:val="es-ES"/>
        </w:rPr>
        <w:t>.-</w:t>
      </w:r>
      <w:r w:rsidRPr="006C3647">
        <w:rPr>
          <w:rFonts w:ascii="Book Antiqua" w:eastAsia="Times New Roman" w:hAnsi="Book Antiqua"/>
          <w:lang w:val="es-ES"/>
        </w:rPr>
        <w:t xml:space="preserve"> Obligaciones de las Instituciones Educativas</w:t>
      </w:r>
    </w:p>
    <w:p w14:paraId="656C2337" w14:textId="77777777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Toda entidad educativa que acepte pagos de préstamos estudiantiles deberá ofrecer orientación financiera anual a estos estudiantes, independientemente de qué entidad administre los préstamos. Esta orientación general incluirá:</w:t>
      </w:r>
    </w:p>
    <w:p w14:paraId="2A5CB024" w14:textId="0EE7AEF3" w:rsidR="006C3647" w:rsidRPr="006C3647" w:rsidRDefault="006C3647" w:rsidP="006C3647">
      <w:pPr>
        <w:pStyle w:val="ListParagraph"/>
        <w:numPr>
          <w:ilvl w:val="0"/>
          <w:numId w:val="41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Manejo del principal original y proyecciones de saldo.</w:t>
      </w:r>
    </w:p>
    <w:p w14:paraId="40DE0CE7" w14:textId="77777777" w:rsidR="006C3647" w:rsidRPr="006C3647" w:rsidRDefault="006C3647" w:rsidP="006C3647">
      <w:pPr>
        <w:pStyle w:val="ListParagraph"/>
        <w:numPr>
          <w:ilvl w:val="0"/>
          <w:numId w:val="41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Efectos de la tasa de interés aplicable a los préstamos.</w:t>
      </w:r>
    </w:p>
    <w:p w14:paraId="21A1C543" w14:textId="77777777" w:rsidR="006C3647" w:rsidRPr="006C3647" w:rsidRDefault="006C3647" w:rsidP="006C3647">
      <w:pPr>
        <w:pStyle w:val="ListParagraph"/>
        <w:numPr>
          <w:ilvl w:val="0"/>
          <w:numId w:val="41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Efectos de intereses acumulados y pagados.</w:t>
      </w:r>
    </w:p>
    <w:p w14:paraId="56195422" w14:textId="52202121" w:rsidR="006C3647" w:rsidRPr="006C3647" w:rsidRDefault="006C3647" w:rsidP="006C3647">
      <w:pPr>
        <w:pStyle w:val="ListParagraph"/>
        <w:numPr>
          <w:ilvl w:val="0"/>
          <w:numId w:val="41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 xml:space="preserve">Explicación del derecho a pagar intereses y su efecto, durante estudios o </w:t>
      </w:r>
      <w:r>
        <w:rPr>
          <w:rFonts w:ascii="Book Antiqua" w:eastAsia="Times New Roman" w:hAnsi="Book Antiqua"/>
          <w:lang w:val="es-ES"/>
        </w:rPr>
        <w:t>aplazamiento</w:t>
      </w:r>
      <w:r w:rsidRPr="006C3647">
        <w:rPr>
          <w:rFonts w:ascii="Book Antiqua" w:eastAsia="Times New Roman" w:hAnsi="Book Antiqua"/>
          <w:lang w:val="es-ES"/>
        </w:rPr>
        <w:t xml:space="preserve">. </w:t>
      </w:r>
    </w:p>
    <w:p w14:paraId="24BD906B" w14:textId="77777777" w:rsidR="006C3647" w:rsidRPr="006C3647" w:rsidRDefault="006C3647" w:rsidP="006C3647">
      <w:pPr>
        <w:pStyle w:val="ListParagraph"/>
        <w:numPr>
          <w:ilvl w:val="0"/>
          <w:numId w:val="41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Información sobre sus derechos como prestatario.</w:t>
      </w:r>
    </w:p>
    <w:p w14:paraId="76AC4C13" w14:textId="77777777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Ningún préstamo podrá ser desembolsado sin una confirmación expresa del estudiante prestatario de que ha sido orientado sobre su derecho a pedir prestada la cantidad mínima necesaria para cubrir los gastos y de que no tiene que aceptar la cantidad total de préstamos para los que es elegible. Además, el estudiante prestatario será advertido de que cuanto mayor sea la relación deuda-ingresos del prestatario, más dificultades probablemente tendrá para pagar el préstamo.</w:t>
      </w:r>
    </w:p>
    <w:p w14:paraId="4AEF7986" w14:textId="77777777" w:rsidR="006C3647" w:rsidRPr="006C3647" w:rsidRDefault="006C3647" w:rsidP="006C3647">
      <w:p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Esta orientación deberá permitir al estudiante:</w:t>
      </w:r>
    </w:p>
    <w:p w14:paraId="6015F700" w14:textId="1F339809" w:rsidR="006C3647" w:rsidRPr="006C3647" w:rsidRDefault="006C3647" w:rsidP="006C3647">
      <w:pPr>
        <w:pStyle w:val="ListParagraph"/>
        <w:numPr>
          <w:ilvl w:val="0"/>
          <w:numId w:val="44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 xml:space="preserve">hacer una estimación comparativa de deuda-ingreso, incluyendo proyección de ingresos y gastos esenciales; </w:t>
      </w:r>
    </w:p>
    <w:p w14:paraId="45B1955D" w14:textId="6CB4F66B" w:rsidR="006C3647" w:rsidRPr="006C3647" w:rsidRDefault="006C3647" w:rsidP="006C3647">
      <w:pPr>
        <w:pStyle w:val="ListParagraph"/>
        <w:numPr>
          <w:ilvl w:val="0"/>
          <w:numId w:val="44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Tener un estimado de deuda educativa, incluyendo préstamos futuros necesarios para completar el programa educativo.</w:t>
      </w:r>
    </w:p>
    <w:p w14:paraId="48BBECDF" w14:textId="4D7F2CB8" w:rsidR="006C3647" w:rsidRPr="006C3647" w:rsidRDefault="006C3647" w:rsidP="006C3647">
      <w:pPr>
        <w:pStyle w:val="ListParagraph"/>
        <w:numPr>
          <w:ilvl w:val="0"/>
          <w:numId w:val="44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lastRenderedPageBreak/>
        <w:t>Conocer los riesgos de un alto ratio deuda-ingreso y consecuencias crediticias del incumplimiento.</w:t>
      </w:r>
    </w:p>
    <w:p w14:paraId="6C7B09EA" w14:textId="40B66304" w:rsidR="006C3647" w:rsidRPr="006C3647" w:rsidRDefault="006C3647" w:rsidP="006C3647">
      <w:pPr>
        <w:pStyle w:val="ListParagraph"/>
        <w:numPr>
          <w:ilvl w:val="0"/>
          <w:numId w:val="44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Conocer las alternativas para reducir necesidad de préstamos, como becas, estudio y trabajo, o reducción de gastos en lugar de asumir el monto máximo disponible.</w:t>
      </w:r>
    </w:p>
    <w:p w14:paraId="47384D38" w14:textId="490D8775" w:rsidR="006C3647" w:rsidRPr="006C3647" w:rsidRDefault="006C3647" w:rsidP="006C3647">
      <w:pPr>
        <w:pStyle w:val="ListParagraph"/>
        <w:numPr>
          <w:ilvl w:val="0"/>
          <w:numId w:val="44"/>
        </w:num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Conocer la importancia de graduarse a tiempo para evitar endeudamiento adicional.</w:t>
      </w:r>
    </w:p>
    <w:p w14:paraId="55F736E2" w14:textId="3B19F6D3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 xml:space="preserve">Artículo </w:t>
      </w:r>
      <w:r w:rsidR="00C178B0">
        <w:rPr>
          <w:rFonts w:ascii="Book Antiqua" w:eastAsia="Times New Roman" w:hAnsi="Book Antiqua"/>
          <w:lang w:val="es-ES"/>
        </w:rPr>
        <w:t>5.-</w:t>
      </w:r>
      <w:r w:rsidRPr="006C3647">
        <w:rPr>
          <w:rFonts w:ascii="Book Antiqua" w:eastAsia="Times New Roman" w:hAnsi="Book Antiqua"/>
          <w:lang w:val="es-ES"/>
        </w:rPr>
        <w:t xml:space="preserve"> Reglamentación</w:t>
      </w:r>
    </w:p>
    <w:p w14:paraId="08015844" w14:textId="123F8AD5" w:rsidR="006C3647" w:rsidRPr="006C3647" w:rsidRDefault="00C178B0" w:rsidP="006C3647">
      <w:pPr>
        <w:spacing w:line="480" w:lineRule="auto"/>
        <w:jc w:val="both"/>
        <w:rPr>
          <w:rFonts w:ascii="Book Antiqua" w:eastAsia="Times New Roman" w:hAnsi="Book Antiqua"/>
          <w:lang w:val="es-ES"/>
        </w:rPr>
      </w:pPr>
      <w:r>
        <w:rPr>
          <w:rFonts w:ascii="Book Antiqua" w:eastAsia="Times New Roman" w:hAnsi="Book Antiqua"/>
          <w:lang w:val="es-ES"/>
        </w:rPr>
        <w:t xml:space="preserve">El Consejo de Educación de Puerto Rico </w:t>
      </w:r>
      <w:r w:rsidR="006C3647" w:rsidRPr="006C3647">
        <w:rPr>
          <w:rFonts w:ascii="Book Antiqua" w:eastAsia="Times New Roman" w:hAnsi="Book Antiqua"/>
          <w:lang w:val="es-ES"/>
        </w:rPr>
        <w:t>adoptará</w:t>
      </w:r>
      <w:r>
        <w:rPr>
          <w:rFonts w:ascii="Book Antiqua" w:eastAsia="Times New Roman" w:hAnsi="Book Antiqua"/>
          <w:lang w:val="es-ES"/>
        </w:rPr>
        <w:t xml:space="preserve"> el reglamento</w:t>
      </w:r>
      <w:r w:rsidR="006C3647" w:rsidRPr="006C3647">
        <w:rPr>
          <w:rFonts w:ascii="Book Antiqua" w:eastAsia="Times New Roman" w:hAnsi="Book Antiqua"/>
          <w:lang w:val="es-ES"/>
        </w:rPr>
        <w:t xml:space="preserve"> para implementar esta Ley dentro de los ciento veinte (120) días siguientes a su aprobación.</w:t>
      </w:r>
    </w:p>
    <w:p w14:paraId="36A3EC37" w14:textId="663765EE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Artículo</w:t>
      </w:r>
      <w:r w:rsidR="00C178B0">
        <w:rPr>
          <w:rFonts w:ascii="Book Antiqua" w:eastAsia="Times New Roman" w:hAnsi="Book Antiqua"/>
          <w:lang w:val="es-ES"/>
        </w:rPr>
        <w:t xml:space="preserve"> 6.- </w:t>
      </w:r>
      <w:r w:rsidRPr="006C3647">
        <w:rPr>
          <w:rFonts w:ascii="Book Antiqua" w:eastAsia="Times New Roman" w:hAnsi="Book Antiqua"/>
          <w:lang w:val="es-ES"/>
        </w:rPr>
        <w:t>Sanciones</w:t>
      </w:r>
    </w:p>
    <w:p w14:paraId="49A9C6B5" w14:textId="77777777" w:rsidR="006C3647" w:rsidRPr="006C3647" w:rsidRDefault="006C3647" w:rsidP="006C3647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Las instituciones educativas que incumplan con esta Ley estarán sujetas a multas administrativas, suspensión de autorizaciones o inhabilitación para certificar préstamos estudiantiles en Puerto Rico.</w:t>
      </w:r>
    </w:p>
    <w:p w14:paraId="1138E799" w14:textId="5C737785" w:rsidR="006C3647" w:rsidRPr="006C3647" w:rsidRDefault="006C3647" w:rsidP="00C178B0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 xml:space="preserve">Artículo </w:t>
      </w:r>
      <w:r w:rsidR="00C178B0">
        <w:rPr>
          <w:rFonts w:ascii="Book Antiqua" w:eastAsia="Times New Roman" w:hAnsi="Book Antiqua"/>
          <w:lang w:val="es-ES"/>
        </w:rPr>
        <w:t>7.-</w:t>
      </w:r>
      <w:r w:rsidRPr="006C3647">
        <w:rPr>
          <w:rFonts w:ascii="Book Antiqua" w:eastAsia="Times New Roman" w:hAnsi="Book Antiqua"/>
          <w:lang w:val="es-ES"/>
        </w:rPr>
        <w:t xml:space="preserve"> Cláusula de Supremacía</w:t>
      </w:r>
    </w:p>
    <w:p w14:paraId="4F1983E4" w14:textId="77777777" w:rsidR="006C3647" w:rsidRPr="006C3647" w:rsidRDefault="006C3647" w:rsidP="006C3647">
      <w:p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En caso de conflicto entre esta Ley y legislación federal aplicable, prevalecerá la normativa federal únicamente en las áreas donde exista jurisdicción exclusiva, permaneciendo vigente el resto de las disposiciones.</w:t>
      </w:r>
    </w:p>
    <w:p w14:paraId="20E59B38" w14:textId="1679A5C6" w:rsidR="006C3647" w:rsidRPr="006C3647" w:rsidRDefault="006C3647" w:rsidP="00C178B0">
      <w:pPr>
        <w:spacing w:line="480" w:lineRule="auto"/>
        <w:ind w:firstLine="720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 xml:space="preserve">Artículo </w:t>
      </w:r>
      <w:r w:rsidR="00C178B0">
        <w:rPr>
          <w:rFonts w:ascii="Book Antiqua" w:eastAsia="Times New Roman" w:hAnsi="Book Antiqua"/>
          <w:lang w:val="es-ES"/>
        </w:rPr>
        <w:t>8.-</w:t>
      </w:r>
      <w:r w:rsidRPr="006C3647">
        <w:rPr>
          <w:rFonts w:ascii="Book Antiqua" w:eastAsia="Times New Roman" w:hAnsi="Book Antiqua"/>
          <w:lang w:val="es-ES"/>
        </w:rPr>
        <w:t xml:space="preserve"> Vigencia</w:t>
      </w:r>
    </w:p>
    <w:p w14:paraId="27F70F65" w14:textId="23808192" w:rsidR="006C3647" w:rsidRDefault="006C3647" w:rsidP="006C3647">
      <w:pPr>
        <w:spacing w:line="480" w:lineRule="auto"/>
        <w:jc w:val="both"/>
        <w:rPr>
          <w:rFonts w:ascii="Book Antiqua" w:eastAsia="Times New Roman" w:hAnsi="Book Antiqua"/>
          <w:lang w:val="es-ES"/>
        </w:rPr>
      </w:pPr>
      <w:r w:rsidRPr="006C3647">
        <w:rPr>
          <w:rFonts w:ascii="Book Antiqua" w:eastAsia="Times New Roman" w:hAnsi="Book Antiqua"/>
          <w:lang w:val="es-ES"/>
        </w:rPr>
        <w:t>Esta Ley entrará en vigor inmediatamente después de su aprobación.</w:t>
      </w:r>
    </w:p>
    <w:sectPr w:rsidR="006C3647" w:rsidSect="006322D7">
      <w:headerReference w:type="default" r:id="rId10"/>
      <w:footerReference w:type="even" r:id="rId11"/>
      <w:footerReference w:type="default" r:id="rId12"/>
      <w:type w:val="continuous"/>
      <w:pgSz w:w="12240" w:h="15840" w:code="1"/>
      <w:pgMar w:top="1440" w:right="1440" w:bottom="1440" w:left="1440" w:header="720" w:footer="1440" w:gutter="0"/>
      <w:lnNumType w:countBy="1"/>
      <w:cols w:space="720"/>
      <w:noEndnote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4BCD5" w14:textId="77777777" w:rsidR="00C214F7" w:rsidRDefault="00C214F7">
      <w:r>
        <w:separator/>
      </w:r>
    </w:p>
  </w:endnote>
  <w:endnote w:type="continuationSeparator" w:id="0">
    <w:p w14:paraId="79567594" w14:textId="77777777" w:rsidR="00C214F7" w:rsidRDefault="00C21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B97DA" w14:textId="4C08D85D" w:rsidR="005343D7" w:rsidRDefault="005343D7">
    <w:pPr>
      <w:pStyle w:val="Footer"/>
      <w:jc w:val="right"/>
    </w:pPr>
  </w:p>
  <w:p w14:paraId="6D1275CF" w14:textId="77777777" w:rsidR="005343D7" w:rsidRDefault="005343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5B43A" w14:textId="77777777" w:rsidR="00A3799D" w:rsidRDefault="00A3799D" w:rsidP="00A90B5B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00ED3" w14:textId="77777777" w:rsidR="00A3799D" w:rsidRDefault="00A3799D" w:rsidP="00A90B5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F3C2E" w14:textId="77777777" w:rsidR="00A3799D" w:rsidRDefault="00A3799D" w:rsidP="00A90B5B">
    <w:pPr>
      <w:pStyle w:val="Footer"/>
      <w:framePr w:wrap="auto" w:vAnchor="text" w:hAnchor="margin" w:xAlign="center" w:y="1"/>
      <w:rPr>
        <w:rStyle w:val="PageNumber"/>
      </w:rPr>
    </w:pPr>
  </w:p>
  <w:p w14:paraId="6774AE5D" w14:textId="77777777" w:rsidR="00A3799D" w:rsidRDefault="00A3799D" w:rsidP="00A90B5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8E61B" w14:textId="77777777" w:rsidR="00C214F7" w:rsidRDefault="00C214F7">
      <w:r>
        <w:separator/>
      </w:r>
    </w:p>
  </w:footnote>
  <w:footnote w:type="continuationSeparator" w:id="0">
    <w:p w14:paraId="79436A90" w14:textId="77777777" w:rsidR="00C214F7" w:rsidRDefault="00C21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EE5EF" w14:textId="77777777" w:rsidR="00A06A97" w:rsidRDefault="00A06A97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78B0">
      <w:rPr>
        <w:noProof/>
      </w:rPr>
      <w:t>3</w:t>
    </w:r>
    <w:r>
      <w:fldChar w:fldCharType="end"/>
    </w:r>
  </w:p>
  <w:p w14:paraId="0DC7EACD" w14:textId="77777777" w:rsidR="00A06A97" w:rsidRDefault="00A06A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21543" w14:textId="77777777" w:rsidR="00A3799D" w:rsidRDefault="00A3799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78B0">
      <w:rPr>
        <w:noProof/>
      </w:rPr>
      <w:t>5</w:t>
    </w:r>
    <w:r>
      <w:fldChar w:fldCharType="end"/>
    </w:r>
  </w:p>
  <w:p w14:paraId="5E069EE1" w14:textId="77777777" w:rsidR="00A3799D" w:rsidRDefault="00A379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DD6A87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41142D9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2B5CCD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506F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63833E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C3216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1E863A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1726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92DA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DFCF2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3C6DC0"/>
    <w:multiLevelType w:val="hybridMultilevel"/>
    <w:tmpl w:val="4F3C3DCC"/>
    <w:lvl w:ilvl="0" w:tplc="A5D214B2">
      <w:start w:val="1"/>
      <w:numFmt w:val="lowerLetter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2BE753E"/>
    <w:multiLevelType w:val="hybridMultilevel"/>
    <w:tmpl w:val="C8424386"/>
    <w:lvl w:ilvl="0" w:tplc="EA229C62">
      <w:start w:val="1"/>
      <w:numFmt w:val="lowerLetter"/>
      <w:lvlText w:val="(%1)"/>
      <w:lvlJc w:val="left"/>
      <w:pPr>
        <w:ind w:left="2055" w:hanging="127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2" w15:restartNumberingAfterBreak="0">
    <w:nsid w:val="0475264E"/>
    <w:multiLevelType w:val="hybridMultilevel"/>
    <w:tmpl w:val="45CABFEA"/>
    <w:lvl w:ilvl="0" w:tplc="E6BEC508">
      <w:start w:val="15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3" w15:restartNumberingAfterBreak="0">
    <w:nsid w:val="07AA2241"/>
    <w:multiLevelType w:val="hybridMultilevel"/>
    <w:tmpl w:val="7C06588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 w15:restartNumberingAfterBreak="0">
    <w:nsid w:val="0FF90019"/>
    <w:multiLevelType w:val="hybridMultilevel"/>
    <w:tmpl w:val="699C0F36"/>
    <w:lvl w:ilvl="0" w:tplc="EAEC10D0">
      <w:start w:val="7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0610742"/>
    <w:multiLevelType w:val="hybridMultilevel"/>
    <w:tmpl w:val="4052F45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5C1964"/>
    <w:multiLevelType w:val="hybridMultilevel"/>
    <w:tmpl w:val="F0A2F8FA"/>
    <w:lvl w:ilvl="0" w:tplc="08700E74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195C05CE"/>
    <w:multiLevelType w:val="hybridMultilevel"/>
    <w:tmpl w:val="1D2EE09A"/>
    <w:lvl w:ilvl="0" w:tplc="06D206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F2E633F"/>
    <w:multiLevelType w:val="hybridMultilevel"/>
    <w:tmpl w:val="08DC5654"/>
    <w:lvl w:ilvl="0" w:tplc="531852E8">
      <w:start w:val="4"/>
      <w:numFmt w:val="decimal"/>
      <w:lvlText w:val="(%1)"/>
      <w:lvlJc w:val="left"/>
      <w:pPr>
        <w:tabs>
          <w:tab w:val="num" w:pos="450"/>
        </w:tabs>
        <w:ind w:left="450" w:hanging="39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9" w15:restartNumberingAfterBreak="0">
    <w:nsid w:val="252357EE"/>
    <w:multiLevelType w:val="multilevel"/>
    <w:tmpl w:val="790418EA"/>
    <w:lvl w:ilvl="0">
      <w:start w:val="15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20" w15:restartNumberingAfterBreak="0">
    <w:nsid w:val="2C097F67"/>
    <w:multiLevelType w:val="hybridMultilevel"/>
    <w:tmpl w:val="2D162590"/>
    <w:lvl w:ilvl="0" w:tplc="5A0E3E9A">
      <w:start w:val="1"/>
      <w:numFmt w:val="lowerLetter"/>
      <w:lvlText w:val="(%1)"/>
      <w:lvlJc w:val="left"/>
      <w:pPr>
        <w:ind w:left="180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 w15:restartNumberingAfterBreak="0">
    <w:nsid w:val="2E0404D6"/>
    <w:multiLevelType w:val="hybridMultilevel"/>
    <w:tmpl w:val="DE2016AE"/>
    <w:lvl w:ilvl="0" w:tplc="040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377847A8"/>
    <w:multiLevelType w:val="hybridMultilevel"/>
    <w:tmpl w:val="CD3AC7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86B2DA7"/>
    <w:multiLevelType w:val="hybridMultilevel"/>
    <w:tmpl w:val="F472727C"/>
    <w:lvl w:ilvl="0" w:tplc="2092D9F4">
      <w:start w:val="1"/>
      <w:numFmt w:val="lowerLetter"/>
      <w:lvlText w:val="(%1)"/>
      <w:lvlJc w:val="left"/>
      <w:pPr>
        <w:ind w:left="1110" w:hanging="40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4" w15:restartNumberingAfterBreak="0">
    <w:nsid w:val="38F97736"/>
    <w:multiLevelType w:val="hybridMultilevel"/>
    <w:tmpl w:val="02D4B6E8"/>
    <w:lvl w:ilvl="0" w:tplc="144CEDD0">
      <w:start w:val="6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97B752C"/>
    <w:multiLevelType w:val="hybridMultilevel"/>
    <w:tmpl w:val="2382A302"/>
    <w:lvl w:ilvl="0" w:tplc="21F4F3EA">
      <w:start w:val="5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F4B5492"/>
    <w:multiLevelType w:val="hybridMultilevel"/>
    <w:tmpl w:val="27A0AC50"/>
    <w:lvl w:ilvl="0" w:tplc="B54A5214">
      <w:start w:val="8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87C75A2"/>
    <w:multiLevelType w:val="hybridMultilevel"/>
    <w:tmpl w:val="43465A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9772BFF"/>
    <w:multiLevelType w:val="hybridMultilevel"/>
    <w:tmpl w:val="C4EAC64E"/>
    <w:lvl w:ilvl="0" w:tplc="33FEF594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B9D1044"/>
    <w:multiLevelType w:val="hybridMultilevel"/>
    <w:tmpl w:val="216C9352"/>
    <w:lvl w:ilvl="0" w:tplc="CC98941A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C895963"/>
    <w:multiLevelType w:val="hybridMultilevel"/>
    <w:tmpl w:val="FD08A928"/>
    <w:lvl w:ilvl="0" w:tplc="46AE03FA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38C7380"/>
    <w:multiLevelType w:val="hybridMultilevel"/>
    <w:tmpl w:val="2E2230D2"/>
    <w:lvl w:ilvl="0" w:tplc="0B42532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91672B6"/>
    <w:multiLevelType w:val="hybridMultilevel"/>
    <w:tmpl w:val="57B87E6E"/>
    <w:lvl w:ilvl="0" w:tplc="5AF600AE">
      <w:start w:val="4"/>
      <w:numFmt w:val="lowerLetter"/>
      <w:lvlText w:val="(%1)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D02691A"/>
    <w:multiLevelType w:val="hybridMultilevel"/>
    <w:tmpl w:val="30CA1CF4"/>
    <w:lvl w:ilvl="0" w:tplc="07C42F7C">
      <w:start w:val="1"/>
      <w:numFmt w:val="lowerLetter"/>
      <w:lvlText w:val="(%1)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 w15:restartNumberingAfterBreak="0">
    <w:nsid w:val="5DC05B62"/>
    <w:multiLevelType w:val="hybridMultilevel"/>
    <w:tmpl w:val="6CE284A6"/>
    <w:lvl w:ilvl="0" w:tplc="61963764">
      <w:start w:val="18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F2B4BBB"/>
    <w:multiLevelType w:val="hybridMultilevel"/>
    <w:tmpl w:val="F93AAF98"/>
    <w:lvl w:ilvl="0" w:tplc="F0F45576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ascii="Times New Roman" w:eastAsia="Batang" w:hAnsi="Times New Roman" w:cs="Times New Roman"/>
      </w:rPr>
    </w:lvl>
    <w:lvl w:ilvl="1" w:tplc="03D455F4">
      <w:start w:val="1"/>
      <w:numFmt w:val="lowerLetter"/>
      <w:lvlText w:val="(%2)"/>
      <w:lvlJc w:val="left"/>
      <w:pPr>
        <w:tabs>
          <w:tab w:val="num" w:pos="1800"/>
        </w:tabs>
        <w:ind w:left="1800" w:hanging="360"/>
      </w:pPr>
      <w:rPr>
        <w:rFonts w:ascii="Times New Roman" w:eastAsia="Batang" w:hAnsi="Times New Roman" w:cs="Times New Roman"/>
      </w:rPr>
    </w:lvl>
    <w:lvl w:ilvl="2" w:tplc="D8CEF102">
      <w:start w:val="1"/>
      <w:numFmt w:val="lowerLetter"/>
      <w:lvlText w:val="(%3)"/>
      <w:lvlJc w:val="right"/>
      <w:pPr>
        <w:tabs>
          <w:tab w:val="num" w:pos="2520"/>
        </w:tabs>
        <w:ind w:left="2520" w:hanging="180"/>
      </w:pPr>
      <w:rPr>
        <w:rFonts w:ascii="Times New Roman" w:eastAsia="Batang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5FFD47A7"/>
    <w:multiLevelType w:val="hybridMultilevel"/>
    <w:tmpl w:val="45DA44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4B5529"/>
    <w:multiLevelType w:val="hybridMultilevel"/>
    <w:tmpl w:val="216C9352"/>
    <w:lvl w:ilvl="0" w:tplc="CC98941A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22979F7"/>
    <w:multiLevelType w:val="hybridMultilevel"/>
    <w:tmpl w:val="9670D3DC"/>
    <w:lvl w:ilvl="0" w:tplc="71D2F3DC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B07558"/>
    <w:multiLevelType w:val="hybridMultilevel"/>
    <w:tmpl w:val="1A60152C"/>
    <w:lvl w:ilvl="0" w:tplc="500A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97213C5"/>
    <w:multiLevelType w:val="multilevel"/>
    <w:tmpl w:val="3EF257B0"/>
    <w:lvl w:ilvl="0">
      <w:start w:val="1"/>
      <w:numFmt w:val="lowerLetter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1" w15:restartNumberingAfterBreak="0">
    <w:nsid w:val="716512DA"/>
    <w:multiLevelType w:val="hybridMultilevel"/>
    <w:tmpl w:val="55B44BAC"/>
    <w:lvl w:ilvl="0" w:tplc="621E8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061414"/>
    <w:multiLevelType w:val="hybridMultilevel"/>
    <w:tmpl w:val="E7C6422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9545D06"/>
    <w:multiLevelType w:val="hybridMultilevel"/>
    <w:tmpl w:val="11DC99AE"/>
    <w:lvl w:ilvl="0" w:tplc="500A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83845445">
    <w:abstractNumId w:val="31"/>
  </w:num>
  <w:num w:numId="2" w16cid:durableId="1424182805">
    <w:abstractNumId w:val="35"/>
  </w:num>
  <w:num w:numId="3" w16cid:durableId="646206518">
    <w:abstractNumId w:val="28"/>
  </w:num>
  <w:num w:numId="4" w16cid:durableId="1554271038">
    <w:abstractNumId w:val="13"/>
  </w:num>
  <w:num w:numId="5" w16cid:durableId="1555651632">
    <w:abstractNumId w:val="40"/>
  </w:num>
  <w:num w:numId="6" w16cid:durableId="233324824">
    <w:abstractNumId w:val="27"/>
  </w:num>
  <w:num w:numId="7" w16cid:durableId="529999313">
    <w:abstractNumId w:val="22"/>
  </w:num>
  <w:num w:numId="8" w16cid:durableId="756055161">
    <w:abstractNumId w:val="33"/>
  </w:num>
  <w:num w:numId="9" w16cid:durableId="966816965">
    <w:abstractNumId w:val="32"/>
  </w:num>
  <w:num w:numId="10" w16cid:durableId="1091900172">
    <w:abstractNumId w:val="12"/>
  </w:num>
  <w:num w:numId="11" w16cid:durableId="1857424149">
    <w:abstractNumId w:val="10"/>
  </w:num>
  <w:num w:numId="12" w16cid:durableId="1491947213">
    <w:abstractNumId w:val="19"/>
  </w:num>
  <w:num w:numId="13" w16cid:durableId="832256248">
    <w:abstractNumId w:val="34"/>
  </w:num>
  <w:num w:numId="14" w16cid:durableId="501745353">
    <w:abstractNumId w:val="36"/>
  </w:num>
  <w:num w:numId="15" w16cid:durableId="280919854">
    <w:abstractNumId w:val="16"/>
  </w:num>
  <w:num w:numId="16" w16cid:durableId="813371268">
    <w:abstractNumId w:val="41"/>
  </w:num>
  <w:num w:numId="17" w16cid:durableId="1335183695">
    <w:abstractNumId w:val="15"/>
  </w:num>
  <w:num w:numId="18" w16cid:durableId="737870489">
    <w:abstractNumId w:val="21"/>
  </w:num>
  <w:num w:numId="19" w16cid:durableId="806168163">
    <w:abstractNumId w:val="18"/>
  </w:num>
  <w:num w:numId="20" w16cid:durableId="869880811">
    <w:abstractNumId w:val="25"/>
  </w:num>
  <w:num w:numId="21" w16cid:durableId="1732650672">
    <w:abstractNumId w:val="24"/>
  </w:num>
  <w:num w:numId="22" w16cid:durableId="521670434">
    <w:abstractNumId w:val="14"/>
  </w:num>
  <w:num w:numId="23" w16cid:durableId="532381364">
    <w:abstractNumId w:val="26"/>
  </w:num>
  <w:num w:numId="24" w16cid:durableId="100956094">
    <w:abstractNumId w:val="20"/>
  </w:num>
  <w:num w:numId="25" w16cid:durableId="621305066">
    <w:abstractNumId w:val="23"/>
  </w:num>
  <w:num w:numId="26" w16cid:durableId="277224801">
    <w:abstractNumId w:val="11"/>
  </w:num>
  <w:num w:numId="27" w16cid:durableId="1963226069">
    <w:abstractNumId w:val="9"/>
  </w:num>
  <w:num w:numId="28" w16cid:durableId="13966256">
    <w:abstractNumId w:val="7"/>
  </w:num>
  <w:num w:numId="29" w16cid:durableId="493883693">
    <w:abstractNumId w:val="6"/>
  </w:num>
  <w:num w:numId="30" w16cid:durableId="1545487628">
    <w:abstractNumId w:val="5"/>
  </w:num>
  <w:num w:numId="31" w16cid:durableId="47846371">
    <w:abstractNumId w:val="4"/>
  </w:num>
  <w:num w:numId="32" w16cid:durableId="1971788282">
    <w:abstractNumId w:val="8"/>
  </w:num>
  <w:num w:numId="33" w16cid:durableId="413547303">
    <w:abstractNumId w:val="3"/>
  </w:num>
  <w:num w:numId="34" w16cid:durableId="2124689017">
    <w:abstractNumId w:val="2"/>
  </w:num>
  <w:num w:numId="35" w16cid:durableId="1183590894">
    <w:abstractNumId w:val="1"/>
  </w:num>
  <w:num w:numId="36" w16cid:durableId="1224560539">
    <w:abstractNumId w:val="0"/>
  </w:num>
  <w:num w:numId="37" w16cid:durableId="1997218231">
    <w:abstractNumId w:val="38"/>
  </w:num>
  <w:num w:numId="38" w16cid:durableId="1776750953">
    <w:abstractNumId w:val="30"/>
  </w:num>
  <w:num w:numId="39" w16cid:durableId="418212566">
    <w:abstractNumId w:val="29"/>
  </w:num>
  <w:num w:numId="40" w16cid:durableId="1371539034">
    <w:abstractNumId w:val="37"/>
  </w:num>
  <w:num w:numId="41" w16cid:durableId="679701280">
    <w:abstractNumId w:val="39"/>
  </w:num>
  <w:num w:numId="42" w16cid:durableId="1236820814">
    <w:abstractNumId w:val="43"/>
  </w:num>
  <w:num w:numId="43" w16cid:durableId="857735272">
    <w:abstractNumId w:val="17"/>
  </w:num>
  <w:num w:numId="44" w16cid:durableId="1127820112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7"/>
  <w:drawingGridVerticalSpacing w:val="12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A83"/>
    <w:rsid w:val="0003295F"/>
    <w:rsid w:val="00054306"/>
    <w:rsid w:val="00055D05"/>
    <w:rsid w:val="000B0E6E"/>
    <w:rsid w:val="000B3BF9"/>
    <w:rsid w:val="000C60B7"/>
    <w:rsid w:val="00112CD7"/>
    <w:rsid w:val="00112EFC"/>
    <w:rsid w:val="00123A83"/>
    <w:rsid w:val="00125AE8"/>
    <w:rsid w:val="00131802"/>
    <w:rsid w:val="00137462"/>
    <w:rsid w:val="00137BC7"/>
    <w:rsid w:val="001418E1"/>
    <w:rsid w:val="0014190A"/>
    <w:rsid w:val="00142B6B"/>
    <w:rsid w:val="00146612"/>
    <w:rsid w:val="00153362"/>
    <w:rsid w:val="001664CA"/>
    <w:rsid w:val="00167E53"/>
    <w:rsid w:val="001863ED"/>
    <w:rsid w:val="001973B9"/>
    <w:rsid w:val="001B0072"/>
    <w:rsid w:val="001B761E"/>
    <w:rsid w:val="001D6B11"/>
    <w:rsid w:val="001E2A89"/>
    <w:rsid w:val="002015C6"/>
    <w:rsid w:val="002126A8"/>
    <w:rsid w:val="002220DA"/>
    <w:rsid w:val="00223C45"/>
    <w:rsid w:val="002455F5"/>
    <w:rsid w:val="00262FBC"/>
    <w:rsid w:val="00286B31"/>
    <w:rsid w:val="002B5304"/>
    <w:rsid w:val="002C26D9"/>
    <w:rsid w:val="002C7857"/>
    <w:rsid w:val="002D40D1"/>
    <w:rsid w:val="002D5EDB"/>
    <w:rsid w:val="002E6EBE"/>
    <w:rsid w:val="00345BBB"/>
    <w:rsid w:val="003618A6"/>
    <w:rsid w:val="00377DC7"/>
    <w:rsid w:val="00386994"/>
    <w:rsid w:val="003B271C"/>
    <w:rsid w:val="003E0F29"/>
    <w:rsid w:val="003E34C0"/>
    <w:rsid w:val="00413837"/>
    <w:rsid w:val="0042659A"/>
    <w:rsid w:val="004339B3"/>
    <w:rsid w:val="00450509"/>
    <w:rsid w:val="00465D1D"/>
    <w:rsid w:val="00482684"/>
    <w:rsid w:val="00483F63"/>
    <w:rsid w:val="004937AE"/>
    <w:rsid w:val="004B4050"/>
    <w:rsid w:val="004E12D2"/>
    <w:rsid w:val="005112A0"/>
    <w:rsid w:val="005343D7"/>
    <w:rsid w:val="00555984"/>
    <w:rsid w:val="005767FC"/>
    <w:rsid w:val="005A5796"/>
    <w:rsid w:val="005B0878"/>
    <w:rsid w:val="005B5F18"/>
    <w:rsid w:val="005D1229"/>
    <w:rsid w:val="005E6FC7"/>
    <w:rsid w:val="005F051C"/>
    <w:rsid w:val="005F21E5"/>
    <w:rsid w:val="0062475F"/>
    <w:rsid w:val="006322D7"/>
    <w:rsid w:val="00633C59"/>
    <w:rsid w:val="00644E28"/>
    <w:rsid w:val="00663B8B"/>
    <w:rsid w:val="00673927"/>
    <w:rsid w:val="00682B42"/>
    <w:rsid w:val="006A7615"/>
    <w:rsid w:val="006B103E"/>
    <w:rsid w:val="006C3647"/>
    <w:rsid w:val="006C55AF"/>
    <w:rsid w:val="006E02B4"/>
    <w:rsid w:val="006E5B3B"/>
    <w:rsid w:val="00701FA1"/>
    <w:rsid w:val="00710E06"/>
    <w:rsid w:val="0074771C"/>
    <w:rsid w:val="00751C1C"/>
    <w:rsid w:val="00752DF1"/>
    <w:rsid w:val="007602FF"/>
    <w:rsid w:val="0076049E"/>
    <w:rsid w:val="00765CCF"/>
    <w:rsid w:val="00774AF0"/>
    <w:rsid w:val="007913EB"/>
    <w:rsid w:val="00794F17"/>
    <w:rsid w:val="007A336F"/>
    <w:rsid w:val="007A4E13"/>
    <w:rsid w:val="007A6D51"/>
    <w:rsid w:val="007A79F8"/>
    <w:rsid w:val="007B0C71"/>
    <w:rsid w:val="007B0D68"/>
    <w:rsid w:val="007F70F0"/>
    <w:rsid w:val="00833E16"/>
    <w:rsid w:val="00835F59"/>
    <w:rsid w:val="008448B7"/>
    <w:rsid w:val="00852213"/>
    <w:rsid w:val="00867BAB"/>
    <w:rsid w:val="00874CE9"/>
    <w:rsid w:val="0087592F"/>
    <w:rsid w:val="00880A9D"/>
    <w:rsid w:val="00894C68"/>
    <w:rsid w:val="008950AC"/>
    <w:rsid w:val="008A4B2E"/>
    <w:rsid w:val="008C0E1A"/>
    <w:rsid w:val="008C5295"/>
    <w:rsid w:val="008F24D7"/>
    <w:rsid w:val="0091597E"/>
    <w:rsid w:val="00941A4A"/>
    <w:rsid w:val="0096100E"/>
    <w:rsid w:val="009848AA"/>
    <w:rsid w:val="009A2859"/>
    <w:rsid w:val="009A6535"/>
    <w:rsid w:val="009D7DCB"/>
    <w:rsid w:val="009E4A04"/>
    <w:rsid w:val="009F0D44"/>
    <w:rsid w:val="00A06A97"/>
    <w:rsid w:val="00A16E9E"/>
    <w:rsid w:val="00A3778B"/>
    <w:rsid w:val="00A3799D"/>
    <w:rsid w:val="00A41F8C"/>
    <w:rsid w:val="00A42D32"/>
    <w:rsid w:val="00A52D16"/>
    <w:rsid w:val="00A7133A"/>
    <w:rsid w:val="00A90B5B"/>
    <w:rsid w:val="00A9143E"/>
    <w:rsid w:val="00AB7787"/>
    <w:rsid w:val="00AE1449"/>
    <w:rsid w:val="00AE5CB1"/>
    <w:rsid w:val="00AF4C60"/>
    <w:rsid w:val="00AF5158"/>
    <w:rsid w:val="00B02CEB"/>
    <w:rsid w:val="00B04504"/>
    <w:rsid w:val="00B12F69"/>
    <w:rsid w:val="00B15826"/>
    <w:rsid w:val="00B431AD"/>
    <w:rsid w:val="00B52AC3"/>
    <w:rsid w:val="00B57DE3"/>
    <w:rsid w:val="00B81D91"/>
    <w:rsid w:val="00B8474D"/>
    <w:rsid w:val="00B900EC"/>
    <w:rsid w:val="00B94388"/>
    <w:rsid w:val="00BA4FE6"/>
    <w:rsid w:val="00BB40C3"/>
    <w:rsid w:val="00BB4F51"/>
    <w:rsid w:val="00BB7D37"/>
    <w:rsid w:val="00BD127D"/>
    <w:rsid w:val="00BD19F5"/>
    <w:rsid w:val="00BE2818"/>
    <w:rsid w:val="00BE46C8"/>
    <w:rsid w:val="00BE52AF"/>
    <w:rsid w:val="00C009EB"/>
    <w:rsid w:val="00C02597"/>
    <w:rsid w:val="00C13272"/>
    <w:rsid w:val="00C178B0"/>
    <w:rsid w:val="00C214F7"/>
    <w:rsid w:val="00C30D53"/>
    <w:rsid w:val="00C32B8B"/>
    <w:rsid w:val="00C51815"/>
    <w:rsid w:val="00C56E4C"/>
    <w:rsid w:val="00C6558D"/>
    <w:rsid w:val="00C67526"/>
    <w:rsid w:val="00C94F1D"/>
    <w:rsid w:val="00CB283A"/>
    <w:rsid w:val="00CD50B6"/>
    <w:rsid w:val="00CE48C2"/>
    <w:rsid w:val="00CE66DA"/>
    <w:rsid w:val="00D13C47"/>
    <w:rsid w:val="00D41E50"/>
    <w:rsid w:val="00D50247"/>
    <w:rsid w:val="00D52137"/>
    <w:rsid w:val="00D5215E"/>
    <w:rsid w:val="00DA7B82"/>
    <w:rsid w:val="00DD0862"/>
    <w:rsid w:val="00DE0B9A"/>
    <w:rsid w:val="00DE5FA0"/>
    <w:rsid w:val="00DF4797"/>
    <w:rsid w:val="00E451DA"/>
    <w:rsid w:val="00E45E5A"/>
    <w:rsid w:val="00E6561E"/>
    <w:rsid w:val="00EA6BC0"/>
    <w:rsid w:val="00EC6D4F"/>
    <w:rsid w:val="00EE2C90"/>
    <w:rsid w:val="00F210D1"/>
    <w:rsid w:val="00F26FE1"/>
    <w:rsid w:val="00F4632B"/>
    <w:rsid w:val="00F55BDD"/>
    <w:rsid w:val="00F6046E"/>
    <w:rsid w:val="00F677A7"/>
    <w:rsid w:val="00FA164B"/>
    <w:rsid w:val="00FB3FE2"/>
    <w:rsid w:val="062A7700"/>
    <w:rsid w:val="07EB4A99"/>
    <w:rsid w:val="0F3EE1DF"/>
    <w:rsid w:val="137C1D57"/>
    <w:rsid w:val="15723CCA"/>
    <w:rsid w:val="179E69AA"/>
    <w:rsid w:val="1A250472"/>
    <w:rsid w:val="1E7E1B83"/>
    <w:rsid w:val="1F1331A8"/>
    <w:rsid w:val="22B3F6BC"/>
    <w:rsid w:val="247A78E0"/>
    <w:rsid w:val="288060D0"/>
    <w:rsid w:val="2A4B0C94"/>
    <w:rsid w:val="2B6F64F8"/>
    <w:rsid w:val="2F0F417A"/>
    <w:rsid w:val="30AAAB7C"/>
    <w:rsid w:val="3F049D4C"/>
    <w:rsid w:val="45E9B923"/>
    <w:rsid w:val="465AD51A"/>
    <w:rsid w:val="474C17C7"/>
    <w:rsid w:val="4B2B4828"/>
    <w:rsid w:val="504C6BB5"/>
    <w:rsid w:val="51202961"/>
    <w:rsid w:val="515DE3A2"/>
    <w:rsid w:val="533F5409"/>
    <w:rsid w:val="53E022C8"/>
    <w:rsid w:val="56B866F5"/>
    <w:rsid w:val="5703B624"/>
    <w:rsid w:val="5A37DEA7"/>
    <w:rsid w:val="5C9667B7"/>
    <w:rsid w:val="654BF985"/>
    <w:rsid w:val="691D000F"/>
    <w:rsid w:val="693A827E"/>
    <w:rsid w:val="74E38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F6B066"/>
  <w15:chartTrackingRefBased/>
  <w15:docId w15:val="{4DD8F893-7BBE-4491-9263-66E48393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23A83"/>
    <w:rPr>
      <w:rFonts w:eastAsia="Batang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3799D"/>
    <w:pPr>
      <w:keepNext/>
      <w:widowControl w:val="0"/>
      <w:tabs>
        <w:tab w:val="left" w:pos="0"/>
      </w:tabs>
      <w:suppressAutoHyphens/>
      <w:jc w:val="center"/>
      <w:outlineLvl w:val="2"/>
    </w:pPr>
    <w:rPr>
      <w:rFonts w:ascii="CG Times" w:eastAsia="Calibri" w:hAnsi="CG 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locked/>
    <w:rsid w:val="00A3799D"/>
    <w:rPr>
      <w:rFonts w:ascii="CG Times" w:eastAsia="Calibri" w:hAnsi="CG Times"/>
      <w:b/>
      <w:sz w:val="24"/>
      <w:lang w:val="en-US" w:eastAsia="en-US" w:bidi="ar-SA"/>
    </w:rPr>
  </w:style>
  <w:style w:type="paragraph" w:styleId="Header">
    <w:name w:val="header"/>
    <w:basedOn w:val="Normal"/>
    <w:link w:val="HeaderChar"/>
    <w:rsid w:val="00123A8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A3799D"/>
    <w:rPr>
      <w:rFonts w:eastAsia="Batang"/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  <w:rsid w:val="00123A83"/>
  </w:style>
  <w:style w:type="paragraph" w:styleId="Footer">
    <w:name w:val="footer"/>
    <w:basedOn w:val="Normal"/>
    <w:link w:val="FooterChar"/>
    <w:uiPriority w:val="99"/>
    <w:rsid w:val="00123A8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A3799D"/>
    <w:rPr>
      <w:rFonts w:eastAsia="Batang"/>
      <w:sz w:val="24"/>
      <w:szCs w:val="24"/>
      <w:lang w:val="en-US" w:eastAsia="en-US" w:bidi="ar-SA"/>
    </w:rPr>
  </w:style>
  <w:style w:type="paragraph" w:styleId="NormalWeb">
    <w:name w:val="Normal (Web)"/>
    <w:basedOn w:val="Normal"/>
    <w:rsid w:val="00123A83"/>
    <w:pPr>
      <w:spacing w:before="100" w:beforeAutospacing="1" w:after="100" w:afterAutospacing="1"/>
    </w:pPr>
    <w:rPr>
      <w:rFonts w:eastAsia="Times New Roman"/>
    </w:rPr>
  </w:style>
  <w:style w:type="character" w:styleId="LineNumber">
    <w:name w:val="line number"/>
    <w:basedOn w:val="DefaultParagraphFont"/>
    <w:rsid w:val="00223C45"/>
  </w:style>
  <w:style w:type="paragraph" w:styleId="BalloonText">
    <w:name w:val="Balloon Text"/>
    <w:basedOn w:val="Normal"/>
    <w:link w:val="BalloonTextChar"/>
    <w:semiHidden/>
    <w:rsid w:val="005F21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A3799D"/>
    <w:rPr>
      <w:rFonts w:ascii="Tahoma" w:eastAsia="Batang" w:hAnsi="Tahoma" w:cs="Tahoma"/>
      <w:sz w:val="16"/>
      <w:szCs w:val="16"/>
      <w:lang w:val="en-US" w:eastAsia="en-US" w:bidi="ar-SA"/>
    </w:rPr>
  </w:style>
  <w:style w:type="paragraph" w:styleId="BodyText3">
    <w:name w:val="Body Text 3"/>
    <w:basedOn w:val="Normal"/>
    <w:link w:val="BodyText3Char"/>
    <w:rsid w:val="00A3799D"/>
    <w:pPr>
      <w:widowControl w:val="0"/>
      <w:spacing w:after="120"/>
    </w:pPr>
    <w:rPr>
      <w:rFonts w:eastAsia="Calibri"/>
      <w:sz w:val="16"/>
      <w:szCs w:val="16"/>
    </w:rPr>
  </w:style>
  <w:style w:type="character" w:customStyle="1" w:styleId="BodyText3Char">
    <w:name w:val="Body Text 3 Char"/>
    <w:link w:val="BodyText3"/>
    <w:locked/>
    <w:rsid w:val="00A3799D"/>
    <w:rPr>
      <w:rFonts w:eastAsia="Calibri"/>
      <w:sz w:val="16"/>
      <w:szCs w:val="16"/>
      <w:lang w:val="en-US" w:eastAsia="en-US" w:bidi="ar-SA"/>
    </w:rPr>
  </w:style>
  <w:style w:type="paragraph" w:customStyle="1" w:styleId="StinkingStyles">
    <w:name w:val="Stinking Styles"/>
    <w:rsid w:val="00A3799D"/>
    <w:rPr>
      <w:rFonts w:ascii="Calibri" w:eastAsia="Calibri" w:hAnsi="Calibri"/>
    </w:rPr>
  </w:style>
  <w:style w:type="paragraph" w:styleId="Title">
    <w:name w:val="Title"/>
    <w:basedOn w:val="Normal"/>
    <w:link w:val="TitleChar"/>
    <w:qFormat/>
    <w:rsid w:val="00A3799D"/>
    <w:pPr>
      <w:jc w:val="center"/>
    </w:pPr>
    <w:rPr>
      <w:rFonts w:eastAsia="Calibri"/>
      <w:b/>
      <w:bCs/>
      <w:sz w:val="28"/>
      <w:szCs w:val="28"/>
      <w:lang w:val="es-ES_tradnl"/>
    </w:rPr>
  </w:style>
  <w:style w:type="character" w:customStyle="1" w:styleId="TitleChar">
    <w:name w:val="Title Char"/>
    <w:link w:val="Title"/>
    <w:locked/>
    <w:rsid w:val="00A3799D"/>
    <w:rPr>
      <w:rFonts w:eastAsia="Calibri"/>
      <w:b/>
      <w:bCs/>
      <w:sz w:val="28"/>
      <w:szCs w:val="28"/>
      <w:lang w:val="es-ES_tradnl" w:eastAsia="en-US" w:bidi="ar-SA"/>
    </w:rPr>
  </w:style>
  <w:style w:type="paragraph" w:styleId="CommentText">
    <w:name w:val="annotation text"/>
    <w:basedOn w:val="Normal"/>
    <w:link w:val="CommentTextChar"/>
    <w:semiHidden/>
    <w:rsid w:val="00A3799D"/>
    <w:pPr>
      <w:widowControl w:val="0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A3799D"/>
    <w:rPr>
      <w:rFonts w:eastAsia="Calibri"/>
      <w:lang w:val="en-US" w:eastAsia="en-US" w:bidi="ar-SA"/>
    </w:rPr>
  </w:style>
  <w:style w:type="paragraph" w:styleId="BodyTextIndent">
    <w:name w:val="Body Text Indent"/>
    <w:basedOn w:val="Normal"/>
    <w:link w:val="BodyTextIndentChar"/>
    <w:rsid w:val="00A3799D"/>
    <w:pPr>
      <w:widowControl w:val="0"/>
      <w:spacing w:after="120"/>
      <w:ind w:left="283"/>
    </w:pPr>
    <w:rPr>
      <w:rFonts w:eastAsia="Calibri"/>
      <w:szCs w:val="20"/>
    </w:rPr>
  </w:style>
  <w:style w:type="character" w:customStyle="1" w:styleId="BodyTextIndentChar">
    <w:name w:val="Body Text Indent Char"/>
    <w:link w:val="BodyTextIndent"/>
    <w:locked/>
    <w:rsid w:val="00A3799D"/>
    <w:rPr>
      <w:rFonts w:eastAsia="Calibri"/>
      <w:sz w:val="24"/>
      <w:lang w:val="en-US" w:eastAsia="en-US" w:bidi="ar-SA"/>
    </w:rPr>
  </w:style>
  <w:style w:type="paragraph" w:customStyle="1" w:styleId="sectext">
    <w:name w:val="sectext"/>
    <w:rsid w:val="00A3799D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customStyle="1" w:styleId="CodeSegment">
    <w:name w:val="Code Segment"/>
    <w:rsid w:val="00A3799D"/>
    <w:pPr>
      <w:widowControl w:val="0"/>
      <w:autoSpaceDE w:val="0"/>
      <w:autoSpaceDN w:val="0"/>
      <w:adjustRightInd w:val="0"/>
      <w:jc w:val="both"/>
    </w:pPr>
    <w:rPr>
      <w:rFonts w:eastAsia="Calibri"/>
      <w:vanish/>
      <w:sz w:val="8"/>
      <w:szCs w:val="8"/>
    </w:rPr>
  </w:style>
  <w:style w:type="paragraph" w:customStyle="1" w:styleId="Section">
    <w:name w:val="Section"/>
    <w:rsid w:val="00A3799D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eastAsia="Calibri"/>
      <w:b/>
      <w:bCs/>
      <w:sz w:val="24"/>
      <w:szCs w:val="24"/>
    </w:rPr>
  </w:style>
  <w:style w:type="paragraph" w:customStyle="1" w:styleId="history">
    <w:name w:val="history"/>
    <w:rsid w:val="00A3799D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paratitle">
    <w:name w:val="paratitle"/>
    <w:rsid w:val="00A3799D"/>
    <w:rPr>
      <w:b/>
      <w:color w:val="000000"/>
    </w:rPr>
  </w:style>
  <w:style w:type="character" w:styleId="Emphasis">
    <w:name w:val="Emphasis"/>
    <w:qFormat/>
    <w:rsid w:val="00A3799D"/>
    <w:rPr>
      <w:rFonts w:cs="Times New Roman"/>
      <w:i/>
      <w:iCs/>
    </w:rPr>
  </w:style>
  <w:style w:type="paragraph" w:customStyle="1" w:styleId="annotations">
    <w:name w:val="annotations"/>
    <w:rsid w:val="00A3799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overstrike">
    <w:name w:val="overstrike"/>
    <w:rsid w:val="00A3799D"/>
    <w:rPr>
      <w:strike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3799D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A3799D"/>
    <w:rPr>
      <w:rFonts w:eastAsia="Calibri"/>
      <w:b/>
      <w:bCs/>
      <w:lang w:val="en-US" w:eastAsia="en-US" w:bidi="ar-SA"/>
    </w:rPr>
  </w:style>
  <w:style w:type="character" w:styleId="HTMLTypewriter">
    <w:name w:val="HTML Typewriter"/>
    <w:rsid w:val="00A3799D"/>
    <w:rPr>
      <w:rFonts w:ascii="Courier New" w:hAnsi="Courier New" w:cs="Courier New"/>
      <w:sz w:val="20"/>
      <w:szCs w:val="20"/>
    </w:rPr>
  </w:style>
  <w:style w:type="character" w:customStyle="1" w:styleId="term1">
    <w:name w:val="term1"/>
    <w:rsid w:val="00A3799D"/>
    <w:rPr>
      <w:rFonts w:cs="Times New Roman"/>
      <w:b/>
      <w:bCs/>
    </w:rPr>
  </w:style>
  <w:style w:type="character" w:styleId="CommentReference">
    <w:name w:val="annotation reference"/>
    <w:semiHidden/>
    <w:rsid w:val="002455F5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qFormat/>
    <w:rsid w:val="002455F5"/>
    <w:pPr>
      <w:widowControl w:val="0"/>
    </w:pPr>
    <w:rPr>
      <w:rFonts w:eastAsia="Calibri"/>
      <w:szCs w:val="20"/>
    </w:rPr>
  </w:style>
  <w:style w:type="character" w:styleId="Strong">
    <w:name w:val="Strong"/>
    <w:qFormat/>
    <w:rsid w:val="002455F5"/>
    <w:rPr>
      <w:rFonts w:cs="Times New Roman"/>
      <w:b/>
      <w:bCs/>
    </w:rPr>
  </w:style>
  <w:style w:type="character" w:customStyle="1" w:styleId="eacep1">
    <w:name w:val="eacep1"/>
    <w:rsid w:val="002455F5"/>
    <w:rPr>
      <w:rFonts w:cs="Times New Roman"/>
      <w:color w:val="000000"/>
    </w:rPr>
  </w:style>
  <w:style w:type="paragraph" w:customStyle="1" w:styleId="Level1">
    <w:name w:val="Level1"/>
    <w:rsid w:val="002455F5"/>
    <w:pPr>
      <w:widowControl w:val="0"/>
      <w:autoSpaceDE w:val="0"/>
      <w:autoSpaceDN w:val="0"/>
      <w:adjustRightInd w:val="0"/>
      <w:spacing w:before="180" w:after="180"/>
      <w:jc w:val="center"/>
    </w:pPr>
    <w:rPr>
      <w:rFonts w:eastAsia="Calibri"/>
      <w:b/>
      <w:bCs/>
      <w:sz w:val="32"/>
      <w:szCs w:val="32"/>
    </w:rPr>
  </w:style>
  <w:style w:type="paragraph" w:customStyle="1" w:styleId="annotationsc">
    <w:name w:val="annotationsc"/>
    <w:rsid w:val="002455F5"/>
    <w:pPr>
      <w:widowControl w:val="0"/>
      <w:autoSpaceDE w:val="0"/>
      <w:autoSpaceDN w:val="0"/>
      <w:adjustRightInd w:val="0"/>
      <w:jc w:val="center"/>
    </w:pPr>
    <w:rPr>
      <w:rFonts w:ascii="Arial" w:eastAsia="Calibri" w:hAnsi="Arial" w:cs="Arial"/>
    </w:rPr>
  </w:style>
  <w:style w:type="paragraph" w:customStyle="1" w:styleId="Level4">
    <w:name w:val="Level4"/>
    <w:rsid w:val="002455F5"/>
    <w:pPr>
      <w:widowControl w:val="0"/>
      <w:autoSpaceDE w:val="0"/>
      <w:autoSpaceDN w:val="0"/>
      <w:adjustRightInd w:val="0"/>
      <w:spacing w:before="180" w:after="180"/>
      <w:jc w:val="center"/>
    </w:pPr>
    <w:rPr>
      <w:rFonts w:eastAsia="Calibri"/>
      <w:b/>
      <w:bCs/>
      <w:sz w:val="28"/>
      <w:szCs w:val="28"/>
    </w:rPr>
  </w:style>
  <w:style w:type="paragraph" w:customStyle="1" w:styleId="Level2">
    <w:name w:val="Level2"/>
    <w:rsid w:val="002455F5"/>
    <w:pPr>
      <w:widowControl w:val="0"/>
      <w:autoSpaceDE w:val="0"/>
      <w:autoSpaceDN w:val="0"/>
      <w:adjustRightInd w:val="0"/>
      <w:spacing w:before="180" w:after="180"/>
      <w:jc w:val="center"/>
    </w:pPr>
    <w:rPr>
      <w:rFonts w:eastAsia="Calibri"/>
      <w:b/>
      <w:bCs/>
      <w:sz w:val="28"/>
      <w:szCs w:val="28"/>
    </w:rPr>
  </w:style>
  <w:style w:type="character" w:styleId="Hyperlink">
    <w:name w:val="Hyperlink"/>
    <w:rsid w:val="002455F5"/>
    <w:rPr>
      <w:rFonts w:ascii="Tahoma" w:hAnsi="Tahoma" w:cs="Tahoma"/>
      <w:color w:val="367F98"/>
      <w:sz w:val="18"/>
      <w:szCs w:val="18"/>
      <w:u w:val="single"/>
    </w:rPr>
  </w:style>
  <w:style w:type="character" w:customStyle="1" w:styleId="subterms1">
    <w:name w:val="subterms1"/>
    <w:rsid w:val="002455F5"/>
    <w:rPr>
      <w:rFonts w:cs="Times New Roman"/>
      <w:shd w:val="clear" w:color="auto" w:fill="FFFF00"/>
    </w:rPr>
  </w:style>
  <w:style w:type="paragraph" w:styleId="Revision">
    <w:name w:val="Revision"/>
    <w:hidden/>
    <w:semiHidden/>
    <w:rsid w:val="002455F5"/>
    <w:rPr>
      <w:rFonts w:eastAsia="Calibri"/>
      <w:sz w:val="24"/>
    </w:rPr>
  </w:style>
  <w:style w:type="paragraph" w:styleId="ListParagraph">
    <w:name w:val="List Paragraph"/>
    <w:basedOn w:val="Normal"/>
    <w:qFormat/>
    <w:rsid w:val="002455F5"/>
    <w:pPr>
      <w:widowControl w:val="0"/>
      <w:ind w:left="720"/>
    </w:pPr>
    <w:rPr>
      <w:rFonts w:eastAsia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EDA2A-B0BB-4728-B620-29B279B34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1203</Words>
  <Characters>7356</Characters>
  <Application>Microsoft Office Word</Application>
  <DocSecurity>0</DocSecurity>
  <Lines>1839</Lines>
  <Paragraphs>450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afv</dc:creator>
  <cp:keywords/>
  <dc:description/>
  <cp:lastModifiedBy>Gladys J. Burgos Torres</cp:lastModifiedBy>
  <cp:revision>4</cp:revision>
  <cp:lastPrinted>2026-01-23T13:14:00Z</cp:lastPrinted>
  <dcterms:created xsi:type="dcterms:W3CDTF">2026-01-22T19:57:00Z</dcterms:created>
  <dcterms:modified xsi:type="dcterms:W3CDTF">2026-01-26T14:32:00Z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af4f5eaa-66ae-431d-8f20-fcb794d8fdb4</vt:lpwstr>
  </property>
</Properties>
</file>