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F091F" w14:textId="1ADB00DD" w:rsidR="00F5095B" w:rsidRPr="00991DFE" w:rsidRDefault="00F5095B" w:rsidP="00F5095B">
      <w:pPr>
        <w:jc w:val="center"/>
        <w:outlineLvl w:val="0"/>
        <w:rPr>
          <w:b/>
          <w:sz w:val="28"/>
          <w:szCs w:val="28"/>
          <w:lang w:val="es-ES"/>
        </w:rPr>
      </w:pPr>
      <w:r w:rsidRPr="00991DFE">
        <w:rPr>
          <w:b/>
          <w:sz w:val="28"/>
          <w:szCs w:val="28"/>
          <w:lang w:val="es-ES"/>
        </w:rPr>
        <w:t>GOBIERNO DE PUERTO RICO</w:t>
      </w:r>
    </w:p>
    <w:p w14:paraId="187DAFA6" w14:textId="77777777" w:rsidR="00F5095B" w:rsidRPr="00991DFE" w:rsidRDefault="00F5095B" w:rsidP="00F5095B">
      <w:pPr>
        <w:pStyle w:val="Title2"/>
        <w:tabs>
          <w:tab w:val="clear" w:pos="7776"/>
          <w:tab w:val="clear" w:pos="7848"/>
          <w:tab w:val="right" w:pos="8640"/>
          <w:tab w:val="left" w:pos="9180"/>
        </w:tabs>
        <w:rPr>
          <w:rFonts w:ascii="Book Antiqua" w:hAnsi="Book Antiqua"/>
          <w:szCs w:val="24"/>
          <w:lang w:val="es-ES"/>
        </w:rPr>
      </w:pPr>
      <w:r w:rsidRPr="00991DFE">
        <w:rPr>
          <w:rFonts w:ascii="Book Antiqua" w:hAnsi="Book Antiqua"/>
          <w:szCs w:val="24"/>
          <w:lang w:val="es-ES"/>
        </w:rPr>
        <w:t>20ma. Asamblea</w:t>
      </w:r>
      <w:r w:rsidRPr="00991DFE">
        <w:rPr>
          <w:rFonts w:ascii="Book Antiqua" w:hAnsi="Book Antiqua"/>
          <w:szCs w:val="24"/>
          <w:lang w:val="es-ES"/>
        </w:rPr>
        <w:tab/>
        <w:t xml:space="preserve">             3ra. Sesión</w:t>
      </w:r>
    </w:p>
    <w:p w14:paraId="28C82E6D" w14:textId="77777777" w:rsidR="00F5095B" w:rsidRPr="00991DFE" w:rsidRDefault="00F5095B" w:rsidP="00F5095B">
      <w:pPr>
        <w:pStyle w:val="Title2"/>
        <w:tabs>
          <w:tab w:val="clear" w:pos="648"/>
          <w:tab w:val="left" w:pos="540"/>
          <w:tab w:val="left" w:pos="6930"/>
        </w:tabs>
        <w:rPr>
          <w:rFonts w:ascii="Book Antiqua" w:hAnsi="Book Antiqua"/>
          <w:szCs w:val="24"/>
          <w:lang w:val="es-ES"/>
        </w:rPr>
      </w:pPr>
      <w:r w:rsidRPr="00991DFE">
        <w:rPr>
          <w:rFonts w:ascii="Book Antiqua" w:hAnsi="Book Antiqua"/>
          <w:szCs w:val="24"/>
          <w:lang w:val="es-ES"/>
        </w:rPr>
        <w:tab/>
        <w:t>Legislativa</w:t>
      </w:r>
      <w:r w:rsidRPr="00991DFE">
        <w:rPr>
          <w:rFonts w:ascii="Book Antiqua" w:hAnsi="Book Antiqua"/>
          <w:szCs w:val="24"/>
          <w:lang w:val="es-ES"/>
        </w:rPr>
        <w:tab/>
        <w:t xml:space="preserve">            Ordinaria</w:t>
      </w:r>
    </w:p>
    <w:p w14:paraId="22A9CB24" w14:textId="77777777" w:rsidR="00F5095B" w:rsidRPr="00991DFE" w:rsidRDefault="00F5095B" w:rsidP="00F5095B">
      <w:pPr>
        <w:rPr>
          <w:lang w:val="es-ES"/>
        </w:rPr>
      </w:pPr>
    </w:p>
    <w:p w14:paraId="146C3F9F" w14:textId="2DE3A096" w:rsidR="00F5095B" w:rsidRPr="00991DFE" w:rsidRDefault="00F5095B" w:rsidP="00F5095B">
      <w:pPr>
        <w:jc w:val="center"/>
        <w:outlineLvl w:val="0"/>
        <w:rPr>
          <w:smallCaps/>
          <w:sz w:val="36"/>
          <w:szCs w:val="36"/>
          <w:lang w:val="es-ES"/>
        </w:rPr>
      </w:pPr>
      <w:r w:rsidRPr="00991DFE">
        <w:rPr>
          <w:b/>
          <w:caps/>
          <w:sz w:val="36"/>
          <w:szCs w:val="36"/>
          <w:lang w:val="es-ES"/>
        </w:rPr>
        <w:t>CÁMARA DE REPRESENTANTES</w:t>
      </w:r>
    </w:p>
    <w:p w14:paraId="570DE188" w14:textId="77171787" w:rsidR="00F5095B" w:rsidRPr="00991DFE" w:rsidRDefault="00F5095B" w:rsidP="00F5095B">
      <w:pPr>
        <w:jc w:val="center"/>
        <w:outlineLvl w:val="0"/>
        <w:rPr>
          <w:rFonts w:cs="Tahoma"/>
          <w:b/>
          <w:sz w:val="52"/>
          <w:szCs w:val="52"/>
          <w:lang w:val="es-ES"/>
        </w:rPr>
      </w:pPr>
      <w:r w:rsidRPr="00991DFE">
        <w:rPr>
          <w:rFonts w:cs="Tahoma"/>
          <w:b/>
          <w:sz w:val="52"/>
          <w:szCs w:val="52"/>
          <w:lang w:val="es-ES"/>
        </w:rPr>
        <w:t>R. de la C. 554</w:t>
      </w:r>
    </w:p>
    <w:p w14:paraId="4A91F9F8" w14:textId="77777777" w:rsidR="00F5095B" w:rsidRPr="00991DFE" w:rsidRDefault="00F5095B" w:rsidP="00F5095B">
      <w:pPr>
        <w:jc w:val="center"/>
        <w:outlineLvl w:val="0"/>
        <w:rPr>
          <w:rFonts w:cs="Tahoma"/>
          <w:b/>
          <w:sz w:val="28"/>
          <w:szCs w:val="28"/>
          <w:lang w:val="es-ES"/>
        </w:rPr>
      </w:pPr>
      <w:r w:rsidRPr="00991DFE">
        <w:rPr>
          <w:rFonts w:cs="Tahoma"/>
          <w:b/>
          <w:sz w:val="28"/>
          <w:szCs w:val="28"/>
          <w:lang w:val="es-ES"/>
        </w:rPr>
        <w:t>INFORME FINAL</w:t>
      </w:r>
    </w:p>
    <w:p w14:paraId="54ABB674" w14:textId="77777777" w:rsidR="003C5FE1" w:rsidRPr="00991DFE" w:rsidRDefault="003C5FE1">
      <w:pPr>
        <w:spacing w:after="0"/>
        <w:rPr>
          <w:lang w:val="es-ES"/>
        </w:rPr>
      </w:pPr>
    </w:p>
    <w:p w14:paraId="7DA0F286" w14:textId="45D19643" w:rsidR="003C5FE1" w:rsidRPr="00991DFE" w:rsidRDefault="000605A8" w:rsidP="00F5095B">
      <w:pPr>
        <w:spacing w:after="0"/>
        <w:jc w:val="center"/>
        <w:rPr>
          <w:lang w:val="es-ES"/>
        </w:rPr>
      </w:pPr>
      <w:r>
        <w:rPr>
          <w:lang w:val="es-ES"/>
        </w:rPr>
        <w:t>4</w:t>
      </w:r>
      <w:r w:rsidR="00F5095B" w:rsidRPr="00991DFE">
        <w:rPr>
          <w:lang w:val="es-ES"/>
        </w:rPr>
        <w:t xml:space="preserve"> </w:t>
      </w:r>
      <w:r w:rsidR="007956BA">
        <w:rPr>
          <w:lang w:val="es-ES"/>
        </w:rPr>
        <w:t>de junio</w:t>
      </w:r>
      <w:r w:rsidR="00F5095B" w:rsidRPr="00991DFE">
        <w:rPr>
          <w:lang w:val="es-ES"/>
        </w:rPr>
        <w:t xml:space="preserve"> </w:t>
      </w:r>
      <w:r w:rsidR="007956BA">
        <w:rPr>
          <w:lang w:val="es-ES"/>
        </w:rPr>
        <w:t>de</w:t>
      </w:r>
      <w:r w:rsidR="00F5095B" w:rsidRPr="00991DFE">
        <w:rPr>
          <w:lang w:val="es-ES"/>
        </w:rPr>
        <w:t xml:space="preserve"> 2026</w:t>
      </w:r>
    </w:p>
    <w:p w14:paraId="2284EF4D" w14:textId="77777777" w:rsidR="003C5FE1" w:rsidRPr="00991DFE" w:rsidRDefault="003C5FE1">
      <w:pPr>
        <w:spacing w:after="0"/>
        <w:rPr>
          <w:lang w:val="es-ES"/>
        </w:rPr>
      </w:pPr>
    </w:p>
    <w:p w14:paraId="60DD10BF" w14:textId="77777777" w:rsidR="003C5FE1" w:rsidRPr="00991DFE" w:rsidRDefault="00F5095B">
      <w:pPr>
        <w:rPr>
          <w:lang w:val="es-ES"/>
        </w:rPr>
      </w:pPr>
      <w:r w:rsidRPr="00991DFE">
        <w:rPr>
          <w:b/>
          <w:bCs/>
          <w:lang w:val="es-ES"/>
        </w:rPr>
        <w:t>A LA CÁMARA DE REPRESENTANTES DE PUERTO RICO:</w:t>
      </w:r>
    </w:p>
    <w:p w14:paraId="05A0E9C3" w14:textId="77777777" w:rsidR="000F78EE" w:rsidRPr="00991DFE" w:rsidRDefault="008331C3">
      <w:pPr>
        <w:ind w:firstLine="720"/>
        <w:jc w:val="both"/>
        <w:rPr>
          <w:lang w:val="es-ES"/>
        </w:rPr>
      </w:pPr>
      <w:r w:rsidRPr="00991DFE">
        <w:rPr>
          <w:lang w:val="es-ES"/>
        </w:rPr>
        <w:t>La Comisión de la Región Norte de la Cámara de Representantes, previo estudio y consideración de la R. de la C. 554, presentada por el representante Nieves Rosario, tiene a bien someter el presente Informe Final con sus hallazgos, conclusiones y recomendaciones.</w:t>
      </w:r>
    </w:p>
    <w:p w14:paraId="09348A93" w14:textId="77777777" w:rsidR="000F78EE" w:rsidRPr="00991DFE" w:rsidRDefault="000F78EE">
      <w:pPr>
        <w:spacing w:after="0"/>
        <w:rPr>
          <w:lang w:val="es-ES"/>
        </w:rPr>
      </w:pPr>
    </w:p>
    <w:p w14:paraId="3FB4EDBD" w14:textId="77777777" w:rsidR="000F78EE" w:rsidRPr="00991DFE" w:rsidRDefault="008331C3">
      <w:pPr>
        <w:spacing w:after="0"/>
        <w:ind w:left="720" w:right="720"/>
        <w:jc w:val="both"/>
        <w:rPr>
          <w:lang w:val="es-ES"/>
        </w:rPr>
      </w:pPr>
      <w:r w:rsidRPr="00991DFE">
        <w:rPr>
          <w:lang w:val="es-ES"/>
        </w:rPr>
        <w:t>Para ordenar a la Comisión de la Región Norte de la Cámara de Representantes de Puerto Rico, realizar una investigación exhaustiva sobre las constantes fluctuaciones de voltaje (“bajones de luz”) e interrupciones en el servicio de energía eléctrica que afectan a los residentes y comerciantes a lo largo de la Carretera PR-681, en los municipios de Barceloneta y Arecibo; indagar sobre las causas de dicha inestabilidad en la red de distribución operada por LUMA Energy; identificar los daños ocasionados a enseres y equipos comerciales; evaluar el plan de mantenimiento vegetativo y de infraestructura en dicha zona costera; y para otros fines relacionados.</w:t>
      </w:r>
    </w:p>
    <w:p w14:paraId="7EAA27EE" w14:textId="77777777" w:rsidR="000F78EE" w:rsidRPr="00991DFE" w:rsidRDefault="008331C3" w:rsidP="007956BA">
      <w:pPr>
        <w:spacing w:before="240" w:after="240"/>
        <w:ind w:left="1440" w:firstLine="720"/>
        <w:rPr>
          <w:lang w:val="es-ES"/>
        </w:rPr>
      </w:pPr>
      <w:r w:rsidRPr="00991DFE">
        <w:rPr>
          <w:b/>
          <w:bCs/>
          <w:u w:val="single"/>
          <w:lang w:val="es-ES"/>
        </w:rPr>
        <w:t>ALCANCE Y ANÁLISIS DE LA MEDIDA</w:t>
      </w:r>
    </w:p>
    <w:p w14:paraId="60CAD19E" w14:textId="77777777" w:rsidR="000F78EE" w:rsidRPr="00CA66E1" w:rsidRDefault="008331C3">
      <w:pPr>
        <w:ind w:firstLine="720"/>
        <w:jc w:val="both"/>
        <w:rPr>
          <w:lang w:val="es-ES"/>
        </w:rPr>
      </w:pPr>
      <w:r w:rsidRPr="00991DFE">
        <w:rPr>
          <w:lang w:val="es-ES"/>
        </w:rPr>
        <w:t>La Resolución de la Cámara 554</w:t>
      </w:r>
      <w:r w:rsidRPr="00991DFE">
        <w:rPr>
          <w:b/>
          <w:bCs/>
          <w:lang w:val="es-ES"/>
        </w:rPr>
        <w:t xml:space="preserve"> </w:t>
      </w:r>
      <w:r w:rsidRPr="00CA66E1">
        <w:rPr>
          <w:lang w:val="es-ES"/>
        </w:rPr>
        <w:t xml:space="preserve">ordenó a esta Comisión realizar una investigación exhaustiva sobre las constantes fluctuaciones de voltaje (“bajones de luz”) e interrupciones en el servicio de energía eléctrica que afectan a los residentes y </w:t>
      </w:r>
      <w:r w:rsidRPr="00CA66E1">
        <w:rPr>
          <w:lang w:val="es-ES"/>
        </w:rPr>
        <w:lastRenderedPageBreak/>
        <w:t>comerciantes a lo largo de la Carretera PR-681, en los municipios de Barceloneta y Arecibo, e incluye indagar sobre las causas de dicha inestabilidad en la red de distribución operada por LUMA Energy, identificar los daños ocasionados a enseres y equipos comerciales y evaluar el plan de mantenimiento vegetativo y de infraestructura en dicha zona costera.</w:t>
      </w:r>
    </w:p>
    <w:p w14:paraId="5FD8737D" w14:textId="77777777" w:rsidR="000F78EE" w:rsidRPr="00991DFE" w:rsidRDefault="008331C3">
      <w:pPr>
        <w:ind w:firstLine="720"/>
        <w:jc w:val="both"/>
        <w:rPr>
          <w:lang w:val="es-ES"/>
        </w:rPr>
      </w:pPr>
      <w:r w:rsidRPr="00991DFE">
        <w:rPr>
          <w:lang w:val="es-ES"/>
        </w:rPr>
        <w:t>La Exposición de Motivos de la Resolución reconoce que el acceso a un servicio de energía eléctrica estable y confiable es esencial para el desarrollo económico, la seguridad y la calidad de vida de los puertorriqueños. La Carretera PR-681, que discurre entre el Barrio Islote de Arecibo y el sector Palmas Altas de Barceloneta, no solo es el hogar de miles de familias, sino que constituye una de las zonas turísticas y gastronómicas más importantes de la región norte. No obstante, residentes y comerciantes han denunciado una crisis persistente en el suministro eléctrico, caracterizada por interrupciones constantes y fluctuaciones de voltaje (“bajones de luz”) que ocasionan daños a enseres domésticos, pérdidas en inventario y averías en equipos industriales, sin que medien mecanismos ágiles de compensación. Resulta imperativo fiscalizar si los trabajos de modernización y de manejo de vegetación anunciados por LUMA Energy se están ejecutando con la urgencia y efectividad que la situación amerita.</w:t>
      </w:r>
    </w:p>
    <w:p w14:paraId="0DD35B21" w14:textId="77777777" w:rsidR="000F78EE" w:rsidRPr="00991DFE" w:rsidRDefault="008331C3">
      <w:pPr>
        <w:ind w:firstLine="720"/>
        <w:jc w:val="both"/>
        <w:rPr>
          <w:lang w:val="es-ES"/>
        </w:rPr>
      </w:pPr>
      <w:r w:rsidRPr="00991DFE">
        <w:rPr>
          <w:lang w:val="es-ES"/>
        </w:rPr>
        <w:t>Específicamente, la medida dispone que se debe:</w:t>
      </w:r>
    </w:p>
    <w:p w14:paraId="005BB6DE" w14:textId="77777777" w:rsidR="000F78EE" w:rsidRPr="00991DFE" w:rsidRDefault="008331C3">
      <w:pPr>
        <w:pStyle w:val="ListParagraph"/>
        <w:numPr>
          <w:ilvl w:val="0"/>
          <w:numId w:val="2"/>
        </w:numPr>
        <w:spacing w:after="120"/>
        <w:jc w:val="both"/>
        <w:rPr>
          <w:lang w:val="es-ES"/>
        </w:rPr>
      </w:pPr>
      <w:r w:rsidRPr="00991DFE">
        <w:rPr>
          <w:lang w:val="es-ES"/>
        </w:rPr>
        <w:t>Investigar las constantes fluctuaciones de voltaje e interrupciones en el servicio eléctrico que afectan a los residentes y comerciantes a lo largo de la Carretera PR-681, en los municipios de Barceloneta y Arecibo.</w:t>
      </w:r>
    </w:p>
    <w:p w14:paraId="598306C3" w14:textId="77777777" w:rsidR="000F78EE" w:rsidRPr="00991DFE" w:rsidRDefault="008331C3">
      <w:pPr>
        <w:pStyle w:val="ListParagraph"/>
        <w:numPr>
          <w:ilvl w:val="0"/>
          <w:numId w:val="2"/>
        </w:numPr>
        <w:spacing w:after="120"/>
        <w:jc w:val="both"/>
        <w:rPr>
          <w:lang w:val="es-ES"/>
        </w:rPr>
      </w:pPr>
      <w:r w:rsidRPr="00991DFE">
        <w:rPr>
          <w:lang w:val="es-ES"/>
        </w:rPr>
        <w:t xml:space="preserve">Indagar sobre las causas de dicha inestabilidad en la red de distribución operada por LUMA Energy, incluyendo la capacidad de respuesta ante averías reportadas en los sectores de Islote, </w:t>
      </w:r>
      <w:proofErr w:type="spellStart"/>
      <w:r w:rsidRPr="00991DFE">
        <w:rPr>
          <w:lang w:val="es-ES"/>
        </w:rPr>
        <w:t>Jarealito</w:t>
      </w:r>
      <w:proofErr w:type="spellEnd"/>
      <w:r w:rsidRPr="00991DFE">
        <w:rPr>
          <w:lang w:val="es-ES"/>
        </w:rPr>
        <w:t>, Palmas Altas y zonas adyacentes.</w:t>
      </w:r>
    </w:p>
    <w:p w14:paraId="12A755D0" w14:textId="77777777" w:rsidR="000F78EE" w:rsidRPr="00991DFE" w:rsidRDefault="008331C3">
      <w:pPr>
        <w:pStyle w:val="ListParagraph"/>
        <w:numPr>
          <w:ilvl w:val="0"/>
          <w:numId w:val="2"/>
        </w:numPr>
        <w:spacing w:after="120"/>
        <w:jc w:val="both"/>
        <w:rPr>
          <w:lang w:val="es-ES"/>
        </w:rPr>
      </w:pPr>
      <w:r w:rsidRPr="00991DFE">
        <w:rPr>
          <w:lang w:val="es-ES"/>
        </w:rPr>
        <w:t>Identificar los daños ocasionados a enseres domésticos y equipos comerciales, así como examinar el trámite de las reclamaciones presentadas por los abonados de estos sectores.</w:t>
      </w:r>
    </w:p>
    <w:p w14:paraId="3893CECD" w14:textId="77777777" w:rsidR="000F78EE" w:rsidRPr="00991DFE" w:rsidRDefault="008331C3">
      <w:pPr>
        <w:pStyle w:val="ListParagraph"/>
        <w:numPr>
          <w:ilvl w:val="0"/>
          <w:numId w:val="2"/>
        </w:numPr>
        <w:spacing w:after="120"/>
        <w:jc w:val="both"/>
        <w:rPr>
          <w:lang w:val="es-ES"/>
        </w:rPr>
      </w:pPr>
      <w:r w:rsidRPr="00991DFE">
        <w:rPr>
          <w:lang w:val="es-ES"/>
        </w:rPr>
        <w:t>Evaluar el plan de mantenimiento vegetativo y de infraestructura, así como las inversiones realizadas o programadas para el reemplazo de postes, transformadores y líneas de distribución en dicha zona costera propensa a la corrosión salina.</w:t>
      </w:r>
    </w:p>
    <w:p w14:paraId="197157D5" w14:textId="2950808B" w:rsidR="000F78EE" w:rsidRPr="007956BA" w:rsidRDefault="008331C3" w:rsidP="007956BA">
      <w:pPr>
        <w:pStyle w:val="ListParagraph"/>
        <w:numPr>
          <w:ilvl w:val="0"/>
          <w:numId w:val="2"/>
        </w:numPr>
        <w:spacing w:after="120"/>
        <w:jc w:val="both"/>
        <w:rPr>
          <w:lang w:val="es-ES"/>
        </w:rPr>
      </w:pPr>
      <w:r w:rsidRPr="00991DFE">
        <w:rPr>
          <w:lang w:val="es-ES"/>
        </w:rPr>
        <w:lastRenderedPageBreak/>
        <w:t>Examinar los protocolos de comunicación con los alcaldes de Barceloneta y Arecibo en torno a los trabajos de modernización, mantenimiento y atención de averías en el área.</w:t>
      </w:r>
    </w:p>
    <w:p w14:paraId="2C433330" w14:textId="77777777" w:rsidR="000F78EE" w:rsidRPr="00991DFE" w:rsidRDefault="008331C3">
      <w:pPr>
        <w:ind w:firstLine="720"/>
        <w:jc w:val="both"/>
        <w:rPr>
          <w:lang w:val="es-ES"/>
        </w:rPr>
      </w:pPr>
      <w:r w:rsidRPr="00991DFE">
        <w:rPr>
          <w:lang w:val="es-ES"/>
        </w:rPr>
        <w:t>Para cumplir con el mandato de la medida, la Comisión solicitó memorial explicativo a LUMA Energy, entidad responsable contractualmente de la operación, mantenimiento y modernización del Sistema de Transmisión y Distribución (Sistema T&amp;D) de la Autoridad de Energía Eléctrica (AEE), del cual forma parte la red de distribución eléctrica que provee servicio a los sectores comprendidos en la Carretera PR-681.</w:t>
      </w:r>
    </w:p>
    <w:p w14:paraId="290F83BE" w14:textId="77777777" w:rsidR="000F78EE" w:rsidRPr="00991DFE" w:rsidRDefault="008331C3">
      <w:pPr>
        <w:spacing w:before="240" w:after="240"/>
        <w:jc w:val="center"/>
        <w:rPr>
          <w:lang w:val="es-ES"/>
        </w:rPr>
      </w:pPr>
      <w:r w:rsidRPr="00991DFE">
        <w:rPr>
          <w:b/>
          <w:bCs/>
          <w:u w:val="single"/>
          <w:lang w:val="es-ES"/>
        </w:rPr>
        <w:t>MEMORIAL EXPLICATIVO</w:t>
      </w:r>
    </w:p>
    <w:p w14:paraId="533DD88E" w14:textId="77777777" w:rsidR="000F78EE" w:rsidRPr="00991DFE" w:rsidRDefault="008331C3">
      <w:pPr>
        <w:ind w:firstLine="720"/>
        <w:jc w:val="both"/>
        <w:rPr>
          <w:lang w:val="es-ES"/>
        </w:rPr>
      </w:pPr>
      <w:r w:rsidRPr="00991DFE">
        <w:rPr>
          <w:b/>
          <w:bCs/>
          <w:lang w:val="es-ES"/>
        </w:rPr>
        <w:t>A. LUMA Energy</w:t>
      </w:r>
    </w:p>
    <w:p w14:paraId="06A992D6" w14:textId="77777777" w:rsidR="000F78EE" w:rsidRPr="00991DFE" w:rsidRDefault="008331C3">
      <w:pPr>
        <w:ind w:firstLine="720"/>
        <w:jc w:val="both"/>
        <w:rPr>
          <w:lang w:val="es-ES"/>
        </w:rPr>
      </w:pPr>
      <w:r w:rsidRPr="00991DFE">
        <w:rPr>
          <w:lang w:val="es-ES"/>
        </w:rPr>
        <w:t xml:space="preserve">LUMA Energy presentó su Memorial Explicativo el 18 de mayo de 2026, suscrito por el Sr. Michael A. Juarbe Laffitte, </w:t>
      </w:r>
      <w:proofErr w:type="gramStart"/>
      <w:r w:rsidRPr="00991DFE">
        <w:rPr>
          <w:lang w:val="es-ES"/>
        </w:rPr>
        <w:t>Vicepresidente</w:t>
      </w:r>
      <w:proofErr w:type="gramEnd"/>
      <w:r w:rsidRPr="00991DFE">
        <w:rPr>
          <w:lang w:val="es-ES"/>
        </w:rPr>
        <w:t xml:space="preserve"> de Asuntos de Gobierno y Política Pública. El memorial fue acompañado de seis anejos: el Anejo A, copia de la respuesta de LUMA a la Solicitud de Información de la R. de la C. 99 del 26 de febrero de 2026; el Anejo B, Informe de Interrupciones del Servicio Eléctrico y Fluctuaciones de Voltaje en los alimentadores 8004-02 y 8504-03 que sirven la Carretera PR-681, para el período de enero a mayo de 2026; el Anejo C, Informe de Trabajos Realizados en la Carretera PR-681 para el período de julio de 2024 a mayo de 2026; el Anejo D, formulario de Reclamación por Daños a la Propiedad; el Anejo E, Hoja de Cotejo de Reclamaciones de Daños; y el Anejo F, ejemplo de carta mensual de comunicación con el municipio de Barceloneta correspondiente a marzo de 2026.</w:t>
      </w:r>
    </w:p>
    <w:p w14:paraId="3272C7A7" w14:textId="2220E504" w:rsidR="000F78EE" w:rsidRPr="00991DFE" w:rsidRDefault="008331C3">
      <w:pPr>
        <w:ind w:firstLine="720"/>
        <w:jc w:val="both"/>
        <w:rPr>
          <w:lang w:val="es-ES"/>
        </w:rPr>
      </w:pPr>
      <w:r w:rsidRPr="008639F2">
        <w:rPr>
          <w:lang w:val="es-ES"/>
        </w:rPr>
        <w:t xml:space="preserve">1. </w:t>
      </w:r>
      <w:r w:rsidR="00991DFE" w:rsidRPr="008639F2">
        <w:rPr>
          <w:lang w:val="es-ES"/>
        </w:rPr>
        <w:t xml:space="preserve">Sobre las </w:t>
      </w:r>
      <w:r w:rsidR="008639F2" w:rsidRPr="008639F2">
        <w:rPr>
          <w:lang w:val="es-ES"/>
        </w:rPr>
        <w:t>c</w:t>
      </w:r>
      <w:r w:rsidRPr="008639F2">
        <w:rPr>
          <w:lang w:val="es-ES"/>
        </w:rPr>
        <w:t>ondiciones del Sistema de Transmisión y Distribución y causas técnicas de las fluctuaciones de voltaje</w:t>
      </w:r>
      <w:r w:rsidR="008639F2">
        <w:rPr>
          <w:b/>
          <w:bCs/>
          <w:lang w:val="es-ES"/>
        </w:rPr>
        <w:t xml:space="preserve"> </w:t>
      </w:r>
      <w:r w:rsidRPr="00991DFE">
        <w:rPr>
          <w:lang w:val="es-ES"/>
        </w:rPr>
        <w:t>LUMA expuso que el sistema eléctrico de Puerto Rico se encuentra en una condición frágil debido a muchos años de falta de mantenimiento de todos sus componentes, agravada por el impacto de desastres naturales. Todo sistema eléctrico, incluso los más avanzados, está sujeto a posibles cambios en la calidad de la energía que pueden resultar en daños a los dispositivos eléctricos no protegidos contra fluctuaciones de voltaje. LUMA definió las fluctuaciones de voltaje como variaciones fuera de los límites normativos establecidos para la tensión en el punto de entrega al cliente. Entre sus causas estructurales y operativas identificó: (i) caídas de voltaje por impedancia de los conductores a lo largo de los alimentadores; (</w:t>
      </w:r>
      <w:proofErr w:type="spellStart"/>
      <w:r w:rsidRPr="00991DFE">
        <w:rPr>
          <w:lang w:val="es-ES"/>
        </w:rPr>
        <w:t>ii</w:t>
      </w:r>
      <w:proofErr w:type="spellEnd"/>
      <w:r w:rsidRPr="00991DFE">
        <w:rPr>
          <w:lang w:val="es-ES"/>
        </w:rPr>
        <w:t>) desequilibrios de carga trifásica y fallas en equipos de regulación, tales como transformadores con cambiadores de derivación bajo carga (LTC) fuera de servicio o bancos de capacitadores inactivos; (</w:t>
      </w:r>
      <w:proofErr w:type="spellStart"/>
      <w:r w:rsidRPr="00991DFE">
        <w:rPr>
          <w:lang w:val="es-ES"/>
        </w:rPr>
        <w:t>iii</w:t>
      </w:r>
      <w:proofErr w:type="spellEnd"/>
      <w:r w:rsidRPr="00991DFE">
        <w:rPr>
          <w:lang w:val="es-ES"/>
        </w:rPr>
        <w:t xml:space="preserve">) interferencia externa, como contacto de </w:t>
      </w:r>
      <w:r w:rsidRPr="00991DFE">
        <w:rPr>
          <w:lang w:val="es-ES"/>
        </w:rPr>
        <w:lastRenderedPageBreak/>
        <w:t>vegetación, animales o rayos con líneas energizadas; y (</w:t>
      </w:r>
      <w:proofErr w:type="spellStart"/>
      <w:r w:rsidRPr="00991DFE">
        <w:rPr>
          <w:lang w:val="es-ES"/>
        </w:rPr>
        <w:t>iv</w:t>
      </w:r>
      <w:proofErr w:type="spellEnd"/>
      <w:r w:rsidRPr="00991DFE">
        <w:rPr>
          <w:lang w:val="es-ES"/>
        </w:rPr>
        <w:t>) problemas internos del cliente, tales como instalaciones deficientes de sistemas fotovoltaicos o equipos defectuosos. Las fluctuaciones, además, pueden ser momentáneas, periódicas o sostenidas.</w:t>
      </w:r>
    </w:p>
    <w:p w14:paraId="78621613" w14:textId="3DBE2E61" w:rsidR="000F78EE" w:rsidRPr="00991DFE" w:rsidRDefault="008331C3">
      <w:pPr>
        <w:ind w:firstLine="720"/>
        <w:jc w:val="both"/>
        <w:rPr>
          <w:lang w:val="es-ES"/>
        </w:rPr>
      </w:pPr>
      <w:r w:rsidRPr="008639F2">
        <w:rPr>
          <w:lang w:val="es-ES"/>
        </w:rPr>
        <w:t xml:space="preserve">2. </w:t>
      </w:r>
      <w:r w:rsidR="008639F2">
        <w:rPr>
          <w:lang w:val="es-ES"/>
        </w:rPr>
        <w:t>Sobre el i</w:t>
      </w:r>
      <w:r w:rsidRPr="008639F2">
        <w:rPr>
          <w:lang w:val="es-ES"/>
        </w:rPr>
        <w:t>mpacto de los Recursos Energéticos Distribuidos en la calidad del voltaje</w:t>
      </w:r>
      <w:r w:rsidR="008639F2">
        <w:rPr>
          <w:lang w:val="es-ES"/>
        </w:rPr>
        <w:t>,</w:t>
      </w:r>
      <w:r w:rsidRPr="00991DFE">
        <w:rPr>
          <w:lang w:val="es-ES"/>
        </w:rPr>
        <w:t xml:space="preserve"> LUMA destacó que el crecimiento exponencial de Recursos Energéticos Distribuidos (DER), particularmente sistemas fotovoltaicos residenciales y comerciales, ha modificado el comportamiento del sistema de distribución e incrementado los problemas de fluctuación de voltaje. Entre los principales impactos identificó la inyección de potencia activa por parte de inversores solares —que eleva localmente el voltaje en períodos de baja carga—; la acumulación de sobrevoltajes sostenidos en áreas con alta penetración fotovoltaica; y la dificultad en la planificación y control del sistema debido al marco legal vigente, que permite la interconexión automática para sistemas menores de 25 kW sin revisión técnica previa. LUMA explicó que el Artículo 9 de la Ley Núm. 114-2007, según enmendada, obliga a aprobar automáticamente la solicitud de interconexión de no cumplirse el término reglamentario, y que la Resolución Conjunta Núm. 5-2026, que ordena el cese de cargos por estudios suplementarios, ha empeorado la degradación del sistema y las fluctuaciones de voltaje. A la fecha del memorial, LUMA informó más de 195,195 sistemas de generación distribuida interconectados que, en conjunto, superan los 1,480 megavatios de capacidad, lo cual ha provocado sobrecargas en transformadores, condiciones de sobrevoltaje y flujos de potencia inversos en múltiples alimentadores.</w:t>
      </w:r>
    </w:p>
    <w:p w14:paraId="65F5D0E2" w14:textId="77777777" w:rsidR="000F78EE" w:rsidRPr="00991DFE" w:rsidRDefault="008331C3">
      <w:pPr>
        <w:ind w:firstLine="720"/>
        <w:jc w:val="both"/>
        <w:rPr>
          <w:lang w:val="es-ES"/>
        </w:rPr>
      </w:pPr>
      <w:r w:rsidRPr="00991DFE">
        <w:rPr>
          <w:lang w:val="es-ES"/>
        </w:rPr>
        <w:t>Los tipos más comunes de fluctuaciones de voltaje identificados por LUMA son los siguientes:</w:t>
      </w:r>
    </w:p>
    <w:p w14:paraId="225B6337" w14:textId="77777777" w:rsidR="000F78EE" w:rsidRPr="00991DFE" w:rsidRDefault="008331C3">
      <w:pPr>
        <w:pStyle w:val="ListParagraph"/>
        <w:numPr>
          <w:ilvl w:val="0"/>
          <w:numId w:val="2"/>
        </w:numPr>
        <w:spacing w:after="120"/>
        <w:jc w:val="both"/>
        <w:rPr>
          <w:lang w:val="es-ES"/>
        </w:rPr>
      </w:pPr>
      <w:r w:rsidRPr="00991DFE">
        <w:rPr>
          <w:b/>
          <w:bCs/>
          <w:lang w:val="es-ES"/>
        </w:rPr>
        <w:t xml:space="preserve">Momentáneas: </w:t>
      </w:r>
      <w:r w:rsidRPr="00991DFE">
        <w:rPr>
          <w:lang w:val="es-ES"/>
        </w:rPr>
        <w:t>causadas por eventos transitorios en la red eléctrica.</w:t>
      </w:r>
    </w:p>
    <w:p w14:paraId="26FA0B26" w14:textId="77777777" w:rsidR="000F78EE" w:rsidRPr="00991DFE" w:rsidRDefault="008331C3">
      <w:pPr>
        <w:pStyle w:val="ListParagraph"/>
        <w:numPr>
          <w:ilvl w:val="0"/>
          <w:numId w:val="2"/>
        </w:numPr>
        <w:spacing w:after="120"/>
        <w:jc w:val="both"/>
        <w:rPr>
          <w:lang w:val="es-ES"/>
        </w:rPr>
      </w:pPr>
      <w:r w:rsidRPr="00991DFE">
        <w:rPr>
          <w:b/>
          <w:bCs/>
          <w:lang w:val="es-ES"/>
        </w:rPr>
        <w:t xml:space="preserve">Periódicas: </w:t>
      </w:r>
      <w:r w:rsidRPr="00991DFE">
        <w:rPr>
          <w:lang w:val="es-ES"/>
        </w:rPr>
        <w:t>relacionadas con condiciones ambientales cíclicas.</w:t>
      </w:r>
    </w:p>
    <w:p w14:paraId="1A4EF51E" w14:textId="5348CEA5" w:rsidR="000F78EE" w:rsidRDefault="008331C3" w:rsidP="007956BA">
      <w:pPr>
        <w:pStyle w:val="ListParagraph"/>
        <w:numPr>
          <w:ilvl w:val="0"/>
          <w:numId w:val="2"/>
        </w:numPr>
        <w:spacing w:after="120"/>
        <w:jc w:val="both"/>
        <w:rPr>
          <w:lang w:val="es-ES"/>
        </w:rPr>
      </w:pPr>
      <w:r w:rsidRPr="00991DFE">
        <w:rPr>
          <w:b/>
          <w:bCs/>
          <w:lang w:val="es-ES"/>
        </w:rPr>
        <w:t xml:space="preserve">Sostenidas: </w:t>
      </w:r>
      <w:r w:rsidRPr="00991DFE">
        <w:rPr>
          <w:lang w:val="es-ES"/>
        </w:rPr>
        <w:t>voltajes crónicamente altos o bajos que requieren intervención técnica.</w:t>
      </w:r>
    </w:p>
    <w:p w14:paraId="621C6CBD" w14:textId="77777777" w:rsidR="007956BA" w:rsidRPr="007956BA" w:rsidRDefault="007956BA" w:rsidP="007956BA">
      <w:pPr>
        <w:pStyle w:val="ListParagraph"/>
        <w:spacing w:after="120"/>
        <w:ind w:left="1440"/>
        <w:jc w:val="both"/>
        <w:rPr>
          <w:lang w:val="es-ES"/>
        </w:rPr>
      </w:pPr>
    </w:p>
    <w:p w14:paraId="621E3BC4" w14:textId="77777777" w:rsidR="000F78EE" w:rsidRPr="00991DFE" w:rsidRDefault="008331C3">
      <w:pPr>
        <w:ind w:firstLine="720"/>
        <w:jc w:val="both"/>
        <w:rPr>
          <w:lang w:val="es-ES"/>
        </w:rPr>
      </w:pPr>
      <w:r w:rsidRPr="00991DFE">
        <w:rPr>
          <w:lang w:val="es-ES"/>
        </w:rPr>
        <w:t xml:space="preserve">3. Detalle de los sectores afectados y alimentadores 8004-02 y 8504-03. LUMA informó que la zona objeto de la investigación es servida por los alimentadores 8004-02 y 8504-03, los cuales se extienden desde la Subestación de Cambalache hasta el Barrio Islote de Arecibo a lo largo de la Carretera PR-681. Las líneas de transmisión TL2200 y TL6900 alimentan, a su vez, las redes de distribución 8004-02, 8004-03 y 8504-03 pertenecientes a estos municipios. Durante el período de enero a mayo de 2026, se registraron ochenta (80) interrupciones de servicio eléctrico en dicha zona. Las principales causas identificadas </w:t>
      </w:r>
      <w:r w:rsidRPr="00991DFE">
        <w:rPr>
          <w:lang w:val="es-ES"/>
        </w:rPr>
        <w:lastRenderedPageBreak/>
        <w:t>fueron: falla de caja de fusibles, contacto con vegetación, falla de aislador o pasador y malas condiciones del tiempo (lluvia y viento). Los sectores mayormente afectados fueron el Barrio Islote y el Barrio Palmas Altas.</w:t>
      </w:r>
    </w:p>
    <w:p w14:paraId="3CE7AD10" w14:textId="77777777" w:rsidR="000F78EE" w:rsidRPr="00991DFE" w:rsidRDefault="008331C3">
      <w:pPr>
        <w:ind w:firstLine="720"/>
        <w:jc w:val="both"/>
        <w:rPr>
          <w:lang w:val="es-ES"/>
        </w:rPr>
      </w:pPr>
      <w:r w:rsidRPr="00991DFE">
        <w:rPr>
          <w:lang w:val="es-ES"/>
        </w:rPr>
        <w:t xml:space="preserve">LUMA señaló que los esfuerzos para restablecer el servicio en los sectores impactados incluyeron múltiples trabajos correctivos y de mantenimiento en la infraestructura de transmisión y distribución, tales como despeje de vegetación y remoción de árboles y ramas sobre líneas eléctricas; reemplazo y reparación de transformadores averiados, portafusibles, cajas primarias, aisladores, pararrayos y postes dañados; reparación y retesado de líneas primarias y secundarias; reparación de conexiones y bajantes eléctricos; atención a eventos relacionados con fuertes lluvias, vientos y descargas eléctricas; así como maniobras operacionales de </w:t>
      </w:r>
      <w:proofErr w:type="spellStart"/>
      <w:r w:rsidRPr="00991DFE">
        <w:rPr>
          <w:lang w:val="es-ES"/>
        </w:rPr>
        <w:t>seccionalización</w:t>
      </w:r>
      <w:proofErr w:type="spellEnd"/>
      <w:r w:rsidRPr="00991DFE">
        <w:rPr>
          <w:lang w:val="es-ES"/>
        </w:rPr>
        <w:t xml:space="preserve"> en alimentadores e interruptores para aislar fallas y normalizar el servicio.</w:t>
      </w:r>
    </w:p>
    <w:p w14:paraId="1EE71701" w14:textId="77777777" w:rsidR="000F78EE" w:rsidRPr="00991DFE" w:rsidRDefault="008331C3">
      <w:pPr>
        <w:ind w:firstLine="720"/>
        <w:jc w:val="both"/>
        <w:rPr>
          <w:lang w:val="es-ES"/>
        </w:rPr>
      </w:pPr>
      <w:r w:rsidRPr="00991DFE">
        <w:rPr>
          <w:lang w:val="es-ES"/>
        </w:rPr>
        <w:t>Para mitigar las fluctuaciones de voltaje y las interrupciones de servicio, LUMA informó la realización de estudios de impacto de alimentador (</w:t>
      </w:r>
      <w:proofErr w:type="spellStart"/>
      <w:proofErr w:type="gramStart"/>
      <w:r w:rsidRPr="00991DFE">
        <w:rPr>
          <w:lang w:val="es-ES"/>
        </w:rPr>
        <w:t>cluster</w:t>
      </w:r>
      <w:proofErr w:type="spellEnd"/>
      <w:proofErr w:type="gramEnd"/>
      <w:r w:rsidRPr="00991DFE">
        <w:rPr>
          <w:lang w:val="es-ES"/>
        </w:rPr>
        <w:t xml:space="preserve"> </w:t>
      </w:r>
      <w:proofErr w:type="spellStart"/>
      <w:r w:rsidRPr="00991DFE">
        <w:rPr>
          <w:lang w:val="es-ES"/>
        </w:rPr>
        <w:t>studies</w:t>
      </w:r>
      <w:proofErr w:type="spellEnd"/>
      <w:r w:rsidRPr="00991DFE">
        <w:rPr>
          <w:lang w:val="es-ES"/>
        </w:rPr>
        <w:t xml:space="preserve">) y la implementación, desde enero de 2025, del Boletín Técnico de Inversores Inteligentes 2024-001, conforme al estándar IEEE </w:t>
      </w:r>
      <w:proofErr w:type="spellStart"/>
      <w:r w:rsidRPr="00991DFE">
        <w:rPr>
          <w:lang w:val="es-ES"/>
        </w:rPr>
        <w:t>Std</w:t>
      </w:r>
      <w:proofErr w:type="spellEnd"/>
      <w:r w:rsidRPr="00991DFE">
        <w:rPr>
          <w:lang w:val="es-ES"/>
        </w:rPr>
        <w:t>. 1547-2018 contemplado en el Reglamento Núm. 8915 de la AEE. Asimismo, mantiene programas dirigidos a la Automatización de la Distribución, Reconstrucción de Líneas de Distribución y Transmisión, Confiabilidad y Reconstrucción de Subestaciones, Reemplazo de Postes y Conductores, Evaluación de Líneas y Medición Avanzada de Energía (AMI), complementados con la implementación progresiva de tecnologías SCADA y ADMS para el monitoreo y control en tiempo real del sistema de distribución.</w:t>
      </w:r>
    </w:p>
    <w:p w14:paraId="226A5330" w14:textId="77777777" w:rsidR="000F78EE" w:rsidRPr="00991DFE" w:rsidRDefault="008331C3">
      <w:pPr>
        <w:ind w:firstLine="720"/>
        <w:jc w:val="both"/>
        <w:rPr>
          <w:lang w:val="es-ES"/>
        </w:rPr>
      </w:pPr>
      <w:r w:rsidRPr="008639F2">
        <w:rPr>
          <w:lang w:val="es-ES"/>
        </w:rPr>
        <w:t>4</w:t>
      </w:r>
      <w:r w:rsidRPr="00991DFE">
        <w:rPr>
          <w:b/>
          <w:bCs/>
          <w:lang w:val="es-ES"/>
        </w:rPr>
        <w:t xml:space="preserve">. </w:t>
      </w:r>
      <w:r w:rsidRPr="008639F2">
        <w:rPr>
          <w:lang w:val="es-ES"/>
        </w:rPr>
        <w:t xml:space="preserve">Inversiones en infraestructura en Arecibo y Barceloneta. </w:t>
      </w:r>
      <w:r w:rsidRPr="00991DFE">
        <w:rPr>
          <w:lang w:val="es-ES"/>
        </w:rPr>
        <w:t>Conforme a la información provista por LUMA, en los municipios de Arecibo y colindancias de Barceloneta los proyectos se han enfocado en el reemplazo y mantenimiento de equipos críticos en subestaciones, tales como interruptores de distribución y transmisión, en los predios de Arecibo Pueblo, Cambalache TC y Factor. A la fecha del memorial, el estado de los trabajos era el siguiente:</w:t>
      </w:r>
    </w:p>
    <w:p w14:paraId="64061966" w14:textId="77777777" w:rsidR="000F78EE" w:rsidRPr="00991DFE" w:rsidRDefault="008331C3">
      <w:pPr>
        <w:pStyle w:val="ListParagraph"/>
        <w:numPr>
          <w:ilvl w:val="0"/>
          <w:numId w:val="2"/>
        </w:numPr>
        <w:spacing w:after="120"/>
        <w:jc w:val="both"/>
        <w:rPr>
          <w:lang w:val="es-ES"/>
        </w:rPr>
      </w:pPr>
      <w:r w:rsidRPr="00991DFE">
        <w:rPr>
          <w:b/>
          <w:bCs/>
          <w:lang w:val="es-ES"/>
        </w:rPr>
        <w:t xml:space="preserve">Subestación Arecibo Pueblo: </w:t>
      </w:r>
      <w:r w:rsidRPr="00991DFE">
        <w:rPr>
          <w:lang w:val="es-ES"/>
        </w:rPr>
        <w:t>mantenimiento preventivo a tres (3) interruptores de distribución durante los años 2024 y 2025.</w:t>
      </w:r>
    </w:p>
    <w:p w14:paraId="59094A66" w14:textId="77777777" w:rsidR="000F78EE" w:rsidRPr="00991DFE" w:rsidRDefault="008331C3">
      <w:pPr>
        <w:pStyle w:val="ListParagraph"/>
        <w:numPr>
          <w:ilvl w:val="0"/>
          <w:numId w:val="2"/>
        </w:numPr>
        <w:spacing w:after="120"/>
        <w:jc w:val="both"/>
        <w:rPr>
          <w:lang w:val="es-ES"/>
        </w:rPr>
      </w:pPr>
      <w:r w:rsidRPr="00991DFE">
        <w:rPr>
          <w:b/>
          <w:bCs/>
          <w:lang w:val="es-ES"/>
        </w:rPr>
        <w:t xml:space="preserve">Subestación Cambalache TC: </w:t>
      </w:r>
      <w:r w:rsidRPr="00991DFE">
        <w:rPr>
          <w:lang w:val="es-ES"/>
        </w:rPr>
        <w:t>mantenimiento preventivo a tres (3) interruptores de distribución en el 2025 y a diez (10) interruptores de transmisión entre 2023 y 2025.</w:t>
      </w:r>
    </w:p>
    <w:p w14:paraId="3E73178A" w14:textId="77777777" w:rsidR="000F78EE" w:rsidRPr="00991DFE" w:rsidRDefault="008331C3">
      <w:pPr>
        <w:pStyle w:val="ListParagraph"/>
        <w:numPr>
          <w:ilvl w:val="0"/>
          <w:numId w:val="2"/>
        </w:numPr>
        <w:spacing w:after="120"/>
        <w:jc w:val="both"/>
        <w:rPr>
          <w:lang w:val="es-ES"/>
        </w:rPr>
      </w:pPr>
      <w:r w:rsidRPr="00991DFE">
        <w:rPr>
          <w:b/>
          <w:bCs/>
          <w:lang w:val="es-ES"/>
        </w:rPr>
        <w:lastRenderedPageBreak/>
        <w:t xml:space="preserve">Subestación Factor: </w:t>
      </w:r>
      <w:r w:rsidRPr="00991DFE">
        <w:rPr>
          <w:lang w:val="es-ES"/>
        </w:rPr>
        <w:t>mantenimiento preventivo a seis (6) interruptores de distribución durante el 2025. Adicionalmente, LUMA se prepara para instalar un nuevo transformador en Factor, el cual se espera energizar antes de finalizar el año 2026, con el propósito de continuar estabilizando la red limítrofe.</w:t>
      </w:r>
    </w:p>
    <w:p w14:paraId="54781DEB" w14:textId="77777777" w:rsidR="000F78EE" w:rsidRPr="00991DFE" w:rsidRDefault="000F78EE">
      <w:pPr>
        <w:spacing w:after="0"/>
        <w:rPr>
          <w:lang w:val="es-ES"/>
        </w:rPr>
      </w:pPr>
    </w:p>
    <w:p w14:paraId="1F20ABAC" w14:textId="440620F2" w:rsidR="000F78EE" w:rsidRPr="00991DFE" w:rsidRDefault="008331C3">
      <w:pPr>
        <w:ind w:firstLine="720"/>
        <w:jc w:val="both"/>
        <w:rPr>
          <w:lang w:val="es-ES"/>
        </w:rPr>
      </w:pPr>
      <w:r w:rsidRPr="008639F2">
        <w:rPr>
          <w:lang w:val="es-ES"/>
        </w:rPr>
        <w:t>5.</w:t>
      </w:r>
      <w:r w:rsidRPr="00991DFE">
        <w:rPr>
          <w:b/>
          <w:bCs/>
          <w:lang w:val="es-ES"/>
        </w:rPr>
        <w:t xml:space="preserve"> </w:t>
      </w:r>
      <w:r w:rsidRPr="00991DFE">
        <w:rPr>
          <w:lang w:val="es-ES"/>
        </w:rPr>
        <w:t>LUMA informó que los equipos de distribución automatizada contribuyen a mejorar la eficiencia, fiabilidad y flexibilidad del sistema mediante la detección, aislamiento y restauración más rápida de fallas. En el municipio de Arecibo se han instalado sesenta y un (61) unidades. Adicionalmente, LUMA ha propuesto la instalación de quinientas veinticinco (525) unidades adicionales en Arecibo y ciento veintiséis (126) unidades en Barceloneta, todas en espera de la aprobación de la Agencia Federal para el Manejo de Emergencias (FEMA) para la radicación del Alcance de Trabajo Detallado (</w:t>
      </w:r>
      <w:proofErr w:type="spellStart"/>
      <w:r w:rsidRPr="00991DFE">
        <w:rPr>
          <w:lang w:val="es-ES"/>
        </w:rPr>
        <w:t>Detailed</w:t>
      </w:r>
      <w:proofErr w:type="spellEnd"/>
      <w:r w:rsidRPr="00991DFE">
        <w:rPr>
          <w:lang w:val="es-ES"/>
        </w:rPr>
        <w:t xml:space="preserve"> Scope </w:t>
      </w:r>
      <w:proofErr w:type="spellStart"/>
      <w:r w:rsidRPr="00991DFE">
        <w:rPr>
          <w:lang w:val="es-ES"/>
        </w:rPr>
        <w:t>of</w:t>
      </w:r>
      <w:proofErr w:type="spellEnd"/>
      <w:r w:rsidRPr="00991DFE">
        <w:rPr>
          <w:lang w:val="es-ES"/>
        </w:rPr>
        <w:t xml:space="preserve"> Work o DSWO). LUMA aclaró que, al momento, no se contemplan trabajos en la línea 6900 que suple el área de Islote, y que no se han realizado reemplazos de postes ni líneas de distribución mediante proyectos con fondos federales en la zona objeto de la Resolución.</w:t>
      </w:r>
    </w:p>
    <w:p w14:paraId="43669D28" w14:textId="77777777" w:rsidR="000F78EE" w:rsidRPr="00991DFE" w:rsidRDefault="008331C3">
      <w:pPr>
        <w:ind w:firstLine="720"/>
        <w:jc w:val="both"/>
        <w:rPr>
          <w:lang w:val="es-ES"/>
        </w:rPr>
      </w:pPr>
      <w:r w:rsidRPr="00991DFE">
        <w:rPr>
          <w:lang w:val="es-ES"/>
        </w:rPr>
        <w:t>Sobre los trabajos realizados en los alimentadores 8004-02 y 8504-03 entre julio de 2024 y mayo de 2026, LUMA informó el reemplazo de postes metálicos y galvanizados de diferentes alturas, mejoras en líneas primarias, equipos y componentes en mal estado, así como trabajos de mejoras coordinadas (CPO) que incluyen reparaciones de puntos calientes y reemplazos en transmisión y distribución. Para el alimentador 8004-02 se completó un estudio de transferencia de carga para energizarlo y transferirlo al alimentador 8002-05, con el propósito de optimizar el voltaje entre alimentadores de distintas subestaciones. En el alimentador 8504-03 se llevaron a cabo, entre 2024 y 2025, múltiples labores de reemplazo e instalación de postes metálicos de entre 45 y 50 pies, reparación de puntos calientes, reemplazo de herrajes, aislación primaria, conexiones, cajas portafusibles y retesado de líneas primarias.</w:t>
      </w:r>
    </w:p>
    <w:p w14:paraId="52A7DFCC" w14:textId="77777777" w:rsidR="000F78EE" w:rsidRPr="00991DFE" w:rsidRDefault="008331C3">
      <w:pPr>
        <w:ind w:firstLine="720"/>
        <w:jc w:val="both"/>
        <w:rPr>
          <w:lang w:val="es-ES"/>
        </w:rPr>
      </w:pPr>
      <w:r w:rsidRPr="00991DFE">
        <w:rPr>
          <w:lang w:val="es-ES"/>
        </w:rPr>
        <w:t xml:space="preserve">6. Reclamaciones por daños a la propiedad. LUMA informó que, conforme al análisis de los datos disponibles, no se identificaron reclamaciones por enseres dañados de clientes dentro del área correspondiente a la Carretera PR-681; no obstante, se identificó una reclamación en la Urbanización Cataluña de Barceloneta, aledaña a la zona de interés. El procedimiento de reclamación se inicia en cualquiera de los Centros de Experiencia al Cliente (CEC) o mediante llamada telefónica, donde el reclamante recibe el formulario oficial “Reclamación por Daños a la Propiedad” y la Hoja de Cotejo de documentos requeridos. Una vez radicada, la reclamación es evaluada por el </w:t>
      </w:r>
      <w:r w:rsidRPr="00991DFE">
        <w:rPr>
          <w:lang w:val="es-ES"/>
        </w:rPr>
        <w:lastRenderedPageBreak/>
        <w:t>Departamento de Gestión de Riesgos sobre la base de un Informe de Investigación preparado por el área de Operaciones. De proceder un ajuste, se remite al reclamante una carta detallando el monto aprobado, una Carta de Relevo y una Carta de Certificación de Pago. Conforme al Reglamento 7982, la responsabilidad del cliente comienza desde la base del medidor hacia el interior de la propiedad, incluyendo la protección de sus equipos eléctricos; en ese sentido, LUMA mantiene una campaña educativa sobre el uso de supresores de carga y la entrega de más de 51,000 kits de eficiencia energética con equipo de protección contra sobrecarga.</w:t>
      </w:r>
    </w:p>
    <w:p w14:paraId="605AD33C" w14:textId="77777777" w:rsidR="000F78EE" w:rsidRPr="00991DFE" w:rsidRDefault="008331C3">
      <w:pPr>
        <w:ind w:firstLine="720"/>
        <w:jc w:val="both"/>
        <w:rPr>
          <w:lang w:val="es-ES"/>
        </w:rPr>
      </w:pPr>
      <w:r w:rsidRPr="00991DFE">
        <w:rPr>
          <w:lang w:val="es-ES"/>
        </w:rPr>
        <w:t>7. Plan de Despeje y Manejo de Vegetación en la zona de la Carretera PR-681. Conforme a la Sección 4.2 (h) del Acuerdo de Operación y Mantenimiento del Sistema T&amp;D, LUMA elaboró el Plan de Manejo de Vegetación (VMP), el cual es actualizado y presentado anualmente ante el Negociado de Energía de Puerto Rico (NEPR) y la Autoridad para las Alianzas Público-Privadas (P3A). LUMA gestiona la vegetación mediante dos programas: (i) el Programa de Despeje de Vegetación financiado por FEMA, que constituye el primer esfuerzo de limpieza de vegetación a nivel isla en la historia de Puerto Rico, con un objetivo de despejar 16,000 millas de vegetación no compatible; y (</w:t>
      </w:r>
      <w:proofErr w:type="spellStart"/>
      <w:r w:rsidRPr="00991DFE">
        <w:rPr>
          <w:lang w:val="es-ES"/>
        </w:rPr>
        <w:t>ii</w:t>
      </w:r>
      <w:proofErr w:type="spellEnd"/>
      <w:r w:rsidRPr="00991DFE">
        <w:rPr>
          <w:lang w:val="es-ES"/>
        </w:rPr>
        <w:t>) el Programa de Mantenimiento de Vegetación, financiado a través de fondos operacionales y dirigido a atender peligros inmediatos en lugares críticos. En los últimos 4.5 años, LUMA reportó haber completado aproximadamente ciento cuarenta y tres (143) millas de trabajos de limpieza en circuitos de la zona (8004-03, 8010-01, 8010-02, 8013-02, 8501-02, 8005-01, 6900 y 2200) y aproximadamente veintitrés (23) millas adicionales de trabajos reactivos de desganche en ochocientas doce (812) ubicaciones distintas. A partir del 11 de mayo de 2026, los arboristas de LUMA comenzaron evaluaciones de campo en el alimentador 8004-02, con miras a iniciar trabajos de limpieza el 18 de mayo de 2026; al concluir, los equipos continuarán con los alimentadores 8004-03 y 8504-03. LUMA estima realizar trabajos de desganche de vegetación en todo el municipio de Arecibo entre el 1 de junio y el 14 de diciembre de 2026, e indicó que durante mayo de 2026 estará realizando evaluaciones aéreas de las líneas de transmisión TL2200 y TL6900 para determinar la necesidad de medidas de mitigación adicionales.</w:t>
      </w:r>
    </w:p>
    <w:p w14:paraId="1766974A" w14:textId="77777777" w:rsidR="000F78EE" w:rsidRPr="00991DFE" w:rsidRDefault="008331C3">
      <w:pPr>
        <w:ind w:firstLine="720"/>
        <w:jc w:val="both"/>
        <w:rPr>
          <w:lang w:val="es-ES"/>
        </w:rPr>
      </w:pPr>
      <w:r w:rsidRPr="00991DFE">
        <w:rPr>
          <w:lang w:val="es-ES"/>
        </w:rPr>
        <w:t xml:space="preserve">8. Protocolos de comunicación con los alcaldes de Barceloneta y Arecibo. LUMA expuso que mantiene múltiples canales de comunicación directa con los alcaldes y sus equipos de trabajo, entre ellos: comunicación telefónica directa para seguimiento de situaciones operacionales; visitas periódicas y trimestrales de relacionamiento y coordinación; un grupo activo de comunicación mediante mensajería directa por municipio, en el que participan los alcaldes y miembros de su equipo de trabajo; y comunicación escrita formal mensual mediante carta enviada alrededor del día 20 de </w:t>
      </w:r>
      <w:r w:rsidRPr="00991DFE">
        <w:rPr>
          <w:lang w:val="es-ES"/>
        </w:rPr>
        <w:lastRenderedPageBreak/>
        <w:t>cada mes, la cual incluye un resumen de los trabajos realizados durante el mes anterior y los trabajos programados o proyectados. LUMA mantiene un registro documentado de las interacciones y gestiones realizadas con cada municipio.</w:t>
      </w:r>
    </w:p>
    <w:p w14:paraId="0D416DE7" w14:textId="06B66C17" w:rsidR="000F78EE" w:rsidRPr="00991DFE" w:rsidRDefault="008331C3">
      <w:pPr>
        <w:ind w:firstLine="720"/>
        <w:jc w:val="both"/>
        <w:rPr>
          <w:lang w:val="es-ES"/>
        </w:rPr>
      </w:pPr>
      <w:r w:rsidRPr="00991DFE">
        <w:rPr>
          <w:lang w:val="es-ES"/>
        </w:rPr>
        <w:t>LUMA reiteró su compromiso con la mejora continua del servicio eléctrico y con la implementación de soluciones que promuevan la estabilidad y confiabilidad del sistema, en beneficio de las comunidades de la Carretera PR-681 en los municipios de Arecibo y Barceloneta. Asimismo, expresó su disposición de colaboración con esta Honorable Comisión en aquellos asuntos comprendidos dentro de su ámbito de competencia.</w:t>
      </w:r>
    </w:p>
    <w:p w14:paraId="2221F3C3" w14:textId="77777777" w:rsidR="000F78EE" w:rsidRPr="00991DFE" w:rsidRDefault="008331C3">
      <w:pPr>
        <w:spacing w:before="240" w:after="240"/>
        <w:jc w:val="center"/>
        <w:rPr>
          <w:lang w:val="es-ES"/>
        </w:rPr>
      </w:pPr>
      <w:r w:rsidRPr="00991DFE">
        <w:rPr>
          <w:b/>
          <w:bCs/>
          <w:u w:val="single"/>
          <w:lang w:val="es-ES"/>
        </w:rPr>
        <w:t>ANÁLISIS</w:t>
      </w:r>
    </w:p>
    <w:p w14:paraId="0B914633" w14:textId="77777777" w:rsidR="000F78EE" w:rsidRPr="00991DFE" w:rsidRDefault="008331C3">
      <w:pPr>
        <w:ind w:firstLine="720"/>
        <w:jc w:val="both"/>
        <w:rPr>
          <w:lang w:val="es-ES"/>
        </w:rPr>
      </w:pPr>
      <w:r w:rsidRPr="00991DFE">
        <w:rPr>
          <w:lang w:val="es-ES"/>
        </w:rPr>
        <w:t>Del análisis del memorial explicativo y la documentación sometida, esta Comisión desprende lo siguiente:</w:t>
      </w:r>
    </w:p>
    <w:p w14:paraId="5F3EDB82" w14:textId="77777777" w:rsidR="000F78EE" w:rsidRPr="00991DFE" w:rsidRDefault="008331C3">
      <w:pPr>
        <w:pStyle w:val="ListParagraph"/>
        <w:numPr>
          <w:ilvl w:val="0"/>
          <w:numId w:val="2"/>
        </w:numPr>
        <w:spacing w:after="120"/>
        <w:jc w:val="both"/>
        <w:rPr>
          <w:lang w:val="es-ES"/>
        </w:rPr>
      </w:pPr>
      <w:r w:rsidRPr="00991DFE">
        <w:rPr>
          <w:lang w:val="es-ES"/>
        </w:rPr>
        <w:t>La zona de la Carretera PR-681, que discurre entre el Barrio Islote de Arecibo y el sector Palmas Altas de Barceloneta, registró ochenta (80) interrupciones del servicio eléctrico en apenas cinco (5) meses —de enero a mayo de 2026—, lo cual evidencia una crisis persistente de confiabilidad atribuible a múltiples factores estructurales, operativos y externos al sistema. Esta frecuencia de interrupciones resulta incompatible con el carácter residencial, turístico y gastronómico de la zona y con el deber de los operadores de servicios esenciales de garantizar continuidad y calidad de servicio.</w:t>
      </w:r>
    </w:p>
    <w:p w14:paraId="0977E0EC" w14:textId="77777777" w:rsidR="000F78EE" w:rsidRPr="00991DFE" w:rsidRDefault="008331C3">
      <w:pPr>
        <w:pStyle w:val="ListParagraph"/>
        <w:numPr>
          <w:ilvl w:val="0"/>
          <w:numId w:val="2"/>
        </w:numPr>
        <w:spacing w:after="120"/>
        <w:jc w:val="both"/>
        <w:rPr>
          <w:lang w:val="es-ES"/>
        </w:rPr>
      </w:pPr>
      <w:r w:rsidRPr="00991DFE">
        <w:rPr>
          <w:lang w:val="es-ES"/>
        </w:rPr>
        <w:t>Las causas principales identificadas por LUMA —falla de caja de fusibles, contacto con vegetación, falla de aislador o pasador y malas condiciones del tiempo— revelan deficiencias en componentes operacionales relativamente simples y en la ejecución del plan de manejo de vegetación, lo cual amerita una intervención inmediata, preventiva y sostenida, particularmente en una zona costera propensa a la corrosión salina.</w:t>
      </w:r>
    </w:p>
    <w:p w14:paraId="56FC7747" w14:textId="77777777" w:rsidR="000F78EE" w:rsidRPr="00991DFE" w:rsidRDefault="008331C3">
      <w:pPr>
        <w:pStyle w:val="ListParagraph"/>
        <w:numPr>
          <w:ilvl w:val="0"/>
          <w:numId w:val="2"/>
        </w:numPr>
        <w:spacing w:after="120"/>
        <w:jc w:val="both"/>
        <w:rPr>
          <w:lang w:val="es-ES"/>
        </w:rPr>
      </w:pPr>
      <w:r w:rsidRPr="00991DFE">
        <w:rPr>
          <w:lang w:val="es-ES"/>
        </w:rPr>
        <w:t xml:space="preserve">Si bien LUMA ha completado aproximadamente ciento cuarenta y tres (143) millas de trabajos de limpieza de vegetación en circuitos de la región durante los últimos 4.5 años, los trabajos planificados específicos para el alimentador 8004-02 que sirve directamente la Carretera PR-681 apenas comenzarán el 18 de mayo de 2026, con ejecución proyectada hasta el 14 de diciembre de 2026. Este calendario, aunque positivo, confirma que los </w:t>
      </w:r>
      <w:r w:rsidRPr="00991DFE">
        <w:rPr>
          <w:lang w:val="es-ES"/>
        </w:rPr>
        <w:lastRenderedPageBreak/>
        <w:t>trabajos preventivos para esta zona crítica han sido tardíos y demuestra la necesidad de fiscalización continua de su cumplimiento.</w:t>
      </w:r>
    </w:p>
    <w:p w14:paraId="2E78CBD1" w14:textId="77777777" w:rsidR="000F78EE" w:rsidRPr="00991DFE" w:rsidRDefault="008331C3">
      <w:pPr>
        <w:pStyle w:val="ListParagraph"/>
        <w:numPr>
          <w:ilvl w:val="0"/>
          <w:numId w:val="2"/>
        </w:numPr>
        <w:spacing w:after="120"/>
        <w:jc w:val="both"/>
        <w:rPr>
          <w:lang w:val="es-ES"/>
        </w:rPr>
      </w:pPr>
      <w:r w:rsidRPr="00991DFE">
        <w:rPr>
          <w:lang w:val="es-ES"/>
        </w:rPr>
        <w:t>El crecimiento exponencial de los Recursos Energéticos Distribuidos (DER) —más de 195,195 sistemas interconectados con sobre 1,480 megavatios de capacidad— y el régimen de interconexión automática establecido en el Artículo 9 de la Ley Núm. 114-2007, según enmendada, junto con la Resolución Conjunta Núm. 5-2026 que ordena el cese de cargos por estudios suplementarios, han agravado las fluctuaciones de voltaje y limitado la capacidad de LUMA para planificar proactivamente la gestión de tensión. Esta realidad regulatoria amerita ser examinada por la Asamblea Legislativa, en coordinación con el NEPR, a los fines de balancear el desarrollo de la energía distribuida con la estabilidad del sistema de distribución.</w:t>
      </w:r>
    </w:p>
    <w:p w14:paraId="6B2FCF6A" w14:textId="77777777" w:rsidR="000F78EE" w:rsidRPr="00991DFE" w:rsidRDefault="008331C3">
      <w:pPr>
        <w:pStyle w:val="ListParagraph"/>
        <w:numPr>
          <w:ilvl w:val="0"/>
          <w:numId w:val="2"/>
        </w:numPr>
        <w:spacing w:after="120"/>
        <w:jc w:val="both"/>
        <w:rPr>
          <w:lang w:val="es-ES"/>
        </w:rPr>
      </w:pPr>
      <w:r w:rsidRPr="00991DFE">
        <w:rPr>
          <w:lang w:val="es-ES"/>
        </w:rPr>
        <w:t>La instalación de equipos de automatización de distribución —seiscientas cincuenta y una (651) unidades propuestas para los municipios de Arecibo y Barceloneta— depende de la aprobación de FEMA para la radicación del Alcance de Trabajo Detallado (DSWO). Esta dependencia administrativa introduce un factor de incertidumbre que puede retrasar mejoras críticas de confiabilidad y amerita gestión activa por parte de la AEE, LUMA y la Oficina Central de Recuperación, Reconstrucción y Resiliencia (COR3).</w:t>
      </w:r>
    </w:p>
    <w:p w14:paraId="55C6BA56" w14:textId="77777777" w:rsidR="000F78EE" w:rsidRPr="00991DFE" w:rsidRDefault="008331C3">
      <w:pPr>
        <w:pStyle w:val="ListParagraph"/>
        <w:numPr>
          <w:ilvl w:val="0"/>
          <w:numId w:val="2"/>
        </w:numPr>
        <w:spacing w:after="120"/>
        <w:jc w:val="both"/>
        <w:rPr>
          <w:lang w:val="es-ES"/>
        </w:rPr>
      </w:pPr>
      <w:r w:rsidRPr="00991DFE">
        <w:rPr>
          <w:lang w:val="es-ES"/>
        </w:rPr>
        <w:t>El proceso de reclamaciones por daños a la propiedad gestionado por LUMA, si bien cuenta con protocolos formales documentados, no registró reclamaciones específicas del tramo de la Carretera PR-681 objeto de la investigación, lo cual contrasta con las denuncias ciudadanas y comerciales reseñadas en la Exposición de Motivos de la Resolución. Esta discrepancia sugiere subutilización o falta de divulgación efectiva del mecanismo de reclamación entre los abonados afectados, así como posibles barreras procesales que ameritan examinarse.</w:t>
      </w:r>
    </w:p>
    <w:p w14:paraId="24350215" w14:textId="77777777" w:rsidR="000F78EE" w:rsidRPr="00991DFE" w:rsidRDefault="008331C3">
      <w:pPr>
        <w:spacing w:before="240" w:after="240"/>
        <w:jc w:val="center"/>
        <w:rPr>
          <w:lang w:val="es-ES"/>
        </w:rPr>
      </w:pPr>
      <w:r w:rsidRPr="00991DFE">
        <w:rPr>
          <w:b/>
          <w:bCs/>
          <w:u w:val="single"/>
          <w:lang w:val="es-ES"/>
        </w:rPr>
        <w:t>CONCLUSIÓN Y RECOMENDACIONES</w:t>
      </w:r>
    </w:p>
    <w:p w14:paraId="209D9AC0" w14:textId="77777777" w:rsidR="000F78EE" w:rsidRPr="00991DFE" w:rsidRDefault="008331C3">
      <w:pPr>
        <w:ind w:firstLine="720"/>
        <w:jc w:val="both"/>
        <w:rPr>
          <w:lang w:val="es-ES"/>
        </w:rPr>
      </w:pPr>
      <w:r w:rsidRPr="00991DFE">
        <w:rPr>
          <w:lang w:val="es-ES"/>
        </w:rPr>
        <w:t xml:space="preserve">Esta Comisión concluye que las constantes fluctuaciones de voltaje (“bajones de luz”) e interrupciones del servicio eléctrico que afectan a los residentes y comerciantes de la Carretera PR-681, en los municipios de Barceloneta y Arecibo, constituyen una afectación grave y persistente a la seguridad, al desarrollo económico y a la calidad de vida de las comunidades de los barrios Islote, </w:t>
      </w:r>
      <w:proofErr w:type="spellStart"/>
      <w:r w:rsidRPr="00991DFE">
        <w:rPr>
          <w:lang w:val="es-ES"/>
        </w:rPr>
        <w:t>Jarealito</w:t>
      </w:r>
      <w:proofErr w:type="spellEnd"/>
      <w:r w:rsidRPr="00991DFE">
        <w:rPr>
          <w:lang w:val="es-ES"/>
        </w:rPr>
        <w:t xml:space="preserve">, Palmas Altas y zonas adyacentes. Si bien LUMA Energy ha presentado un memorial detallado en el que reseña las causas </w:t>
      </w:r>
      <w:r w:rsidRPr="00991DFE">
        <w:rPr>
          <w:lang w:val="es-ES"/>
        </w:rPr>
        <w:lastRenderedPageBreak/>
        <w:t>técnicas de las fluctuaciones, los programas de modernización en curso, los trabajos realizados en los alimentadores 8004-02 y 8504-03 y un plan de manejo de vegetación con ejecución pautada hasta diciembre de 2026, el ritmo histórico de ejecución, la dependencia de aprobaciones federales para la automatización de la distribución y el agravamiento de las fluctuaciones por la proliferación no planificada de los Recursos Energéticos Distribuidos imponen la necesidad de medidas correctivas y de fiscalización rigurosa por parte de esta Comisión.</w:t>
      </w:r>
    </w:p>
    <w:p w14:paraId="5946774A" w14:textId="77777777" w:rsidR="000F78EE" w:rsidRPr="00991DFE" w:rsidRDefault="008331C3">
      <w:pPr>
        <w:ind w:firstLine="720"/>
        <w:jc w:val="both"/>
        <w:rPr>
          <w:lang w:val="es-ES"/>
        </w:rPr>
      </w:pPr>
      <w:r w:rsidRPr="00991DFE">
        <w:rPr>
          <w:lang w:val="es-ES"/>
        </w:rPr>
        <w:t>Por todo lo anterior, la Comisión de la Región Norte recomienda:</w:t>
      </w:r>
    </w:p>
    <w:p w14:paraId="7F5B2CEB" w14:textId="77777777" w:rsidR="000F78EE" w:rsidRPr="00991DFE" w:rsidRDefault="008331C3">
      <w:pPr>
        <w:pStyle w:val="ListParagraph"/>
        <w:numPr>
          <w:ilvl w:val="0"/>
          <w:numId w:val="2"/>
        </w:numPr>
        <w:spacing w:after="120"/>
        <w:jc w:val="both"/>
        <w:rPr>
          <w:lang w:val="es-ES"/>
        </w:rPr>
      </w:pPr>
      <w:r w:rsidRPr="00991DFE">
        <w:rPr>
          <w:lang w:val="es-ES"/>
        </w:rPr>
        <w:t>Requerir a LUMA Energy un informe trimestral sobre el cumplimiento del calendario de evaluaciones y desganche de vegetación en los alimentadores 8004-02, 8004-03 y 8504-03 que sirven la Carretera PR-681, incluyendo los resultados de las evaluaciones aéreas de las líneas de transmisión TL2200 y TL6900, los hallazgos de las inspecciones de campo y un detalle de las millas despejadas, las averías corregidas y la reducción correspondiente de interrupciones en la zona.</w:t>
      </w:r>
    </w:p>
    <w:p w14:paraId="67D727CF" w14:textId="1F5D6BF3" w:rsidR="000F78EE" w:rsidRPr="00991DFE" w:rsidRDefault="008331C3">
      <w:pPr>
        <w:pStyle w:val="ListParagraph"/>
        <w:numPr>
          <w:ilvl w:val="0"/>
          <w:numId w:val="2"/>
        </w:numPr>
        <w:spacing w:after="120"/>
        <w:jc w:val="both"/>
        <w:rPr>
          <w:lang w:val="es-ES"/>
        </w:rPr>
      </w:pPr>
      <w:r w:rsidRPr="00991DFE">
        <w:rPr>
          <w:lang w:val="es-ES"/>
        </w:rPr>
        <w:t xml:space="preserve">Instar a LUMA Energy a presentar un cronograma vinculante para el reemplazo de postes, transformadores, líneas y demás componentes críticos en los alimentadores 8004-02 y 8504-03, con énfasis en los barrios Islote, </w:t>
      </w:r>
      <w:proofErr w:type="spellStart"/>
      <w:r w:rsidRPr="00991DFE">
        <w:rPr>
          <w:lang w:val="es-ES"/>
        </w:rPr>
        <w:t>Jarealito</w:t>
      </w:r>
      <w:proofErr w:type="spellEnd"/>
      <w:r w:rsidRPr="00991DFE">
        <w:rPr>
          <w:lang w:val="es-ES"/>
        </w:rPr>
        <w:t xml:space="preserve"> y Palmas Altas, considerando la corrosión salina característica de la zona costera, así como los estudios de impacto de alimentador (</w:t>
      </w:r>
      <w:proofErr w:type="spellStart"/>
      <w:proofErr w:type="gramStart"/>
      <w:r w:rsidRPr="00991DFE">
        <w:rPr>
          <w:lang w:val="es-ES"/>
        </w:rPr>
        <w:t>cluster</w:t>
      </w:r>
      <w:proofErr w:type="spellEnd"/>
      <w:proofErr w:type="gramEnd"/>
      <w:r w:rsidRPr="00991DFE">
        <w:rPr>
          <w:lang w:val="es-ES"/>
        </w:rPr>
        <w:t xml:space="preserve"> </w:t>
      </w:r>
      <w:proofErr w:type="spellStart"/>
      <w:r w:rsidRPr="00991DFE">
        <w:rPr>
          <w:lang w:val="es-ES"/>
        </w:rPr>
        <w:t>studies</w:t>
      </w:r>
      <w:proofErr w:type="spellEnd"/>
      <w:r w:rsidRPr="00991DFE">
        <w:rPr>
          <w:lang w:val="es-ES"/>
        </w:rPr>
        <w:t>) aplicables a dichos circuitos.</w:t>
      </w:r>
    </w:p>
    <w:p w14:paraId="441F1461" w14:textId="77777777" w:rsidR="000F78EE" w:rsidRPr="00991DFE" w:rsidRDefault="008331C3">
      <w:pPr>
        <w:pStyle w:val="ListParagraph"/>
        <w:numPr>
          <w:ilvl w:val="0"/>
          <w:numId w:val="2"/>
        </w:numPr>
        <w:spacing w:after="120"/>
        <w:jc w:val="both"/>
        <w:rPr>
          <w:lang w:val="es-ES"/>
        </w:rPr>
      </w:pPr>
      <w:r w:rsidRPr="00991DFE">
        <w:rPr>
          <w:lang w:val="es-ES"/>
        </w:rPr>
        <w:t>Solicitar a LUMA Energy y a la Autoridad de Energía Eléctrica que gestionen, con la mayor diligencia ante la Agencia Federal para el Manejo de Emergencias (FEMA) y la Oficina Central de Recuperación, Reconstrucción y Resiliencia (COR3), la aprobación del Alcance de Trabajo Detallado (DSWO) para la instalación de las quinientas veinticinco (525) unidades de automatización de distribución propuestas para Arecibo y las ciento veintiséis (126) propuestas para Barceloneta, así como para la energización del nuevo transformador en la Subestación Factor antes del cierre del año 2026.</w:t>
      </w:r>
    </w:p>
    <w:p w14:paraId="775DA174" w14:textId="77777777" w:rsidR="000F78EE" w:rsidRPr="00991DFE" w:rsidRDefault="008331C3">
      <w:pPr>
        <w:pStyle w:val="ListParagraph"/>
        <w:numPr>
          <w:ilvl w:val="0"/>
          <w:numId w:val="2"/>
        </w:numPr>
        <w:spacing w:after="120"/>
        <w:jc w:val="both"/>
        <w:rPr>
          <w:lang w:val="es-ES"/>
        </w:rPr>
      </w:pPr>
      <w:r w:rsidRPr="00991DFE">
        <w:rPr>
          <w:lang w:val="es-ES"/>
        </w:rPr>
        <w:t xml:space="preserve">Exhortar al Negociado de Energía de Puerto Rico a fiscalizar rigurosamente la calidad del servicio eléctrico en la zona de la Carretera PR-681, dando seguimiento al cumplimiento del Plan de Manejo de Vegetación, a los informes trimestrales de progreso de interconexión de los DER y a las medidas de mitigación de voltaje previstas en el Boletín Técnico de </w:t>
      </w:r>
      <w:r w:rsidRPr="00991DFE">
        <w:rPr>
          <w:lang w:val="es-ES"/>
        </w:rPr>
        <w:lastRenderedPageBreak/>
        <w:t>Inversores Inteligentes 2024-001 y el Reglamento Núm. 8915, así como a evaluar la consistencia de la Resolución Conjunta Núm. 5-2026 con la estabilidad del sistema de distribución.</w:t>
      </w:r>
    </w:p>
    <w:p w14:paraId="5E07E5A3" w14:textId="77777777" w:rsidR="000F78EE" w:rsidRPr="00991DFE" w:rsidRDefault="008331C3">
      <w:pPr>
        <w:pStyle w:val="ListParagraph"/>
        <w:numPr>
          <w:ilvl w:val="0"/>
          <w:numId w:val="2"/>
        </w:numPr>
        <w:spacing w:after="120"/>
        <w:jc w:val="both"/>
        <w:rPr>
          <w:lang w:val="es-ES"/>
        </w:rPr>
      </w:pPr>
      <w:r w:rsidRPr="00991DFE">
        <w:rPr>
          <w:lang w:val="es-ES"/>
        </w:rPr>
        <w:t>Requerir a LUMA Energy una campaña de divulgación dirigida específicamente a los residentes y comerciantes de la Carretera PR-681 sobre el procedimiento de reclamación por daños a la propiedad —incluyendo el formulario oficial, la Hoja de Cotejo y los Centros de Experiencia al Cliente disponibles— a los fines de asegurar que los abonados afectados tengan acceso efectivo al mecanismo de reclamación; así como reiterar la entrega de kits de eficiencia energética con equipo de protección contra sobrecarga en los sectores impactados.</w:t>
      </w:r>
    </w:p>
    <w:p w14:paraId="700179D9" w14:textId="77777777" w:rsidR="000F78EE" w:rsidRPr="00991DFE" w:rsidRDefault="008331C3">
      <w:pPr>
        <w:pStyle w:val="ListParagraph"/>
        <w:numPr>
          <w:ilvl w:val="0"/>
          <w:numId w:val="2"/>
        </w:numPr>
        <w:spacing w:after="120"/>
        <w:jc w:val="both"/>
        <w:rPr>
          <w:lang w:val="es-ES"/>
        </w:rPr>
      </w:pPr>
      <w:r w:rsidRPr="00991DFE">
        <w:rPr>
          <w:lang w:val="es-ES"/>
        </w:rPr>
        <w:t xml:space="preserve">Promover una mesa de trabajo permanente con representación de LUMA Energy, la Autoridad de Energía Eléctrica, el Negociado de Energía de Puerto Rico, los municipios de Arecibo y Barceloneta y las comunidades y comerciantes de los barrios Islote, </w:t>
      </w:r>
      <w:proofErr w:type="spellStart"/>
      <w:r w:rsidRPr="00991DFE">
        <w:rPr>
          <w:lang w:val="es-ES"/>
        </w:rPr>
        <w:t>Jarealito</w:t>
      </w:r>
      <w:proofErr w:type="spellEnd"/>
      <w:r w:rsidRPr="00991DFE">
        <w:rPr>
          <w:lang w:val="es-ES"/>
        </w:rPr>
        <w:t xml:space="preserve"> y Palmas Altas, a los fines de coordinar de manera integral las obras de modernización, los trabajos de manejo de vegetación y los protocolos de comunicación y atención de averías en la zona de la Carretera PR-681.</w:t>
      </w:r>
    </w:p>
    <w:p w14:paraId="03AC7FA8" w14:textId="77777777" w:rsidR="000F78EE" w:rsidRPr="00991DFE" w:rsidRDefault="008331C3">
      <w:pPr>
        <w:ind w:firstLine="720"/>
        <w:jc w:val="both"/>
        <w:rPr>
          <w:lang w:val="es-ES"/>
        </w:rPr>
      </w:pPr>
      <w:r w:rsidRPr="00991DFE">
        <w:rPr>
          <w:lang w:val="es-ES"/>
        </w:rPr>
        <w:t>Esta Comisión reconoce las gestiones y la voluntad de colaboración expresadas por LUMA Energy en su memorial. No obstante, resulta imperativo que LUMA Energy, la Autoridad de Energía Eléctrica, el Negociado de Energía de Puerto Rico y demás agencias concernidas actúen con la urgencia y el compromiso institucional que demanda la situación, a los fines de garantizar un servicio eléctrico estable, confiable y seguro en la Carretera PR-681, en beneficio directo de los residentes, comerciantes y visitantes de los municipios de Arecibo y Barceloneta.</w:t>
      </w:r>
    </w:p>
    <w:p w14:paraId="0BAA133F" w14:textId="68CF748A" w:rsidR="000F78EE" w:rsidRPr="00991DFE" w:rsidRDefault="008331C3">
      <w:pPr>
        <w:ind w:firstLine="720"/>
        <w:jc w:val="both"/>
        <w:rPr>
          <w:lang w:val="es-ES"/>
        </w:rPr>
      </w:pPr>
      <w:r w:rsidRPr="00991DFE">
        <w:rPr>
          <w:lang w:val="es-ES"/>
        </w:rPr>
        <w:t>En virtud de lo anterior, la Comisión de la Región Norte de la Cámara de Representantes, previo estudio y consideración, somete a este Alto Cuerpo el presente Informe Final sobre la R. de la C. 554</w:t>
      </w:r>
      <w:r w:rsidR="007956BA">
        <w:rPr>
          <w:lang w:val="es-ES"/>
        </w:rPr>
        <w:t xml:space="preserve"> </w:t>
      </w:r>
      <w:r w:rsidRPr="00991DFE">
        <w:rPr>
          <w:lang w:val="es-ES"/>
        </w:rPr>
        <w:t>con los hallazgos, conclusiones y recomendaciones aquí consignadas.</w:t>
      </w:r>
    </w:p>
    <w:p w14:paraId="4802504F" w14:textId="62247D4E" w:rsidR="003C5FE1" w:rsidRPr="00991DFE" w:rsidRDefault="007956BA">
      <w:pPr>
        <w:spacing w:after="0"/>
        <w:rPr>
          <w:lang w:val="es-ES"/>
        </w:rPr>
      </w:pPr>
      <w:r>
        <w:rPr>
          <w:lang w:val="es-ES"/>
        </w:rPr>
        <w:t>Respetuosamente sometido,</w:t>
      </w:r>
    </w:p>
    <w:p w14:paraId="5C7C7395" w14:textId="77777777" w:rsidR="007956BA" w:rsidRPr="00991DFE" w:rsidRDefault="007956BA">
      <w:pPr>
        <w:spacing w:after="0"/>
        <w:rPr>
          <w:lang w:val="es-ES"/>
        </w:rPr>
      </w:pPr>
    </w:p>
    <w:p w14:paraId="0C67DC51" w14:textId="77777777" w:rsidR="003C5FE1" w:rsidRPr="00991DFE" w:rsidRDefault="003C5FE1">
      <w:pPr>
        <w:spacing w:after="0"/>
        <w:rPr>
          <w:lang w:val="es-ES"/>
        </w:rPr>
      </w:pPr>
    </w:p>
    <w:p w14:paraId="077BC647" w14:textId="77777777" w:rsidR="003C5FE1" w:rsidRPr="00991DFE" w:rsidRDefault="00F5095B" w:rsidP="007956BA">
      <w:pPr>
        <w:spacing w:after="0"/>
        <w:rPr>
          <w:lang w:val="es-ES"/>
        </w:rPr>
      </w:pPr>
      <w:r w:rsidRPr="00991DFE">
        <w:rPr>
          <w:b/>
          <w:bCs/>
          <w:lang w:val="es-ES"/>
        </w:rPr>
        <w:t>HON. JERRY Z. NIEVES ROSARIO</w:t>
      </w:r>
    </w:p>
    <w:p w14:paraId="327243C5" w14:textId="77777777" w:rsidR="003C5FE1" w:rsidRPr="00991DFE" w:rsidRDefault="00F5095B" w:rsidP="007956BA">
      <w:pPr>
        <w:spacing w:after="0"/>
        <w:rPr>
          <w:lang w:val="es-ES"/>
        </w:rPr>
      </w:pPr>
      <w:r w:rsidRPr="00991DFE">
        <w:rPr>
          <w:lang w:val="es-ES"/>
        </w:rPr>
        <w:t>Presidente</w:t>
      </w:r>
    </w:p>
    <w:p w14:paraId="649EBC53" w14:textId="77777777" w:rsidR="003C5FE1" w:rsidRPr="00991DFE" w:rsidRDefault="00F5095B" w:rsidP="007956BA">
      <w:pPr>
        <w:spacing w:after="0"/>
        <w:rPr>
          <w:lang w:val="es-ES"/>
        </w:rPr>
      </w:pPr>
      <w:r w:rsidRPr="00991DFE">
        <w:rPr>
          <w:lang w:val="es-ES"/>
        </w:rPr>
        <w:t>Comisión de la Región Norte</w:t>
      </w:r>
    </w:p>
    <w:sectPr w:rsidR="003C5FE1" w:rsidRPr="00991DFE" w:rsidSect="00F5095B">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56544" w14:textId="77777777" w:rsidR="002667B9" w:rsidRDefault="002667B9" w:rsidP="00F5095B">
      <w:pPr>
        <w:spacing w:after="0" w:line="240" w:lineRule="auto"/>
      </w:pPr>
      <w:r>
        <w:separator/>
      </w:r>
    </w:p>
  </w:endnote>
  <w:endnote w:type="continuationSeparator" w:id="0">
    <w:p w14:paraId="6F3AA8E1" w14:textId="77777777" w:rsidR="002667B9" w:rsidRDefault="002667B9" w:rsidP="00F5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BE245" w14:textId="77777777" w:rsidR="002667B9" w:rsidRDefault="002667B9" w:rsidP="00F5095B">
      <w:pPr>
        <w:spacing w:after="0" w:line="240" w:lineRule="auto"/>
      </w:pPr>
      <w:r>
        <w:separator/>
      </w:r>
    </w:p>
  </w:footnote>
  <w:footnote w:type="continuationSeparator" w:id="0">
    <w:p w14:paraId="7428ABCB" w14:textId="77777777" w:rsidR="002667B9" w:rsidRDefault="002667B9" w:rsidP="00F50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3459745"/>
      <w:docPartObj>
        <w:docPartGallery w:val="Page Numbers (Top of Page)"/>
        <w:docPartUnique/>
      </w:docPartObj>
    </w:sdtPr>
    <w:sdtEndPr>
      <w:rPr>
        <w:rStyle w:val="PageNumber"/>
      </w:rPr>
    </w:sdtEndPr>
    <w:sdtContent>
      <w:p w14:paraId="6C88688F" w14:textId="129A1815" w:rsidR="00F5095B" w:rsidRDefault="00F5095B"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265840407"/>
      <w:docPartObj>
        <w:docPartGallery w:val="Page Numbers (Top of Page)"/>
        <w:docPartUnique/>
      </w:docPartObj>
    </w:sdtPr>
    <w:sdtEndPr>
      <w:rPr>
        <w:rStyle w:val="PageNumber"/>
      </w:rPr>
    </w:sdtEndPr>
    <w:sdtContent>
      <w:p w14:paraId="20CCEF38" w14:textId="765FF4FF" w:rsidR="00F5095B" w:rsidRDefault="00F5095B" w:rsidP="00F5095B">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24E75F" w14:textId="77777777" w:rsidR="00F5095B" w:rsidRDefault="00F5095B" w:rsidP="00F509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BB879" w14:textId="77777777" w:rsidR="00F5095B" w:rsidRPr="007956BA" w:rsidRDefault="00F5095B" w:rsidP="00F5095B">
    <w:pPr>
      <w:pStyle w:val="Header"/>
      <w:framePr w:wrap="none" w:vAnchor="text" w:hAnchor="margin" w:xAlign="right" w:y="1"/>
      <w:rPr>
        <w:rStyle w:val="PageNumber"/>
        <w:i/>
        <w:iCs/>
        <w:sz w:val="22"/>
        <w:szCs w:val="22"/>
        <w:lang w:val="es-ES"/>
      </w:rPr>
    </w:pPr>
    <w:r w:rsidRPr="007956BA">
      <w:rPr>
        <w:rStyle w:val="PageNumber"/>
        <w:i/>
        <w:iCs/>
        <w:sz w:val="22"/>
        <w:szCs w:val="22"/>
        <w:lang w:val="es-ES"/>
      </w:rPr>
      <w:t>Comisión de la Región Norte</w:t>
    </w:r>
  </w:p>
  <w:p w14:paraId="7A47BFF7" w14:textId="2A71587D" w:rsidR="00F5095B" w:rsidRPr="007956BA" w:rsidRDefault="00F5095B" w:rsidP="00F5095B">
    <w:pPr>
      <w:pStyle w:val="Header"/>
      <w:framePr w:wrap="none" w:vAnchor="text" w:hAnchor="margin" w:xAlign="right" w:y="1"/>
      <w:rPr>
        <w:rStyle w:val="PageNumber"/>
        <w:i/>
        <w:iCs/>
        <w:sz w:val="22"/>
        <w:szCs w:val="22"/>
        <w:lang w:val="es-ES"/>
      </w:rPr>
    </w:pPr>
    <w:r w:rsidRPr="007956BA">
      <w:rPr>
        <w:rStyle w:val="PageNumber"/>
        <w:i/>
        <w:iCs/>
        <w:sz w:val="22"/>
        <w:szCs w:val="22"/>
        <w:lang w:val="es-ES"/>
      </w:rPr>
      <w:t>Informe</w:t>
    </w:r>
    <w:r w:rsidR="007956BA" w:rsidRPr="007956BA">
      <w:rPr>
        <w:rStyle w:val="PageNumber"/>
        <w:i/>
        <w:iCs/>
        <w:sz w:val="22"/>
        <w:szCs w:val="22"/>
        <w:lang w:val="es-ES"/>
      </w:rPr>
      <w:t xml:space="preserve"> </w:t>
    </w:r>
    <w:r w:rsidRPr="007956BA">
      <w:rPr>
        <w:rStyle w:val="PageNumber"/>
        <w:i/>
        <w:iCs/>
        <w:sz w:val="22"/>
        <w:szCs w:val="22"/>
        <w:lang w:val="es-ES"/>
      </w:rPr>
      <w:tab/>
    </w:r>
    <w:r w:rsidRPr="007956BA">
      <w:rPr>
        <w:rStyle w:val="PageNumber"/>
        <w:i/>
        <w:iCs/>
        <w:sz w:val="22"/>
        <w:szCs w:val="22"/>
        <w:lang w:val="es-ES"/>
      </w:rPr>
      <w:tab/>
      <w:t xml:space="preserve">Página </w:t>
    </w:r>
    <w:sdt>
      <w:sdtPr>
        <w:rPr>
          <w:rStyle w:val="PageNumber"/>
          <w:i/>
          <w:iCs/>
          <w:sz w:val="22"/>
          <w:szCs w:val="22"/>
        </w:rPr>
        <w:id w:val="-2011368986"/>
        <w:docPartObj>
          <w:docPartGallery w:val="Page Numbers (Top of Page)"/>
          <w:docPartUnique/>
        </w:docPartObj>
      </w:sdtPr>
      <w:sdtEndPr>
        <w:rPr>
          <w:rStyle w:val="PageNumber"/>
        </w:rPr>
      </w:sdtEndPr>
      <w:sdtContent>
        <w:r w:rsidRPr="007956BA">
          <w:rPr>
            <w:rStyle w:val="PageNumber"/>
            <w:i/>
            <w:iCs/>
            <w:sz w:val="22"/>
            <w:szCs w:val="22"/>
          </w:rPr>
          <w:fldChar w:fldCharType="begin"/>
        </w:r>
        <w:r w:rsidRPr="007956BA">
          <w:rPr>
            <w:rStyle w:val="PageNumber"/>
            <w:i/>
            <w:iCs/>
            <w:sz w:val="22"/>
            <w:szCs w:val="22"/>
            <w:lang w:val="es-ES"/>
          </w:rPr>
          <w:instrText xml:space="preserve"> PAGE </w:instrText>
        </w:r>
        <w:r w:rsidRPr="007956BA">
          <w:rPr>
            <w:rStyle w:val="PageNumber"/>
            <w:i/>
            <w:iCs/>
            <w:sz w:val="22"/>
            <w:szCs w:val="22"/>
          </w:rPr>
          <w:fldChar w:fldCharType="separate"/>
        </w:r>
        <w:r w:rsidRPr="007956BA">
          <w:rPr>
            <w:rStyle w:val="PageNumber"/>
            <w:i/>
            <w:iCs/>
            <w:noProof/>
            <w:sz w:val="22"/>
            <w:szCs w:val="22"/>
            <w:lang w:val="es-ES"/>
          </w:rPr>
          <w:t>1</w:t>
        </w:r>
        <w:r w:rsidRPr="007956BA">
          <w:rPr>
            <w:rStyle w:val="PageNumber"/>
            <w:i/>
            <w:iCs/>
            <w:sz w:val="22"/>
            <w:szCs w:val="22"/>
          </w:rPr>
          <w:fldChar w:fldCharType="end"/>
        </w:r>
      </w:sdtContent>
    </w:sdt>
  </w:p>
  <w:p w14:paraId="74A85EBF" w14:textId="77777777" w:rsidR="00F5095B" w:rsidRPr="007956BA" w:rsidRDefault="00F5095B" w:rsidP="00F5095B">
    <w:pPr>
      <w:pStyle w:val="Header"/>
      <w:ind w:right="360"/>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443"/>
    <w:multiLevelType w:val="hybridMultilevel"/>
    <w:tmpl w:val="4BD00180"/>
    <w:lvl w:ilvl="0" w:tplc="CA90753C">
      <w:start w:val="1"/>
      <w:numFmt w:val="decimal"/>
      <w:lvlText w:val="%1."/>
      <w:lvlJc w:val="left"/>
      <w:pPr>
        <w:ind w:left="1080" w:hanging="360"/>
      </w:pPr>
    </w:lvl>
    <w:lvl w:ilvl="1" w:tplc="0BD2E314">
      <w:numFmt w:val="decimal"/>
      <w:lvlText w:val=""/>
      <w:lvlJc w:val="left"/>
    </w:lvl>
    <w:lvl w:ilvl="2" w:tplc="1E0026FA">
      <w:numFmt w:val="decimal"/>
      <w:lvlText w:val=""/>
      <w:lvlJc w:val="left"/>
    </w:lvl>
    <w:lvl w:ilvl="3" w:tplc="C8E8F0DC">
      <w:numFmt w:val="decimal"/>
      <w:lvlText w:val=""/>
      <w:lvlJc w:val="left"/>
    </w:lvl>
    <w:lvl w:ilvl="4" w:tplc="C49AD8BE">
      <w:numFmt w:val="decimal"/>
      <w:lvlText w:val=""/>
      <w:lvlJc w:val="left"/>
    </w:lvl>
    <w:lvl w:ilvl="5" w:tplc="90EA02C6">
      <w:numFmt w:val="decimal"/>
      <w:lvlText w:val=""/>
      <w:lvlJc w:val="left"/>
    </w:lvl>
    <w:lvl w:ilvl="6" w:tplc="B7E678C8">
      <w:numFmt w:val="decimal"/>
      <w:lvlText w:val=""/>
      <w:lvlJc w:val="left"/>
    </w:lvl>
    <w:lvl w:ilvl="7" w:tplc="04E87DD8">
      <w:numFmt w:val="decimal"/>
      <w:lvlText w:val=""/>
      <w:lvlJc w:val="left"/>
    </w:lvl>
    <w:lvl w:ilvl="8" w:tplc="5B5658F6">
      <w:numFmt w:val="decimal"/>
      <w:lvlText w:val=""/>
      <w:lvlJc w:val="left"/>
    </w:lvl>
  </w:abstractNum>
  <w:abstractNum w:abstractNumId="1" w15:restartNumberingAfterBreak="0">
    <w:nsid w:val="0F810594"/>
    <w:multiLevelType w:val="hybridMultilevel"/>
    <w:tmpl w:val="55749F2E"/>
    <w:lvl w:ilvl="0" w:tplc="3800DCCA">
      <w:start w:val="1"/>
      <w:numFmt w:val="lowerLetter"/>
      <w:lvlText w:val="%1."/>
      <w:lvlJc w:val="left"/>
      <w:pPr>
        <w:ind w:left="1800" w:hanging="360"/>
      </w:pPr>
    </w:lvl>
    <w:lvl w:ilvl="1" w:tplc="B0927026">
      <w:numFmt w:val="decimal"/>
      <w:lvlText w:val=""/>
      <w:lvlJc w:val="left"/>
    </w:lvl>
    <w:lvl w:ilvl="2" w:tplc="FCC246F6">
      <w:numFmt w:val="decimal"/>
      <w:lvlText w:val=""/>
      <w:lvlJc w:val="left"/>
    </w:lvl>
    <w:lvl w:ilvl="3" w:tplc="D1567AE0">
      <w:numFmt w:val="decimal"/>
      <w:lvlText w:val=""/>
      <w:lvlJc w:val="left"/>
    </w:lvl>
    <w:lvl w:ilvl="4" w:tplc="4AAC1324">
      <w:numFmt w:val="decimal"/>
      <w:lvlText w:val=""/>
      <w:lvlJc w:val="left"/>
    </w:lvl>
    <w:lvl w:ilvl="5" w:tplc="88F0C0A6">
      <w:numFmt w:val="decimal"/>
      <w:lvlText w:val=""/>
      <w:lvlJc w:val="left"/>
    </w:lvl>
    <w:lvl w:ilvl="6" w:tplc="55180546">
      <w:numFmt w:val="decimal"/>
      <w:lvlText w:val=""/>
      <w:lvlJc w:val="left"/>
    </w:lvl>
    <w:lvl w:ilvl="7" w:tplc="BA44396C">
      <w:numFmt w:val="decimal"/>
      <w:lvlText w:val=""/>
      <w:lvlJc w:val="left"/>
    </w:lvl>
    <w:lvl w:ilvl="8" w:tplc="2E8C1A0A">
      <w:numFmt w:val="decimal"/>
      <w:lvlText w:val=""/>
      <w:lvlJc w:val="left"/>
    </w:lvl>
  </w:abstractNum>
  <w:abstractNum w:abstractNumId="2" w15:restartNumberingAfterBreak="0">
    <w:nsid w:val="151800A6"/>
    <w:multiLevelType w:val="hybridMultilevel"/>
    <w:tmpl w:val="FD8C94FA"/>
    <w:lvl w:ilvl="0" w:tplc="E20A49C4">
      <w:start w:val="1"/>
      <w:numFmt w:val="bullet"/>
      <w:lvlText w:val="•"/>
      <w:lvlJc w:val="left"/>
      <w:pPr>
        <w:ind w:left="1440" w:hanging="360"/>
      </w:pPr>
    </w:lvl>
    <w:lvl w:ilvl="1" w:tplc="4E962E18">
      <w:numFmt w:val="decimal"/>
      <w:lvlText w:val=""/>
      <w:lvlJc w:val="left"/>
    </w:lvl>
    <w:lvl w:ilvl="2" w:tplc="B3E4A50A">
      <w:numFmt w:val="decimal"/>
      <w:lvlText w:val=""/>
      <w:lvlJc w:val="left"/>
    </w:lvl>
    <w:lvl w:ilvl="3" w:tplc="FC5E5128">
      <w:numFmt w:val="decimal"/>
      <w:lvlText w:val=""/>
      <w:lvlJc w:val="left"/>
    </w:lvl>
    <w:lvl w:ilvl="4" w:tplc="EEFAA8BE">
      <w:numFmt w:val="decimal"/>
      <w:lvlText w:val=""/>
      <w:lvlJc w:val="left"/>
    </w:lvl>
    <w:lvl w:ilvl="5" w:tplc="F0908A04">
      <w:numFmt w:val="decimal"/>
      <w:lvlText w:val=""/>
      <w:lvlJc w:val="left"/>
    </w:lvl>
    <w:lvl w:ilvl="6" w:tplc="47145076">
      <w:numFmt w:val="decimal"/>
      <w:lvlText w:val=""/>
      <w:lvlJc w:val="left"/>
    </w:lvl>
    <w:lvl w:ilvl="7" w:tplc="0F14E1A0">
      <w:numFmt w:val="decimal"/>
      <w:lvlText w:val=""/>
      <w:lvlJc w:val="left"/>
    </w:lvl>
    <w:lvl w:ilvl="8" w:tplc="7730F434">
      <w:numFmt w:val="decimal"/>
      <w:lvlText w:val=""/>
      <w:lvlJc w:val="left"/>
    </w:lvl>
  </w:abstractNum>
  <w:abstractNum w:abstractNumId="3" w15:restartNumberingAfterBreak="0">
    <w:nsid w:val="18CF78C7"/>
    <w:multiLevelType w:val="hybridMultilevel"/>
    <w:tmpl w:val="84D688B6"/>
    <w:lvl w:ilvl="0" w:tplc="36723206">
      <w:start w:val="1"/>
      <w:numFmt w:val="decimal"/>
      <w:lvlText w:val="%1."/>
      <w:lvlJc w:val="left"/>
      <w:pPr>
        <w:ind w:left="1080" w:hanging="360"/>
      </w:pPr>
    </w:lvl>
    <w:lvl w:ilvl="1" w:tplc="80469AC4">
      <w:numFmt w:val="decimal"/>
      <w:lvlText w:val=""/>
      <w:lvlJc w:val="left"/>
    </w:lvl>
    <w:lvl w:ilvl="2" w:tplc="C8AE6B4A">
      <w:numFmt w:val="decimal"/>
      <w:lvlText w:val=""/>
      <w:lvlJc w:val="left"/>
    </w:lvl>
    <w:lvl w:ilvl="3" w:tplc="818685A8">
      <w:numFmt w:val="decimal"/>
      <w:lvlText w:val=""/>
      <w:lvlJc w:val="left"/>
    </w:lvl>
    <w:lvl w:ilvl="4" w:tplc="EA16D7AA">
      <w:numFmt w:val="decimal"/>
      <w:lvlText w:val=""/>
      <w:lvlJc w:val="left"/>
    </w:lvl>
    <w:lvl w:ilvl="5" w:tplc="0EB2019C">
      <w:numFmt w:val="decimal"/>
      <w:lvlText w:val=""/>
      <w:lvlJc w:val="left"/>
    </w:lvl>
    <w:lvl w:ilvl="6" w:tplc="FB325F7A">
      <w:numFmt w:val="decimal"/>
      <w:lvlText w:val=""/>
      <w:lvlJc w:val="left"/>
    </w:lvl>
    <w:lvl w:ilvl="7" w:tplc="3AD09B54">
      <w:numFmt w:val="decimal"/>
      <w:lvlText w:val=""/>
      <w:lvlJc w:val="left"/>
    </w:lvl>
    <w:lvl w:ilvl="8" w:tplc="59ACAEB0">
      <w:numFmt w:val="decimal"/>
      <w:lvlText w:val=""/>
      <w:lvlJc w:val="left"/>
    </w:lvl>
  </w:abstractNum>
  <w:abstractNum w:abstractNumId="4" w15:restartNumberingAfterBreak="0">
    <w:nsid w:val="3F8B723C"/>
    <w:multiLevelType w:val="hybridMultilevel"/>
    <w:tmpl w:val="6D80376C"/>
    <w:lvl w:ilvl="0" w:tplc="7E0C3044">
      <w:start w:val="1"/>
      <w:numFmt w:val="decimal"/>
      <w:lvlText w:val="%1."/>
      <w:lvlJc w:val="left"/>
      <w:pPr>
        <w:ind w:left="1080" w:hanging="360"/>
      </w:pPr>
    </w:lvl>
    <w:lvl w:ilvl="1" w:tplc="F8BE512E">
      <w:numFmt w:val="decimal"/>
      <w:lvlText w:val=""/>
      <w:lvlJc w:val="left"/>
    </w:lvl>
    <w:lvl w:ilvl="2" w:tplc="BA54CB0C">
      <w:numFmt w:val="decimal"/>
      <w:lvlText w:val=""/>
      <w:lvlJc w:val="left"/>
    </w:lvl>
    <w:lvl w:ilvl="3" w:tplc="2BF0DFBC">
      <w:numFmt w:val="decimal"/>
      <w:lvlText w:val=""/>
      <w:lvlJc w:val="left"/>
    </w:lvl>
    <w:lvl w:ilvl="4" w:tplc="F22E69F6">
      <w:numFmt w:val="decimal"/>
      <w:lvlText w:val=""/>
      <w:lvlJc w:val="left"/>
    </w:lvl>
    <w:lvl w:ilvl="5" w:tplc="7DACB996">
      <w:numFmt w:val="decimal"/>
      <w:lvlText w:val=""/>
      <w:lvlJc w:val="left"/>
    </w:lvl>
    <w:lvl w:ilvl="6" w:tplc="27509FF8">
      <w:numFmt w:val="decimal"/>
      <w:lvlText w:val=""/>
      <w:lvlJc w:val="left"/>
    </w:lvl>
    <w:lvl w:ilvl="7" w:tplc="61543266">
      <w:numFmt w:val="decimal"/>
      <w:lvlText w:val=""/>
      <w:lvlJc w:val="left"/>
    </w:lvl>
    <w:lvl w:ilvl="8" w:tplc="C45CA13E">
      <w:numFmt w:val="decimal"/>
      <w:lvlText w:val=""/>
      <w:lvlJc w:val="left"/>
    </w:lvl>
  </w:abstractNum>
  <w:abstractNum w:abstractNumId="5" w15:restartNumberingAfterBreak="0">
    <w:nsid w:val="532F72E2"/>
    <w:multiLevelType w:val="hybridMultilevel"/>
    <w:tmpl w:val="306645E0"/>
    <w:lvl w:ilvl="0" w:tplc="3062A91C">
      <w:start w:val="1"/>
      <w:numFmt w:val="bullet"/>
      <w:lvlText w:val="●"/>
      <w:lvlJc w:val="left"/>
      <w:pPr>
        <w:ind w:left="720" w:hanging="360"/>
      </w:pPr>
    </w:lvl>
    <w:lvl w:ilvl="1" w:tplc="3D72C9EE">
      <w:start w:val="1"/>
      <w:numFmt w:val="bullet"/>
      <w:lvlText w:val="○"/>
      <w:lvlJc w:val="left"/>
      <w:pPr>
        <w:ind w:left="1440" w:hanging="360"/>
      </w:pPr>
    </w:lvl>
    <w:lvl w:ilvl="2" w:tplc="43963C98">
      <w:start w:val="1"/>
      <w:numFmt w:val="bullet"/>
      <w:lvlText w:val="■"/>
      <w:lvlJc w:val="left"/>
      <w:pPr>
        <w:ind w:left="2160" w:hanging="360"/>
      </w:pPr>
    </w:lvl>
    <w:lvl w:ilvl="3" w:tplc="24C28EB8">
      <w:start w:val="1"/>
      <w:numFmt w:val="bullet"/>
      <w:lvlText w:val="●"/>
      <w:lvlJc w:val="left"/>
      <w:pPr>
        <w:ind w:left="2880" w:hanging="360"/>
      </w:pPr>
    </w:lvl>
    <w:lvl w:ilvl="4" w:tplc="C37E34EA">
      <w:start w:val="1"/>
      <w:numFmt w:val="bullet"/>
      <w:lvlText w:val="○"/>
      <w:lvlJc w:val="left"/>
      <w:pPr>
        <w:ind w:left="3600" w:hanging="360"/>
      </w:pPr>
    </w:lvl>
    <w:lvl w:ilvl="5" w:tplc="7FB0FF02">
      <w:start w:val="1"/>
      <w:numFmt w:val="bullet"/>
      <w:lvlText w:val="■"/>
      <w:lvlJc w:val="left"/>
      <w:pPr>
        <w:ind w:left="4320" w:hanging="360"/>
      </w:pPr>
    </w:lvl>
    <w:lvl w:ilvl="6" w:tplc="AF0849AA">
      <w:start w:val="1"/>
      <w:numFmt w:val="bullet"/>
      <w:lvlText w:val="●"/>
      <w:lvlJc w:val="left"/>
      <w:pPr>
        <w:ind w:left="5040" w:hanging="360"/>
      </w:pPr>
    </w:lvl>
    <w:lvl w:ilvl="7" w:tplc="864445C2">
      <w:start w:val="1"/>
      <w:numFmt w:val="bullet"/>
      <w:lvlText w:val="●"/>
      <w:lvlJc w:val="left"/>
      <w:pPr>
        <w:ind w:left="5760" w:hanging="360"/>
      </w:pPr>
    </w:lvl>
    <w:lvl w:ilvl="8" w:tplc="811EC2D8">
      <w:start w:val="1"/>
      <w:numFmt w:val="bullet"/>
      <w:lvlText w:val="●"/>
      <w:lvlJc w:val="left"/>
      <w:pPr>
        <w:ind w:left="6480" w:hanging="360"/>
      </w:pPr>
    </w:lvl>
  </w:abstractNum>
  <w:num w:numId="1" w16cid:durableId="1912276622">
    <w:abstractNumId w:val="5"/>
    <w:lvlOverride w:ilvl="0">
      <w:startOverride w:val="1"/>
    </w:lvlOverride>
  </w:num>
  <w:num w:numId="2" w16cid:durableId="189226550">
    <w:abstractNumId w:val="2"/>
    <w:lvlOverride w:ilvl="0">
      <w:startOverride w:val="1"/>
    </w:lvlOverride>
  </w:num>
  <w:num w:numId="3" w16cid:durableId="947345878">
    <w:abstractNumId w:val="3"/>
    <w:lvlOverride w:ilvl="0">
      <w:startOverride w:val="1"/>
    </w:lvlOverride>
  </w:num>
  <w:num w:numId="4" w16cid:durableId="1388411370">
    <w:abstractNumId w:val="1"/>
    <w:lvlOverride w:ilvl="0">
      <w:startOverride w:val="1"/>
    </w:lvlOverride>
  </w:num>
  <w:num w:numId="5" w16cid:durableId="1151946280">
    <w:abstractNumId w:val="0"/>
    <w:lvlOverride w:ilvl="0">
      <w:startOverride w:val="1"/>
    </w:lvlOverride>
  </w:num>
  <w:num w:numId="6" w16cid:durableId="80454782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FE1"/>
    <w:rsid w:val="000605A8"/>
    <w:rsid w:val="0009030F"/>
    <w:rsid w:val="000F78EE"/>
    <w:rsid w:val="001D56A3"/>
    <w:rsid w:val="00254032"/>
    <w:rsid w:val="002667B9"/>
    <w:rsid w:val="003C5FE1"/>
    <w:rsid w:val="00655FD7"/>
    <w:rsid w:val="007956BA"/>
    <w:rsid w:val="007C6575"/>
    <w:rsid w:val="008331C3"/>
    <w:rsid w:val="008639F2"/>
    <w:rsid w:val="00943EE1"/>
    <w:rsid w:val="00991DFE"/>
    <w:rsid w:val="00C65938"/>
    <w:rsid w:val="00CA66E1"/>
    <w:rsid w:val="00D40F2E"/>
    <w:rsid w:val="00DB0802"/>
    <w:rsid w:val="00DF6385"/>
    <w:rsid w:val="00F323CF"/>
    <w:rsid w:val="00F5095B"/>
    <w:rsid w:val="00F87B59"/>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87C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F5095B"/>
    <w:pPr>
      <w:tabs>
        <w:tab w:val="left" w:pos="648"/>
        <w:tab w:val="right" w:pos="7776"/>
        <w:tab w:val="left" w:pos="7848"/>
      </w:tabs>
      <w:spacing w:after="0" w:line="240" w:lineRule="auto"/>
    </w:pPr>
    <w:rPr>
      <w:rFonts w:ascii="Times New Roman" w:eastAsia="Times New Roman" w:hAnsi="Times New Roman" w:cs="Times New Roman"/>
      <w:szCs w:val="20"/>
    </w:rPr>
  </w:style>
  <w:style w:type="paragraph" w:styleId="Header">
    <w:name w:val="header"/>
    <w:basedOn w:val="Normal"/>
    <w:link w:val="HeaderChar"/>
    <w:uiPriority w:val="99"/>
    <w:unhideWhenUsed/>
    <w:rsid w:val="00F50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95B"/>
  </w:style>
  <w:style w:type="character" w:styleId="PageNumber">
    <w:name w:val="page number"/>
    <w:basedOn w:val="DefaultParagraphFont"/>
    <w:uiPriority w:val="99"/>
    <w:semiHidden/>
    <w:unhideWhenUsed/>
    <w:rsid w:val="00F5095B"/>
  </w:style>
  <w:style w:type="paragraph" w:styleId="Footer">
    <w:name w:val="footer"/>
    <w:basedOn w:val="Normal"/>
    <w:link w:val="FooterChar"/>
    <w:uiPriority w:val="99"/>
    <w:unhideWhenUsed/>
    <w:rsid w:val="00F50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3924</Words>
  <Characters>22368</Characters>
  <Application>Microsoft Office Word</Application>
  <DocSecurity>4</DocSecurity>
  <Lines>186</Lines>
  <Paragraphs>52</Paragraphs>
  <ScaleCrop>false</ScaleCrop>
  <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2026-06-04T18:33:00Z</dcterms:created>
  <dcterms:modified xsi:type="dcterms:W3CDTF">2026-06-04T18:33:00Z</dcterms:modified>
</cp:coreProperties>
</file>