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37AF3F4F" w:rsidR="00DF7D86" w:rsidRPr="00D160E9" w:rsidRDefault="00B45797" w:rsidP="00954C22">
      <w:pPr>
        <w:tabs>
          <w:tab w:val="center" w:pos="4680"/>
        </w:tabs>
        <w:jc w:val="center"/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D160E9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="0038510E" w:rsidRPr="00D160E9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4E2D2AC8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A42843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C13938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A42843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1711E6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224C8555" w14:textId="522C7726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954C22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1</w:t>
      </w:r>
      <w:r w:rsidR="00C13938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0</w:t>
      </w:r>
      <w:r w:rsidR="00B07D6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78</w:t>
      </w:r>
    </w:p>
    <w:p w14:paraId="6CA3DF2C" w14:textId="77777777" w:rsidR="00DF7D86" w:rsidRPr="00A42843" w:rsidRDefault="0038510E">
      <w:pPr>
        <w:spacing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 w:rsidRPr="00A42843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5F1A39F3" w:rsidR="00DF7D86" w:rsidRPr="001711E6" w:rsidRDefault="002437CB" w:rsidP="00A42843">
      <w:pPr>
        <w:spacing w:after="24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19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B07D66">
        <w:rPr>
          <w:rFonts w:ascii="Book Antiqua" w:eastAsia="Book Antiqua" w:hAnsi="Book Antiqua" w:cs="Book Antiqua"/>
          <w:color w:val="000000" w:themeColor="text1"/>
          <w:lang w:val="es-PR"/>
        </w:rPr>
        <w:t>marz</w:t>
      </w:r>
      <w:r w:rsidR="00C13938"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C13938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787FA8DE" w:rsidR="00DF7D86" w:rsidRPr="00A42843" w:rsidRDefault="0038510E" w:rsidP="001F2899">
      <w:pPr>
        <w:spacing w:line="360" w:lineRule="auto"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A42843">
        <w:rPr>
          <w:rFonts w:ascii="Book Antiqua" w:eastAsia="Book Antiqua" w:hAnsi="Book Antiqua" w:cs="Book Antiqua"/>
          <w:bCs/>
          <w:color w:val="000000" w:themeColor="text1"/>
          <w:lang w:val="es-PR"/>
        </w:rPr>
        <w:t>A LA CÁMARA DE REPRESENTANTES DE PUERTO RICO</w:t>
      </w:r>
    </w:p>
    <w:p w14:paraId="48CACF04" w14:textId="1B33C530" w:rsidR="00DF7D86" w:rsidRPr="001711E6" w:rsidRDefault="00F169E1" w:rsidP="00D018B2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onsideración del P</w:t>
      </w:r>
      <w:r w:rsidR="00954C22">
        <w:rPr>
          <w:rFonts w:ascii="Book Antiqua" w:eastAsia="Book Antiqua" w:hAnsi="Book Antiqua" w:cs="Book Antiqua"/>
          <w:color w:val="000000" w:themeColor="text1"/>
          <w:lang w:val="es-PR"/>
        </w:rPr>
        <w:t>royecto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la C</w:t>
      </w:r>
      <w:r w:rsidR="00954C22">
        <w:rPr>
          <w:rFonts w:ascii="Book Antiqua" w:eastAsia="Book Antiqua" w:hAnsi="Book Antiqua" w:cs="Book Antiqua"/>
          <w:color w:val="000000" w:themeColor="text1"/>
          <w:lang w:val="es-PR"/>
        </w:rPr>
        <w:t>ámara 1</w:t>
      </w:r>
      <w:r w:rsidR="00437B8E">
        <w:rPr>
          <w:rFonts w:ascii="Book Antiqua" w:eastAsia="Book Antiqua" w:hAnsi="Book Antiqua" w:cs="Book Antiqua"/>
          <w:color w:val="000000" w:themeColor="text1"/>
          <w:lang w:val="es-PR"/>
        </w:rPr>
        <w:t>0</w:t>
      </w:r>
      <w:r w:rsidR="00B34AE5">
        <w:rPr>
          <w:rFonts w:ascii="Book Antiqua" w:eastAsia="Book Antiqua" w:hAnsi="Book Antiqua" w:cs="Book Antiqua"/>
          <w:color w:val="000000" w:themeColor="text1"/>
          <w:lang w:val="es-PR"/>
        </w:rPr>
        <w:t>78</w:t>
      </w:r>
      <w:r w:rsidR="00437B8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22725">
        <w:rPr>
          <w:rFonts w:ascii="Book Antiqua" w:eastAsia="Book Antiqua" w:hAnsi="Book Antiqua" w:cs="Book Antiqua"/>
          <w:color w:val="000000" w:themeColor="text1"/>
          <w:lang w:val="es-PR"/>
        </w:rPr>
        <w:t>(P. de la C. 1</w:t>
      </w:r>
      <w:r w:rsidR="004A2F7B">
        <w:rPr>
          <w:rFonts w:ascii="Book Antiqua" w:eastAsia="Book Antiqua" w:hAnsi="Book Antiqua" w:cs="Book Antiqua"/>
          <w:color w:val="000000" w:themeColor="text1"/>
          <w:lang w:val="es-PR"/>
        </w:rPr>
        <w:t>0</w:t>
      </w:r>
      <w:r w:rsidR="00B34AE5">
        <w:rPr>
          <w:rFonts w:ascii="Book Antiqua" w:eastAsia="Book Antiqua" w:hAnsi="Book Antiqua" w:cs="Book Antiqua"/>
          <w:color w:val="000000" w:themeColor="text1"/>
          <w:lang w:val="es-PR"/>
        </w:rPr>
        <w:t>78</w:t>
      </w:r>
      <w:r w:rsidR="00A22725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 w:rsidR="00A42843">
        <w:rPr>
          <w:rFonts w:ascii="Book Antiqua" w:eastAsia="Book Antiqua" w:hAnsi="Book Antiqua" w:cs="Book Antiqua"/>
          <w:color w:val="000000" w:themeColor="text1"/>
          <w:lang w:val="es-PR"/>
        </w:rPr>
        <w:t>ienda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>entirillado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00C5E8B9" w14:textId="77777777" w:rsidR="003B38A4" w:rsidRPr="00A42843" w:rsidRDefault="003B38A4" w:rsidP="001F2899">
      <w:pPr>
        <w:spacing w:line="360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  <w:r w:rsidRPr="00A42843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0B26FB88" w14:textId="5117F0D7" w:rsidR="00015228" w:rsidRPr="001711E6" w:rsidRDefault="003B38A4" w:rsidP="00311523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</w:pPr>
      <w:r w:rsidRPr="00E45162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851E49" w:rsidRPr="00E45162">
        <w:rPr>
          <w:rFonts w:ascii="Book Antiqua" w:eastAsia="Book Antiqua" w:hAnsi="Book Antiqua" w:cs="Book Antiqua"/>
          <w:color w:val="000000" w:themeColor="text1"/>
          <w:lang w:val="es-PR"/>
        </w:rPr>
        <w:t>P</w:t>
      </w:r>
      <w:r w:rsidR="00382AD9" w:rsidRPr="00E45162">
        <w:rPr>
          <w:rFonts w:ascii="Book Antiqua" w:eastAsia="Book Antiqua" w:hAnsi="Book Antiqua" w:cs="Book Antiqua"/>
          <w:color w:val="000000" w:themeColor="text1"/>
          <w:lang w:val="es-PR"/>
        </w:rPr>
        <w:t>. de la C. 1</w:t>
      </w:r>
      <w:r w:rsidR="00437B8E" w:rsidRPr="00E45162">
        <w:rPr>
          <w:rFonts w:ascii="Book Antiqua" w:eastAsia="Book Antiqua" w:hAnsi="Book Antiqua" w:cs="Book Antiqua"/>
          <w:color w:val="000000" w:themeColor="text1"/>
          <w:lang w:val="es-PR"/>
        </w:rPr>
        <w:t>0</w:t>
      </w:r>
      <w:r w:rsidR="00521964">
        <w:rPr>
          <w:rFonts w:ascii="Book Antiqua" w:eastAsia="Book Antiqua" w:hAnsi="Book Antiqua" w:cs="Book Antiqua"/>
          <w:color w:val="000000" w:themeColor="text1"/>
          <w:lang w:val="es-PR"/>
        </w:rPr>
        <w:t>78</w:t>
      </w:r>
      <w:r w:rsidRPr="00E45162">
        <w:rPr>
          <w:rFonts w:ascii="Book Antiqua" w:eastAsia="Book Antiqua" w:hAnsi="Book Antiqua" w:cs="Book Antiqua"/>
          <w:color w:val="000000" w:themeColor="text1"/>
          <w:lang w:val="es-PR"/>
        </w:rPr>
        <w:t xml:space="preserve"> tiene</w:t>
      </w:r>
      <w:r w:rsidR="00954C22" w:rsidRPr="00E45162">
        <w:rPr>
          <w:rFonts w:ascii="Book Antiqua" w:eastAsia="Book Antiqua" w:hAnsi="Book Antiqua" w:cs="Book Antiqua"/>
          <w:color w:val="000000" w:themeColor="text1"/>
          <w:lang w:val="es-PR"/>
        </w:rPr>
        <w:t xml:space="preserve"> como </w:t>
      </w:r>
      <w:r w:rsidR="00633335" w:rsidRPr="00E45162">
        <w:rPr>
          <w:rFonts w:ascii="Book Antiqua" w:eastAsia="Book Antiqua" w:hAnsi="Book Antiqua" w:cs="Book Antiqua"/>
          <w:color w:val="000000" w:themeColor="text1"/>
          <w:lang w:val="es-PR"/>
        </w:rPr>
        <w:t>propósito</w:t>
      </w:r>
      <w:r w:rsidR="00521964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A22725" w:rsidRPr="00E4516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951BB" w:rsidRPr="006951BB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el inciso (d) del </w:t>
      </w:r>
      <w:r w:rsidR="006951BB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6951BB" w:rsidRPr="006951BB">
        <w:rPr>
          <w:rFonts w:ascii="Book Antiqua" w:eastAsia="Book Antiqua" w:hAnsi="Book Antiqua" w:cs="Book Antiqua"/>
          <w:color w:val="000000" w:themeColor="text1"/>
          <w:lang w:val="es-PR"/>
        </w:rPr>
        <w:t>rtículo 3 de la Ley Núm. 77 de 25 de junio de 1964, según enmendada,</w:t>
      </w:r>
      <w:r w:rsidR="00311523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1"/>
      </w:r>
      <w:r w:rsidR="006951BB" w:rsidRPr="006951BB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disponer que las revisiones judiciales bajo dicha ley se presentarán ante el Tribunal de Apelaciones de Puerto Rico; y para otros fines relacionados.</w:t>
      </w:r>
    </w:p>
    <w:p w14:paraId="59AC646E" w14:textId="7F8FE5A1" w:rsidR="003B38A4" w:rsidRPr="001F139A" w:rsidRDefault="003B38A4" w:rsidP="001F2899">
      <w:pPr>
        <w:spacing w:line="360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  <w:r w:rsidRPr="001F139A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ANÁLISIS DE LA MEDIDA</w:t>
      </w:r>
    </w:p>
    <w:p w14:paraId="2E9C0421" w14:textId="577C0CBC" w:rsidR="009F5FB0" w:rsidRDefault="009F5FB0" w:rsidP="000F5399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>
        <w:rPr>
          <w:rFonts w:ascii="Book Antiqua" w:eastAsia="Book Antiqua" w:hAnsi="Book Antiqua" w:cs="Book Antiqua"/>
          <w:color w:val="000000" w:themeColor="text1"/>
          <w:lang w:val="es-ES"/>
        </w:rPr>
        <w:t>E</w:t>
      </w:r>
      <w:r w:rsidRPr="009F5FB0">
        <w:rPr>
          <w:rFonts w:ascii="Book Antiqua" w:eastAsia="Book Antiqua" w:hAnsi="Book Antiqua" w:cs="Book Antiqua"/>
          <w:color w:val="000000" w:themeColor="text1"/>
          <w:lang w:val="es-ES"/>
        </w:rPr>
        <w:t xml:space="preserve">n </w:t>
      </w:r>
      <w:r w:rsidRPr="00E24607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Oficina de Asuntos Monopolísticos del Departamento de Justicia y otros v. Abarca Health, LLC</w:t>
      </w:r>
      <w:r w:rsidR="00E24607">
        <w:rPr>
          <w:rFonts w:ascii="Book Antiqua" w:eastAsia="Book Antiqua" w:hAnsi="Book Antiqua" w:cs="Book Antiqua"/>
          <w:color w:val="000000" w:themeColor="text1"/>
          <w:lang w:val="es-ES"/>
        </w:rPr>
        <w:t>,</w:t>
      </w:r>
      <w:r w:rsidR="00E24607">
        <w:rPr>
          <w:rStyle w:val="FootnoteReference"/>
          <w:rFonts w:ascii="Book Antiqua" w:eastAsia="Book Antiqua" w:hAnsi="Book Antiqua" w:cs="Book Antiqua"/>
          <w:color w:val="000000" w:themeColor="text1"/>
          <w:lang w:val="es-ES"/>
        </w:rPr>
        <w:footnoteReference w:id="2"/>
      </w:r>
      <w:r w:rsidR="00E24607">
        <w:rPr>
          <w:rFonts w:ascii="Book Antiqua" w:eastAsia="Book Antiqua" w:hAnsi="Book Antiqua" w:cs="Book Antiqua"/>
          <w:color w:val="000000" w:themeColor="text1"/>
          <w:lang w:val="es-ES"/>
        </w:rPr>
        <w:t xml:space="preserve"> el Tribunal Supremo interpretó</w:t>
      </w:r>
      <w:r w:rsidR="00B161B5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B161B5" w:rsidRPr="009F5FB0">
        <w:rPr>
          <w:rFonts w:ascii="Book Antiqua" w:eastAsia="Book Antiqua" w:hAnsi="Book Antiqua" w:cs="Book Antiqua"/>
          <w:color w:val="000000" w:themeColor="text1"/>
          <w:lang w:val="es-ES"/>
        </w:rPr>
        <w:t xml:space="preserve">el </w:t>
      </w:r>
      <w:r w:rsidR="00B161B5">
        <w:rPr>
          <w:rFonts w:ascii="Book Antiqua" w:eastAsia="Book Antiqua" w:hAnsi="Book Antiqua" w:cs="Book Antiqua"/>
          <w:color w:val="000000" w:themeColor="text1"/>
          <w:lang w:val="es-ES"/>
        </w:rPr>
        <w:t>a</w:t>
      </w:r>
      <w:r w:rsidR="00B161B5" w:rsidRPr="009F5FB0">
        <w:rPr>
          <w:rFonts w:ascii="Book Antiqua" w:eastAsia="Book Antiqua" w:hAnsi="Book Antiqua" w:cs="Book Antiqua"/>
          <w:color w:val="000000" w:themeColor="text1"/>
          <w:lang w:val="es-ES"/>
        </w:rPr>
        <w:t>rtículo 3(d) de la Ley Núm. 77</w:t>
      </w:r>
      <w:r w:rsidR="00B161B5">
        <w:rPr>
          <w:rFonts w:ascii="Book Antiqua" w:eastAsia="Book Antiqua" w:hAnsi="Book Antiqua" w:cs="Book Antiqua"/>
          <w:color w:val="000000" w:themeColor="text1"/>
          <w:lang w:val="es-ES"/>
        </w:rPr>
        <w:t>-</w:t>
      </w:r>
      <w:r w:rsidR="00B161B5" w:rsidRPr="009F5FB0">
        <w:rPr>
          <w:rFonts w:ascii="Book Antiqua" w:eastAsia="Book Antiqua" w:hAnsi="Book Antiqua" w:cs="Book Antiqua"/>
          <w:color w:val="000000" w:themeColor="text1"/>
          <w:lang w:val="es-ES"/>
        </w:rPr>
        <w:t>1964</w:t>
      </w:r>
      <w:r w:rsidR="00B161B5">
        <w:rPr>
          <w:rFonts w:ascii="Book Antiqua" w:eastAsia="Book Antiqua" w:hAnsi="Book Antiqua" w:cs="Book Antiqua"/>
          <w:color w:val="000000" w:themeColor="text1"/>
          <w:lang w:val="es-ES"/>
        </w:rPr>
        <w:t xml:space="preserve">. Nuestro Máximo Foro resolvió que </w:t>
      </w:r>
      <w:r w:rsidRPr="009F5FB0">
        <w:rPr>
          <w:rFonts w:ascii="Book Antiqua" w:eastAsia="Book Antiqua" w:hAnsi="Book Antiqua" w:cs="Book Antiqua"/>
          <w:color w:val="000000" w:themeColor="text1"/>
          <w:lang w:val="es-ES"/>
        </w:rPr>
        <w:t xml:space="preserve">el foro judicial en donde debe presentarse el recurso de revisión judicial lo es el Tribunal de Apelaciones de Puerto Rico. </w:t>
      </w:r>
      <w:r w:rsidR="00CF1322">
        <w:rPr>
          <w:rFonts w:ascii="Book Antiqua" w:eastAsia="Book Antiqua" w:hAnsi="Book Antiqua" w:cs="Book Antiqua"/>
          <w:color w:val="000000" w:themeColor="text1"/>
          <w:lang w:val="es-ES"/>
        </w:rPr>
        <w:t xml:space="preserve">A tales fines, esta medida tiene el propósito de atemperar el referido artículo de la </w:t>
      </w:r>
      <w:r w:rsidR="00D169A3" w:rsidRPr="00D169A3">
        <w:rPr>
          <w:rFonts w:ascii="Book Antiqua" w:eastAsia="Book Antiqua" w:hAnsi="Book Antiqua" w:cs="Book Antiqua"/>
          <w:color w:val="000000" w:themeColor="text1"/>
          <w:lang w:val="es-ES"/>
        </w:rPr>
        <w:t>Ley Antimonopolística</w:t>
      </w:r>
      <w:r w:rsidR="004A5149">
        <w:rPr>
          <w:rFonts w:ascii="Book Antiqua" w:eastAsia="Book Antiqua" w:hAnsi="Book Antiqua" w:cs="Book Antiqua"/>
          <w:color w:val="000000" w:themeColor="text1"/>
          <w:lang w:val="es-ES"/>
        </w:rPr>
        <w:t xml:space="preserve"> con la jurisprudencia reseñada.</w:t>
      </w:r>
    </w:p>
    <w:p w14:paraId="53C34D07" w14:textId="77777777" w:rsidR="009F5FB0" w:rsidRDefault="009F5FB0" w:rsidP="000F5399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2B2398EC" w14:textId="77777777" w:rsidR="009F5FB0" w:rsidRDefault="009F5FB0" w:rsidP="000F5399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54868DDF" w14:textId="0405ABEF" w:rsidR="00AF449A" w:rsidRDefault="00AE4FE1" w:rsidP="000F5399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>
        <w:rPr>
          <w:rFonts w:ascii="Book Antiqua" w:eastAsia="Book Antiqua" w:hAnsi="Book Antiqua" w:cs="Book Antiqua"/>
          <w:color w:val="000000" w:themeColor="text1"/>
          <w:lang w:val="es-ES"/>
        </w:rPr>
        <w:t>A continuación</w:t>
      </w:r>
      <w:r w:rsidR="000F5399">
        <w:rPr>
          <w:rFonts w:ascii="Book Antiqua" w:eastAsia="Book Antiqua" w:hAnsi="Book Antiqua" w:cs="Book Antiqua"/>
          <w:color w:val="000000" w:themeColor="text1"/>
          <w:lang w:val="es-ES"/>
        </w:rPr>
        <w:t>,</w:t>
      </w:r>
      <w:r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446951">
        <w:rPr>
          <w:rFonts w:ascii="Book Antiqua" w:eastAsia="Book Antiqua" w:hAnsi="Book Antiqua" w:cs="Book Antiqua"/>
          <w:color w:val="000000" w:themeColor="text1"/>
          <w:lang w:val="es-ES"/>
        </w:rPr>
        <w:t xml:space="preserve">se </w:t>
      </w:r>
      <w:r w:rsidR="00322C82">
        <w:rPr>
          <w:rFonts w:ascii="Book Antiqua" w:eastAsia="Book Antiqua" w:hAnsi="Book Antiqua" w:cs="Book Antiqua"/>
          <w:color w:val="000000" w:themeColor="text1"/>
          <w:lang w:val="es-ES"/>
        </w:rPr>
        <w:t xml:space="preserve">resumen </w:t>
      </w:r>
      <w:r>
        <w:rPr>
          <w:rFonts w:ascii="Book Antiqua" w:eastAsia="Book Antiqua" w:hAnsi="Book Antiqua" w:cs="Book Antiqua"/>
          <w:color w:val="000000" w:themeColor="text1"/>
          <w:lang w:val="es-ES"/>
        </w:rPr>
        <w:t>l</w:t>
      </w:r>
      <w:r w:rsidR="00164E0B" w:rsidRPr="00D40BB5">
        <w:rPr>
          <w:rFonts w:ascii="Book Antiqua" w:eastAsia="Book Antiqua" w:hAnsi="Book Antiqua" w:cs="Book Antiqua"/>
          <w:color w:val="000000" w:themeColor="text1"/>
          <w:lang w:val="es-ES"/>
        </w:rPr>
        <w:t>os</w:t>
      </w:r>
      <w:r w:rsidR="00322C82">
        <w:rPr>
          <w:rFonts w:ascii="Book Antiqua" w:eastAsia="Book Antiqua" w:hAnsi="Book Antiqua" w:cs="Book Antiqua"/>
          <w:color w:val="000000" w:themeColor="text1"/>
          <w:lang w:val="es-ES"/>
        </w:rPr>
        <w:t xml:space="preserve"> memoriales que obran en el expediente de este proyecto</w:t>
      </w:r>
      <w:r>
        <w:rPr>
          <w:rFonts w:ascii="Book Antiqua" w:eastAsia="Book Antiqua" w:hAnsi="Book Antiqua" w:cs="Book Antiqua"/>
          <w:color w:val="000000" w:themeColor="text1"/>
          <w:lang w:val="es-ES"/>
        </w:rPr>
        <w:t>.</w:t>
      </w:r>
      <w:r w:rsidR="00164E0B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</w:p>
    <w:p w14:paraId="0DE1721F" w14:textId="1226E141" w:rsidR="00164E0B" w:rsidRDefault="00164E0B" w:rsidP="00562CFF">
      <w:pPr>
        <w:autoSpaceDE w:val="0"/>
        <w:autoSpaceDN w:val="0"/>
        <w:adjustRightInd w:val="0"/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E730A8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El </w:t>
      </w:r>
      <w:r w:rsidR="000F5399">
        <w:rPr>
          <w:rFonts w:ascii="Book Antiqua" w:hAnsi="Book Antiqua"/>
          <w:b/>
          <w:bCs/>
          <w:color w:val="000000"/>
          <w:szCs w:val="24"/>
          <w:shd w:val="clear" w:color="auto" w:fill="FFFFFF"/>
          <w:lang w:val="es-PR"/>
        </w:rPr>
        <w:t xml:space="preserve">Departamento de </w:t>
      </w:r>
      <w:r w:rsidR="00256B6A">
        <w:rPr>
          <w:rFonts w:ascii="Book Antiqua" w:hAnsi="Book Antiqua"/>
          <w:b/>
          <w:bCs/>
          <w:color w:val="000000"/>
          <w:szCs w:val="24"/>
          <w:shd w:val="clear" w:color="auto" w:fill="FFFFFF"/>
          <w:lang w:val="es-PR"/>
        </w:rPr>
        <w:t>Asuntos del Consumidor</w:t>
      </w:r>
      <w:r w:rsidR="000F5399">
        <w:rPr>
          <w:rFonts w:ascii="Book Antiqua" w:hAnsi="Book Antiqua"/>
          <w:b/>
          <w:bCs/>
          <w:color w:val="000000"/>
          <w:szCs w:val="24"/>
          <w:shd w:val="clear" w:color="auto" w:fill="FFFFFF"/>
          <w:lang w:val="es-PR"/>
        </w:rPr>
        <w:t xml:space="preserve"> </w:t>
      </w:r>
      <w:r w:rsidR="000F5399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(</w:t>
      </w:r>
      <w:r w:rsidR="00D40BB5" w:rsidRPr="00E730A8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D</w:t>
      </w:r>
      <w:r w:rsidR="00256B6A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ACO</w:t>
      </w:r>
      <w:r w:rsidR="000F5399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)</w:t>
      </w:r>
      <w:r w:rsidR="00D40BB5" w:rsidRPr="00E730A8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 exp</w:t>
      </w:r>
      <w:r w:rsidR="00182A3E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licó que </w:t>
      </w:r>
      <w:r w:rsidR="00620B76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la </w:t>
      </w:r>
      <w:r w:rsidR="00620B76" w:rsidRPr="009F5FB0">
        <w:rPr>
          <w:rFonts w:ascii="Book Antiqua" w:eastAsia="Book Antiqua" w:hAnsi="Book Antiqua" w:cs="Book Antiqua"/>
          <w:color w:val="000000" w:themeColor="text1"/>
          <w:lang w:val="es-ES"/>
        </w:rPr>
        <w:t>Ley Núm. 77</w:t>
      </w:r>
      <w:r w:rsidR="00620B76">
        <w:rPr>
          <w:rFonts w:ascii="Book Antiqua" w:eastAsia="Book Antiqua" w:hAnsi="Book Antiqua" w:cs="Book Antiqua"/>
          <w:color w:val="000000" w:themeColor="text1"/>
          <w:lang w:val="es-ES"/>
        </w:rPr>
        <w:t>-</w:t>
      </w:r>
      <w:r w:rsidR="00620B76" w:rsidRPr="009F5FB0">
        <w:rPr>
          <w:rFonts w:ascii="Book Antiqua" w:eastAsia="Book Antiqua" w:hAnsi="Book Antiqua" w:cs="Book Antiqua"/>
          <w:color w:val="000000" w:themeColor="text1"/>
          <w:lang w:val="es-ES"/>
        </w:rPr>
        <w:t>1964</w:t>
      </w:r>
      <w:r w:rsidR="00620B76">
        <w:rPr>
          <w:rFonts w:ascii="Book Antiqua" w:eastAsia="Book Antiqua" w:hAnsi="Book Antiqua" w:cs="Book Antiqua"/>
          <w:color w:val="000000" w:themeColor="text1"/>
          <w:lang w:val="es-ES"/>
        </w:rPr>
        <w:t>, artículo 3(c), le confiere jurisdicción para atender las querellas que presente la Oficina de Asuntos Monopolísticos</w:t>
      </w:r>
      <w:r w:rsidR="00D075BC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9B2B76">
        <w:rPr>
          <w:rFonts w:ascii="Book Antiqua" w:eastAsia="Book Antiqua" w:hAnsi="Book Antiqua" w:cs="Book Antiqua"/>
          <w:color w:val="000000" w:themeColor="text1"/>
          <w:lang w:val="es-ES"/>
        </w:rPr>
        <w:t xml:space="preserve">(OAM) </w:t>
      </w:r>
      <w:r w:rsidR="00D075BC">
        <w:rPr>
          <w:rFonts w:ascii="Book Antiqua" w:eastAsia="Book Antiqua" w:hAnsi="Book Antiqua" w:cs="Book Antiqua"/>
          <w:color w:val="000000" w:themeColor="text1"/>
          <w:lang w:val="es-ES"/>
        </w:rPr>
        <w:t xml:space="preserve">—adscrita al Departamento de Justicia. Por su parte, el artículo 3(d) </w:t>
      </w:r>
      <w:r w:rsidR="009B2B76">
        <w:rPr>
          <w:rFonts w:ascii="Book Antiqua" w:eastAsia="Book Antiqua" w:hAnsi="Book Antiqua" w:cs="Book Antiqua"/>
          <w:color w:val="000000" w:themeColor="text1"/>
          <w:lang w:val="es-ES"/>
        </w:rPr>
        <w:t>establece que la OAM</w:t>
      </w:r>
      <w:r w:rsidR="002A4F04">
        <w:rPr>
          <w:rFonts w:ascii="Book Antiqua" w:eastAsia="Book Antiqua" w:hAnsi="Book Antiqua" w:cs="Book Antiqua"/>
          <w:color w:val="000000" w:themeColor="text1"/>
          <w:lang w:val="es-ES"/>
        </w:rPr>
        <w:t xml:space="preserve"> o la parte querellada, podrán recurrir al Tribunal de Primera Instancia (TPI) </w:t>
      </w:r>
      <w:r w:rsidR="006354DA">
        <w:rPr>
          <w:rFonts w:ascii="Book Antiqua" w:eastAsia="Book Antiqua" w:hAnsi="Book Antiqua" w:cs="Book Antiqua"/>
          <w:color w:val="000000" w:themeColor="text1"/>
          <w:lang w:val="es-ES"/>
        </w:rPr>
        <w:t xml:space="preserve">de la determinación </w:t>
      </w:r>
      <w:r w:rsidR="00643F21">
        <w:rPr>
          <w:rFonts w:ascii="Book Antiqua" w:eastAsia="Book Antiqua" w:hAnsi="Book Antiqua" w:cs="Book Antiqua"/>
          <w:color w:val="000000" w:themeColor="text1"/>
          <w:lang w:val="es-ES"/>
        </w:rPr>
        <w:t xml:space="preserve">adjudicativa </w:t>
      </w:r>
      <w:r w:rsidR="006354DA">
        <w:rPr>
          <w:rFonts w:ascii="Book Antiqua" w:eastAsia="Book Antiqua" w:hAnsi="Book Antiqua" w:cs="Book Antiqua"/>
          <w:color w:val="000000" w:themeColor="text1"/>
          <w:lang w:val="es-ES"/>
        </w:rPr>
        <w:t>que el DACO emita sobre la querella.</w:t>
      </w:r>
    </w:p>
    <w:p w14:paraId="11613947" w14:textId="4A2B2581" w:rsidR="000A73AB" w:rsidRPr="00E730A8" w:rsidRDefault="000A73AB" w:rsidP="00562CFF">
      <w:pPr>
        <w:autoSpaceDE w:val="0"/>
        <w:autoSpaceDN w:val="0"/>
        <w:adjustRightInd w:val="0"/>
        <w:spacing w:after="120" w:line="288" w:lineRule="auto"/>
        <w:ind w:firstLine="720"/>
        <w:jc w:val="both"/>
        <w:rPr>
          <w:rFonts w:ascii="Book Antiqua" w:hAnsi="Book Antiqua" w:cs="Century"/>
          <w:iCs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ES"/>
        </w:rPr>
        <w:t xml:space="preserve">Según el DACO, </w:t>
      </w:r>
      <w:r w:rsidR="00E84E6F">
        <w:rPr>
          <w:rFonts w:ascii="Book Antiqua" w:eastAsia="Book Antiqua" w:hAnsi="Book Antiqua" w:cs="Book Antiqua"/>
          <w:color w:val="000000" w:themeColor="text1"/>
          <w:lang w:val="es-ES"/>
        </w:rPr>
        <w:t>el reseñado trámite revisorio creó confusión</w:t>
      </w:r>
      <w:r w:rsidR="00A83FA6">
        <w:rPr>
          <w:rFonts w:ascii="Book Antiqua" w:eastAsia="Book Antiqua" w:hAnsi="Book Antiqua" w:cs="Book Antiqua"/>
          <w:color w:val="000000" w:themeColor="text1"/>
          <w:lang w:val="es-ES"/>
        </w:rPr>
        <w:t xml:space="preserve"> en la clase togada. </w:t>
      </w:r>
      <w:r w:rsidR="00C704A5">
        <w:rPr>
          <w:rFonts w:ascii="Book Antiqua" w:eastAsia="Book Antiqua" w:hAnsi="Book Antiqua" w:cs="Book Antiqua"/>
          <w:color w:val="000000" w:themeColor="text1"/>
          <w:lang w:val="es-ES"/>
        </w:rPr>
        <w:t>Así, el DACO no tiene reparos en que se atempere el</w:t>
      </w:r>
      <w:r w:rsidR="00643F21">
        <w:rPr>
          <w:rFonts w:ascii="Book Antiqua" w:eastAsia="Book Antiqua" w:hAnsi="Book Antiqua" w:cs="Book Antiqua"/>
          <w:color w:val="000000" w:themeColor="text1"/>
          <w:lang w:val="es-ES"/>
        </w:rPr>
        <w:t xml:space="preserve"> artículo 3(d) </w:t>
      </w:r>
      <w:r w:rsidR="00626F91">
        <w:rPr>
          <w:rFonts w:ascii="Book Antiqua" w:eastAsia="Book Antiqua" w:hAnsi="Book Antiqua" w:cs="Book Antiqua"/>
          <w:color w:val="000000" w:themeColor="text1"/>
          <w:lang w:val="es-ES"/>
        </w:rPr>
        <w:t>con lo que resolvió el Tribunal Supremo.</w:t>
      </w:r>
      <w:r w:rsidR="00C704A5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</w:p>
    <w:p w14:paraId="4804C542" w14:textId="65F49DFA" w:rsidR="009E44D3" w:rsidRDefault="007D4BA2" w:rsidP="00B163B8">
      <w:pPr>
        <w:tabs>
          <w:tab w:val="left" w:pos="8460"/>
        </w:tabs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E8271A">
        <w:rPr>
          <w:rFonts w:ascii="Book Antiqua" w:eastAsia="Book Antiqua" w:hAnsi="Book Antiqua" w:cs="Book Antiqua"/>
          <w:color w:val="000000" w:themeColor="text1"/>
          <w:lang w:val="es-ES"/>
        </w:rPr>
        <w:t xml:space="preserve">El </w:t>
      </w:r>
      <w:r w:rsidRPr="00E8271A">
        <w:rPr>
          <w:rFonts w:ascii="Book Antiqua" w:eastAsia="Book Antiqua" w:hAnsi="Book Antiqua" w:cs="Book Antiqua"/>
          <w:b/>
          <w:bCs/>
          <w:color w:val="000000" w:themeColor="text1"/>
          <w:lang w:val="es-ES"/>
        </w:rPr>
        <w:t>Departamento de Justicia</w:t>
      </w:r>
      <w:r w:rsidRPr="00E8271A">
        <w:rPr>
          <w:rFonts w:ascii="Book Antiqua" w:eastAsia="Book Antiqua" w:hAnsi="Book Antiqua" w:cs="Book Antiqua"/>
          <w:color w:val="000000" w:themeColor="text1"/>
          <w:lang w:val="es-ES"/>
        </w:rPr>
        <w:t xml:space="preserve"> (Justicia) </w:t>
      </w:r>
      <w:r w:rsidR="008040E7" w:rsidRPr="00E8271A">
        <w:rPr>
          <w:rFonts w:ascii="Book Antiqua" w:eastAsia="Book Antiqua" w:hAnsi="Book Antiqua" w:cs="Book Antiqua"/>
          <w:color w:val="000000" w:themeColor="text1"/>
          <w:lang w:val="es-ES"/>
        </w:rPr>
        <w:t>hizo un recuento de las leyes federales antimonopolísticas</w:t>
      </w:r>
      <w:r w:rsidR="00E8271A" w:rsidRPr="00E8271A">
        <w:rPr>
          <w:rFonts w:ascii="Book Antiqua" w:eastAsia="Book Antiqua" w:hAnsi="Book Antiqua" w:cs="Book Antiqua"/>
          <w:color w:val="000000" w:themeColor="text1"/>
          <w:lang w:val="es-ES"/>
        </w:rPr>
        <w:t>:</w:t>
      </w:r>
      <w:r w:rsidR="00FF25C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FF25C4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Sherman Antitrust </w:t>
      </w:r>
      <w:proofErr w:type="spellStart"/>
      <w:r w:rsidR="00FF25C4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Act</w:t>
      </w:r>
      <w:proofErr w:type="spellEnd"/>
      <w:r w:rsidR="008E4160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proofErr w:type="spellStart"/>
      <w:r w:rsidR="00FF25C4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of</w:t>
      </w:r>
      <w:proofErr w:type="spellEnd"/>
      <w:r w:rsidR="00FF25C4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1890; </w:t>
      </w:r>
      <w:r w:rsidR="00FC73DF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Clayton Antitrust </w:t>
      </w:r>
      <w:proofErr w:type="spellStart"/>
      <w:r w:rsidR="00FC73DF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Act</w:t>
      </w:r>
      <w:proofErr w:type="spellEnd"/>
      <w:r w:rsidR="008E4160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proofErr w:type="spellStart"/>
      <w:r w:rsidR="00FC73DF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of</w:t>
      </w:r>
      <w:proofErr w:type="spellEnd"/>
      <w:r w:rsidR="00FC73DF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1914; </w:t>
      </w:r>
      <w:r w:rsidR="00FC73DF">
        <w:rPr>
          <w:rFonts w:ascii="Book Antiqua" w:eastAsia="Book Antiqua" w:hAnsi="Book Antiqua" w:cs="Book Antiqua"/>
          <w:color w:val="000000" w:themeColor="text1"/>
          <w:lang w:val="es-ES"/>
        </w:rPr>
        <w:t xml:space="preserve">y el </w:t>
      </w:r>
      <w:r w:rsidR="00FC73DF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Federal </w:t>
      </w:r>
      <w:proofErr w:type="spellStart"/>
      <w:r w:rsidR="00FC73DF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Trade</w:t>
      </w:r>
      <w:proofErr w:type="spellEnd"/>
      <w:r w:rsidR="00FC73DF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proofErr w:type="spellStart"/>
      <w:r w:rsidR="00FC73DF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Comission</w:t>
      </w:r>
      <w:proofErr w:type="spellEnd"/>
      <w:r w:rsidR="00FC73DF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proofErr w:type="spellStart"/>
      <w:r w:rsidR="00FC73DF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Act</w:t>
      </w:r>
      <w:proofErr w:type="spellEnd"/>
      <w:r w:rsidR="00AA2DF3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. </w:t>
      </w:r>
      <w:r w:rsidR="00D131BB">
        <w:rPr>
          <w:rFonts w:ascii="Book Antiqua" w:eastAsia="Book Antiqua" w:hAnsi="Book Antiqua" w:cs="Book Antiqua"/>
          <w:color w:val="000000" w:themeColor="text1"/>
          <w:lang w:val="es-ES"/>
        </w:rPr>
        <w:t xml:space="preserve">Justicia también </w:t>
      </w:r>
      <w:r w:rsidR="00C27C99">
        <w:rPr>
          <w:rFonts w:ascii="Book Antiqua" w:eastAsia="Book Antiqua" w:hAnsi="Book Antiqua" w:cs="Book Antiqua"/>
          <w:color w:val="000000" w:themeColor="text1"/>
          <w:lang w:val="es-ES"/>
        </w:rPr>
        <w:t xml:space="preserve">explicó las funciones de la OAM —similares a las del </w:t>
      </w:r>
      <w:r w:rsidR="00C27C9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Federal </w:t>
      </w:r>
      <w:proofErr w:type="spellStart"/>
      <w:r w:rsidR="00C27C9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Trade</w:t>
      </w:r>
      <w:proofErr w:type="spellEnd"/>
      <w:r w:rsidR="00C27C9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proofErr w:type="spellStart"/>
      <w:r w:rsidR="00C27C9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Comission</w:t>
      </w:r>
      <w:proofErr w:type="spellEnd"/>
      <w:r w:rsidR="00C27C9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6922E6">
        <w:rPr>
          <w:rFonts w:ascii="Book Antiqua" w:eastAsia="Book Antiqua" w:hAnsi="Book Antiqua" w:cs="Book Antiqua"/>
          <w:color w:val="000000" w:themeColor="text1"/>
          <w:lang w:val="es-ES"/>
        </w:rPr>
        <w:t xml:space="preserve">en asuntos monopolísticos. En </w:t>
      </w:r>
      <w:r w:rsidR="009E44D3">
        <w:rPr>
          <w:rFonts w:ascii="Book Antiqua" w:eastAsia="Book Antiqua" w:hAnsi="Book Antiqua" w:cs="Book Antiqua"/>
          <w:color w:val="000000" w:themeColor="text1"/>
          <w:lang w:val="es-ES"/>
        </w:rPr>
        <w:t xml:space="preserve">cuanto a </w:t>
      </w:r>
      <w:r w:rsidR="009E44D3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la </w:t>
      </w:r>
      <w:r w:rsidR="009E44D3" w:rsidRPr="009F5FB0">
        <w:rPr>
          <w:rFonts w:ascii="Book Antiqua" w:eastAsia="Book Antiqua" w:hAnsi="Book Antiqua" w:cs="Book Antiqua"/>
          <w:color w:val="000000" w:themeColor="text1"/>
          <w:lang w:val="es-ES"/>
        </w:rPr>
        <w:t>Ley Núm. 77</w:t>
      </w:r>
      <w:r w:rsidR="009E44D3">
        <w:rPr>
          <w:rFonts w:ascii="Book Antiqua" w:eastAsia="Book Antiqua" w:hAnsi="Book Antiqua" w:cs="Book Antiqua"/>
          <w:color w:val="000000" w:themeColor="text1"/>
          <w:lang w:val="es-ES"/>
        </w:rPr>
        <w:t>-</w:t>
      </w:r>
      <w:r w:rsidR="009E44D3" w:rsidRPr="009F5FB0">
        <w:rPr>
          <w:rFonts w:ascii="Book Antiqua" w:eastAsia="Book Antiqua" w:hAnsi="Book Antiqua" w:cs="Book Antiqua"/>
          <w:color w:val="000000" w:themeColor="text1"/>
          <w:lang w:val="es-ES"/>
        </w:rPr>
        <w:t>1964</w:t>
      </w:r>
      <w:r w:rsidR="009E44D3">
        <w:rPr>
          <w:rFonts w:ascii="Book Antiqua" w:eastAsia="Book Antiqua" w:hAnsi="Book Antiqua" w:cs="Book Antiqua"/>
          <w:color w:val="000000" w:themeColor="text1"/>
          <w:lang w:val="es-ES"/>
        </w:rPr>
        <w:t xml:space="preserve">, artículo 3(d), Justicia </w:t>
      </w:r>
      <w:r w:rsidR="00C753E5">
        <w:rPr>
          <w:rFonts w:ascii="Book Antiqua" w:eastAsia="Book Antiqua" w:hAnsi="Book Antiqua" w:cs="Book Antiqua"/>
          <w:color w:val="000000" w:themeColor="text1"/>
          <w:lang w:val="es-ES"/>
        </w:rPr>
        <w:t>señaló</w:t>
      </w:r>
      <w:r w:rsidR="009E44D3">
        <w:rPr>
          <w:rFonts w:ascii="Book Antiqua" w:eastAsia="Book Antiqua" w:hAnsi="Book Antiqua" w:cs="Book Antiqua"/>
          <w:color w:val="000000" w:themeColor="text1"/>
          <w:lang w:val="es-ES"/>
        </w:rPr>
        <w:t xml:space="preserve"> que </w:t>
      </w:r>
      <w:r w:rsidR="00C753E5">
        <w:rPr>
          <w:rFonts w:ascii="Book Antiqua" w:eastAsia="Book Antiqua" w:hAnsi="Book Antiqua" w:cs="Book Antiqua"/>
          <w:color w:val="000000" w:themeColor="text1"/>
          <w:lang w:val="es-ES"/>
        </w:rPr>
        <w:t xml:space="preserve">este contiene un trámite procesal </w:t>
      </w:r>
      <w:r w:rsidR="00545FA9">
        <w:rPr>
          <w:rFonts w:ascii="Book Antiqua" w:eastAsia="Book Antiqua" w:hAnsi="Book Antiqua" w:cs="Book Antiqua"/>
          <w:color w:val="000000" w:themeColor="text1"/>
          <w:lang w:val="es-ES"/>
        </w:rPr>
        <w:t>anterior al de la Ley Núm. 38-2017</w:t>
      </w:r>
      <w:r w:rsidR="00C7454F">
        <w:rPr>
          <w:rFonts w:ascii="Book Antiqua" w:eastAsia="Book Antiqua" w:hAnsi="Book Antiqua" w:cs="Book Antiqua"/>
          <w:color w:val="000000" w:themeColor="text1"/>
          <w:lang w:val="es-ES"/>
        </w:rPr>
        <w:t>, sección 4.2</w:t>
      </w:r>
      <w:r w:rsidR="006F5C6D">
        <w:rPr>
          <w:rFonts w:ascii="Book Antiqua" w:eastAsia="Book Antiqua" w:hAnsi="Book Antiqua" w:cs="Book Antiqua"/>
          <w:color w:val="000000" w:themeColor="text1"/>
          <w:lang w:val="es-ES"/>
        </w:rPr>
        <w:t>.</w:t>
      </w:r>
      <w:r w:rsidR="00CA2EBF">
        <w:rPr>
          <w:rStyle w:val="FootnoteReference"/>
          <w:rFonts w:ascii="Book Antiqua" w:eastAsia="Book Antiqua" w:hAnsi="Book Antiqua" w:cs="Book Antiqua"/>
          <w:color w:val="000000" w:themeColor="text1"/>
          <w:lang w:val="es-ES"/>
        </w:rPr>
        <w:footnoteReference w:id="3"/>
      </w:r>
      <w:r w:rsidR="009E44D3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C7454F">
        <w:rPr>
          <w:rFonts w:ascii="Book Antiqua" w:eastAsia="Book Antiqua" w:hAnsi="Book Antiqua" w:cs="Book Antiqua"/>
          <w:color w:val="000000" w:themeColor="text1"/>
          <w:lang w:val="es-ES"/>
        </w:rPr>
        <w:t xml:space="preserve">Así </w:t>
      </w:r>
      <w:r w:rsidR="00E350DA">
        <w:rPr>
          <w:rFonts w:ascii="Book Antiqua" w:eastAsia="Book Antiqua" w:hAnsi="Book Antiqua" w:cs="Book Antiqua"/>
          <w:color w:val="000000" w:themeColor="text1"/>
          <w:lang w:val="es-ES"/>
        </w:rPr>
        <w:t xml:space="preserve">el Tribunal Supremo </w:t>
      </w:r>
      <w:r w:rsidR="00BC19CD">
        <w:rPr>
          <w:rFonts w:ascii="Book Antiqua" w:eastAsia="Book Antiqua" w:hAnsi="Book Antiqua" w:cs="Book Antiqua"/>
          <w:color w:val="000000" w:themeColor="text1"/>
          <w:lang w:val="es-ES"/>
        </w:rPr>
        <w:t xml:space="preserve">armonizó el trámite revisorio de la </w:t>
      </w:r>
      <w:r w:rsidR="00BC19CD" w:rsidRPr="009F5FB0">
        <w:rPr>
          <w:rFonts w:ascii="Book Antiqua" w:eastAsia="Book Antiqua" w:hAnsi="Book Antiqua" w:cs="Book Antiqua"/>
          <w:color w:val="000000" w:themeColor="text1"/>
          <w:lang w:val="es-ES"/>
        </w:rPr>
        <w:t>Ley Núm. 77</w:t>
      </w:r>
      <w:r w:rsidR="00BC19CD">
        <w:rPr>
          <w:rFonts w:ascii="Book Antiqua" w:eastAsia="Book Antiqua" w:hAnsi="Book Antiqua" w:cs="Book Antiqua"/>
          <w:color w:val="000000" w:themeColor="text1"/>
          <w:lang w:val="es-ES"/>
        </w:rPr>
        <w:t>-</w:t>
      </w:r>
      <w:r w:rsidR="00BC19CD" w:rsidRPr="009F5FB0">
        <w:rPr>
          <w:rFonts w:ascii="Book Antiqua" w:eastAsia="Book Antiqua" w:hAnsi="Book Antiqua" w:cs="Book Antiqua"/>
          <w:color w:val="000000" w:themeColor="text1"/>
          <w:lang w:val="es-ES"/>
        </w:rPr>
        <w:t>1964</w:t>
      </w:r>
      <w:r w:rsidR="00D21B3D">
        <w:rPr>
          <w:rFonts w:ascii="Book Antiqua" w:eastAsia="Book Antiqua" w:hAnsi="Book Antiqua" w:cs="Book Antiqua"/>
          <w:color w:val="000000" w:themeColor="text1"/>
          <w:lang w:val="es-ES"/>
        </w:rPr>
        <w:t xml:space="preserve"> con el resto del ordenamiento </w:t>
      </w:r>
      <w:r w:rsidR="00263828">
        <w:rPr>
          <w:rFonts w:ascii="Book Antiqua" w:eastAsia="Book Antiqua" w:hAnsi="Book Antiqua" w:cs="Book Antiqua"/>
          <w:color w:val="000000" w:themeColor="text1"/>
          <w:lang w:val="es-ES"/>
        </w:rPr>
        <w:t>aplicable en materia de derecho administrativo.</w:t>
      </w:r>
      <w:r w:rsidR="00A3468C">
        <w:rPr>
          <w:rFonts w:ascii="Book Antiqua" w:eastAsia="Book Antiqua" w:hAnsi="Book Antiqua" w:cs="Book Antiqua"/>
          <w:color w:val="000000" w:themeColor="text1"/>
          <w:lang w:val="es-ES"/>
        </w:rPr>
        <w:t xml:space="preserve"> Así, Justicia no encontró </w:t>
      </w:r>
      <w:r w:rsidR="0027219E">
        <w:rPr>
          <w:rFonts w:ascii="Book Antiqua" w:eastAsia="Book Antiqua" w:hAnsi="Book Antiqua" w:cs="Book Antiqua"/>
          <w:color w:val="000000" w:themeColor="text1"/>
          <w:lang w:val="es-ES"/>
        </w:rPr>
        <w:t>impedimento legal alguno para que el P. de la C. 1078 continúe su trámite legislativo.</w:t>
      </w:r>
    </w:p>
    <w:p w14:paraId="610DDE2E" w14:textId="0F340D3D" w:rsidR="009E44D3" w:rsidRDefault="00B163B8" w:rsidP="001C375A">
      <w:pPr>
        <w:tabs>
          <w:tab w:val="left" w:pos="8460"/>
        </w:tabs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>
        <w:rPr>
          <w:rFonts w:ascii="Book Antiqua" w:eastAsia="Book Antiqua" w:hAnsi="Book Antiqua" w:cs="Book Antiqua"/>
          <w:color w:val="000000" w:themeColor="text1"/>
          <w:lang w:val="es-ES"/>
        </w:rPr>
        <w:t xml:space="preserve">Por último, </w:t>
      </w:r>
      <w:r w:rsidR="00436DB2">
        <w:rPr>
          <w:rFonts w:ascii="Book Antiqua" w:eastAsia="Book Antiqua" w:hAnsi="Book Antiqua" w:cs="Book Antiqua"/>
          <w:color w:val="000000" w:themeColor="text1"/>
          <w:lang w:val="es-ES"/>
        </w:rPr>
        <w:t>l</w:t>
      </w:r>
      <w:r w:rsidR="00436DB2" w:rsidRPr="00436DB2">
        <w:rPr>
          <w:rFonts w:ascii="Book Antiqua" w:eastAsia="Book Antiqua" w:hAnsi="Book Antiqua" w:cs="Book Antiqua"/>
          <w:color w:val="000000" w:themeColor="text1"/>
          <w:lang w:val="es-ES"/>
        </w:rPr>
        <w:t xml:space="preserve">a </w:t>
      </w:r>
      <w:r w:rsidR="00436DB2" w:rsidRPr="00436DB2">
        <w:rPr>
          <w:rFonts w:ascii="Book Antiqua" w:eastAsia="Book Antiqua" w:hAnsi="Book Antiqua" w:cs="Book Antiqua"/>
          <w:b/>
          <w:bCs/>
          <w:color w:val="000000" w:themeColor="text1"/>
          <w:lang w:val="es-ES"/>
        </w:rPr>
        <w:t>Asociación de Comercio al Detal de Puerto Rico</w:t>
      </w:r>
      <w:r w:rsidR="00436DB2" w:rsidRPr="00436DB2">
        <w:rPr>
          <w:rFonts w:ascii="Book Antiqua" w:eastAsia="Book Antiqua" w:hAnsi="Book Antiqua" w:cs="Book Antiqua"/>
          <w:color w:val="000000" w:themeColor="text1"/>
          <w:lang w:val="es-ES"/>
        </w:rPr>
        <w:t xml:space="preserve"> (A</w:t>
      </w:r>
      <w:r w:rsidR="00436DB2">
        <w:rPr>
          <w:rFonts w:ascii="Book Antiqua" w:eastAsia="Book Antiqua" w:hAnsi="Book Antiqua" w:cs="Book Antiqua"/>
          <w:color w:val="000000" w:themeColor="text1"/>
          <w:lang w:val="es-ES"/>
        </w:rPr>
        <w:t>sociación</w:t>
      </w:r>
      <w:r w:rsidR="00436DB2" w:rsidRPr="00436DB2">
        <w:rPr>
          <w:rFonts w:ascii="Book Antiqua" w:eastAsia="Book Antiqua" w:hAnsi="Book Antiqua" w:cs="Book Antiqua"/>
          <w:color w:val="000000" w:themeColor="text1"/>
          <w:lang w:val="es-ES"/>
        </w:rPr>
        <w:t>)</w:t>
      </w:r>
      <w:r w:rsidR="00B35057">
        <w:rPr>
          <w:rFonts w:ascii="Book Antiqua" w:eastAsia="Book Antiqua" w:hAnsi="Book Antiqua" w:cs="Book Antiqua"/>
          <w:color w:val="000000" w:themeColor="text1"/>
          <w:lang w:val="es-ES"/>
        </w:rPr>
        <w:t xml:space="preserve"> se opuso a la medida, pues entiende que </w:t>
      </w:r>
      <w:r w:rsidR="00415056">
        <w:rPr>
          <w:rFonts w:ascii="Book Antiqua" w:eastAsia="Book Antiqua" w:hAnsi="Book Antiqua" w:cs="Book Antiqua"/>
          <w:color w:val="000000" w:themeColor="text1"/>
          <w:lang w:val="es-ES"/>
        </w:rPr>
        <w:t>puede generar incertidumbre práctica</w:t>
      </w:r>
      <w:r w:rsidR="00AF10DE">
        <w:rPr>
          <w:rFonts w:ascii="Book Antiqua" w:eastAsia="Book Antiqua" w:hAnsi="Book Antiqua" w:cs="Book Antiqua"/>
          <w:color w:val="000000" w:themeColor="text1"/>
          <w:lang w:val="es-ES"/>
        </w:rPr>
        <w:t xml:space="preserve"> si futuras enmiendas a la Ley Núm. 38-2017 alteran el esquema de revisión administrativa. </w:t>
      </w:r>
      <w:r w:rsidR="00965AFD">
        <w:rPr>
          <w:rFonts w:ascii="Book Antiqua" w:eastAsia="Book Antiqua" w:hAnsi="Book Antiqua" w:cs="Book Antiqua"/>
          <w:color w:val="000000" w:themeColor="text1"/>
          <w:lang w:val="es-ES"/>
        </w:rPr>
        <w:t xml:space="preserve">Para la Asociación, es esencial que el </w:t>
      </w:r>
      <w:r w:rsidR="00965AFD" w:rsidRPr="00965AFD">
        <w:rPr>
          <w:rFonts w:ascii="Book Antiqua" w:eastAsia="Book Antiqua" w:hAnsi="Book Antiqua" w:cs="Book Antiqua"/>
          <w:color w:val="000000" w:themeColor="text1"/>
          <w:lang w:val="es-ES"/>
        </w:rPr>
        <w:t>proceso</w:t>
      </w:r>
      <w:r w:rsidR="00965AFD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965AFD" w:rsidRPr="00965AFD">
        <w:rPr>
          <w:rFonts w:ascii="Book Antiqua" w:eastAsia="Book Antiqua" w:hAnsi="Book Antiqua" w:cs="Book Antiqua"/>
          <w:color w:val="000000" w:themeColor="text1"/>
          <w:lang w:val="es-ES"/>
        </w:rPr>
        <w:t xml:space="preserve">administrativo asegure oportunidades </w:t>
      </w:r>
      <w:r w:rsidR="00FC31B7" w:rsidRPr="00965AFD">
        <w:rPr>
          <w:rFonts w:ascii="Book Antiqua" w:eastAsia="Book Antiqua" w:hAnsi="Book Antiqua" w:cs="Book Antiqua"/>
          <w:color w:val="000000" w:themeColor="text1"/>
          <w:lang w:val="es-ES"/>
        </w:rPr>
        <w:t>para presentar</w:t>
      </w:r>
      <w:r w:rsidR="00965AFD" w:rsidRPr="00965AFD">
        <w:rPr>
          <w:rFonts w:ascii="Book Antiqua" w:eastAsia="Book Antiqua" w:hAnsi="Book Antiqua" w:cs="Book Antiqua"/>
          <w:color w:val="000000" w:themeColor="text1"/>
          <w:lang w:val="es-ES"/>
        </w:rPr>
        <w:t xml:space="preserve"> evidencia —</w:t>
      </w:r>
      <w:r w:rsidR="00965AFD">
        <w:rPr>
          <w:rFonts w:ascii="Book Antiqua" w:eastAsia="Book Antiqua" w:hAnsi="Book Antiqua" w:cs="Book Antiqua"/>
          <w:color w:val="000000" w:themeColor="text1"/>
          <w:lang w:val="es-ES"/>
        </w:rPr>
        <w:t xml:space="preserve">lo cual </w:t>
      </w:r>
      <w:r w:rsidR="00965AFD" w:rsidRPr="00965AFD">
        <w:rPr>
          <w:rFonts w:ascii="Book Antiqua" w:eastAsia="Book Antiqua" w:hAnsi="Book Antiqua" w:cs="Book Antiqua"/>
          <w:color w:val="000000" w:themeColor="text1"/>
          <w:lang w:val="es-ES"/>
        </w:rPr>
        <w:t>incluye prueba pericial, la participación de las partes, el manejo transparente del expediente y las</w:t>
      </w:r>
      <w:r w:rsidR="00E0348B">
        <w:rPr>
          <w:rFonts w:ascii="Book Antiqua" w:eastAsia="Book Antiqua" w:hAnsi="Book Antiqua" w:cs="Book Antiqua"/>
          <w:color w:val="000000" w:themeColor="text1"/>
          <w:lang w:val="es-ES"/>
        </w:rPr>
        <w:t xml:space="preserve"> demás</w:t>
      </w:r>
      <w:r w:rsidR="00965AFD" w:rsidRPr="00965AFD">
        <w:rPr>
          <w:rFonts w:ascii="Book Antiqua" w:eastAsia="Book Antiqua" w:hAnsi="Book Antiqua" w:cs="Book Antiqua"/>
          <w:color w:val="000000" w:themeColor="text1"/>
          <w:lang w:val="es-ES"/>
        </w:rPr>
        <w:t xml:space="preserve"> garantías de</w:t>
      </w:r>
      <w:r w:rsidR="00E0348B">
        <w:rPr>
          <w:rFonts w:ascii="Book Antiqua" w:eastAsia="Book Antiqua" w:hAnsi="Book Antiqua" w:cs="Book Antiqua"/>
          <w:color w:val="000000" w:themeColor="text1"/>
          <w:lang w:val="es-ES"/>
        </w:rPr>
        <w:t>l</w:t>
      </w:r>
      <w:r w:rsidR="00965AFD" w:rsidRPr="00965AFD">
        <w:rPr>
          <w:rFonts w:ascii="Book Antiqua" w:eastAsia="Book Antiqua" w:hAnsi="Book Antiqua" w:cs="Book Antiqua"/>
          <w:color w:val="000000" w:themeColor="text1"/>
          <w:lang w:val="es-ES"/>
        </w:rPr>
        <w:t xml:space="preserve"> debido proceso</w:t>
      </w:r>
      <w:r w:rsidR="00E0348B">
        <w:rPr>
          <w:rFonts w:ascii="Book Antiqua" w:eastAsia="Book Antiqua" w:hAnsi="Book Antiqua" w:cs="Book Antiqua"/>
          <w:color w:val="000000" w:themeColor="text1"/>
          <w:lang w:val="es-ES"/>
        </w:rPr>
        <w:t>.</w:t>
      </w:r>
      <w:r w:rsidR="00FC31B7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B03FA0">
        <w:rPr>
          <w:rFonts w:ascii="Book Antiqua" w:eastAsia="Book Antiqua" w:hAnsi="Book Antiqua" w:cs="Book Antiqua"/>
          <w:color w:val="000000" w:themeColor="text1"/>
          <w:lang w:val="es-ES"/>
        </w:rPr>
        <w:t>Q</w:t>
      </w:r>
      <w:r w:rsidR="001C375A" w:rsidRPr="001C375A">
        <w:rPr>
          <w:rFonts w:ascii="Book Antiqua" w:eastAsia="Book Antiqua" w:hAnsi="Book Antiqua" w:cs="Book Antiqua"/>
          <w:color w:val="000000" w:themeColor="text1"/>
          <w:lang w:val="es-ES"/>
        </w:rPr>
        <w:t>ue el diseño institucional</w:t>
      </w:r>
      <w:r w:rsidR="001C375A">
        <w:rPr>
          <w:rFonts w:ascii="Book Antiqua" w:eastAsia="Book Antiqua" w:hAnsi="Book Antiqua" w:cs="Book Antiqua"/>
          <w:color w:val="000000" w:themeColor="text1"/>
          <w:lang w:val="es-ES"/>
        </w:rPr>
        <w:t xml:space="preserve"> debe</w:t>
      </w:r>
      <w:r w:rsidR="001C375A" w:rsidRPr="001C375A">
        <w:rPr>
          <w:rFonts w:ascii="Book Antiqua" w:eastAsia="Book Antiqua" w:hAnsi="Book Antiqua" w:cs="Book Antiqua"/>
          <w:color w:val="000000" w:themeColor="text1"/>
          <w:lang w:val="es-ES"/>
        </w:rPr>
        <w:t xml:space="preserve"> preserv</w:t>
      </w:r>
      <w:r w:rsidR="001C375A">
        <w:rPr>
          <w:rFonts w:ascii="Book Antiqua" w:eastAsia="Book Antiqua" w:hAnsi="Book Antiqua" w:cs="Book Antiqua"/>
          <w:color w:val="000000" w:themeColor="text1"/>
          <w:lang w:val="es-ES"/>
        </w:rPr>
        <w:t>ar</w:t>
      </w:r>
      <w:r w:rsidR="001C375A" w:rsidRPr="001C375A">
        <w:rPr>
          <w:rFonts w:ascii="Book Antiqua" w:eastAsia="Book Antiqua" w:hAnsi="Book Antiqua" w:cs="Book Antiqua"/>
          <w:color w:val="000000" w:themeColor="text1"/>
          <w:lang w:val="es-ES"/>
        </w:rPr>
        <w:t xml:space="preserve"> un equilibrio</w:t>
      </w:r>
      <w:r w:rsidR="001C375A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1C375A" w:rsidRPr="001C375A">
        <w:rPr>
          <w:rFonts w:ascii="Book Antiqua" w:eastAsia="Book Antiqua" w:hAnsi="Book Antiqua" w:cs="Book Antiqua"/>
          <w:color w:val="000000" w:themeColor="text1"/>
          <w:lang w:val="es-ES"/>
        </w:rPr>
        <w:t xml:space="preserve">entre las funciones investigativas, acusatorias y adjudicativas, </w:t>
      </w:r>
      <w:r w:rsidR="00ED4DE6">
        <w:rPr>
          <w:rFonts w:ascii="Book Antiqua" w:eastAsia="Book Antiqua" w:hAnsi="Book Antiqua" w:cs="Book Antiqua"/>
          <w:color w:val="000000" w:themeColor="text1"/>
          <w:lang w:val="es-ES"/>
        </w:rPr>
        <w:t xml:space="preserve">con </w:t>
      </w:r>
      <w:r w:rsidR="001C375A" w:rsidRPr="001C375A">
        <w:rPr>
          <w:rFonts w:ascii="Book Antiqua" w:eastAsia="Book Antiqua" w:hAnsi="Book Antiqua" w:cs="Book Antiqua"/>
          <w:color w:val="000000" w:themeColor="text1"/>
          <w:lang w:val="es-ES"/>
        </w:rPr>
        <w:t>la percepción de</w:t>
      </w:r>
      <w:r w:rsidR="00ED4DE6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ED4DE6" w:rsidRPr="00ED4DE6">
        <w:rPr>
          <w:rFonts w:ascii="Book Antiqua" w:eastAsia="Book Antiqua" w:hAnsi="Book Antiqua" w:cs="Book Antiqua"/>
          <w:color w:val="000000" w:themeColor="text1"/>
          <w:lang w:val="es-ES"/>
        </w:rPr>
        <w:t>imparcialidad en el proceso administrativo</w:t>
      </w:r>
      <w:r w:rsidR="00ED4DE6">
        <w:rPr>
          <w:rFonts w:ascii="Book Antiqua" w:eastAsia="Book Antiqua" w:hAnsi="Book Antiqua" w:cs="Book Antiqua"/>
          <w:color w:val="000000" w:themeColor="text1"/>
          <w:lang w:val="es-ES"/>
        </w:rPr>
        <w:t>.</w:t>
      </w:r>
    </w:p>
    <w:p w14:paraId="1B699EC8" w14:textId="3B36D971" w:rsidR="00ED4DE6" w:rsidRDefault="00B03FA0" w:rsidP="001C375A">
      <w:pPr>
        <w:tabs>
          <w:tab w:val="left" w:pos="8460"/>
        </w:tabs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>
        <w:rPr>
          <w:rFonts w:ascii="Book Antiqua" w:eastAsia="Book Antiqua" w:hAnsi="Book Antiqua" w:cs="Book Antiqua"/>
          <w:color w:val="000000" w:themeColor="text1"/>
          <w:lang w:val="es-ES"/>
        </w:rPr>
        <w:t xml:space="preserve">La Asociación entiende que sus planteamientos son esenciales para la sana competencia y desarrollo económico. </w:t>
      </w:r>
      <w:r w:rsidR="00AC746A">
        <w:rPr>
          <w:rFonts w:ascii="Book Antiqua" w:eastAsia="Book Antiqua" w:hAnsi="Book Antiqua" w:cs="Book Antiqua"/>
          <w:color w:val="000000" w:themeColor="text1"/>
          <w:lang w:val="es-ES"/>
        </w:rPr>
        <w:t>Así</w:t>
      </w:r>
      <w:r w:rsidR="003A66D5">
        <w:rPr>
          <w:rFonts w:ascii="Book Antiqua" w:eastAsia="Book Antiqua" w:hAnsi="Book Antiqua" w:cs="Book Antiqua"/>
          <w:color w:val="000000" w:themeColor="text1"/>
          <w:lang w:val="es-ES"/>
        </w:rPr>
        <w:t xml:space="preserve">, no favorece el P. de la C. </w:t>
      </w:r>
      <w:r w:rsidR="00AC746A">
        <w:rPr>
          <w:rFonts w:ascii="Book Antiqua" w:eastAsia="Book Antiqua" w:hAnsi="Book Antiqua" w:cs="Book Antiqua"/>
          <w:color w:val="000000" w:themeColor="text1"/>
          <w:lang w:val="es-ES"/>
        </w:rPr>
        <w:t>1078.</w:t>
      </w:r>
    </w:p>
    <w:p w14:paraId="21FEFA9E" w14:textId="77777777" w:rsidR="009E44D3" w:rsidRDefault="009E44D3" w:rsidP="00BA183C">
      <w:pPr>
        <w:tabs>
          <w:tab w:val="left" w:pos="8460"/>
        </w:tabs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528F8908" w14:textId="171EA8C0" w:rsidR="003B38A4" w:rsidRPr="00281894" w:rsidRDefault="003B38A4" w:rsidP="00762646">
      <w:pPr>
        <w:spacing w:line="360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281894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CONCLUSIÓN</w:t>
      </w:r>
      <w:r w:rsidR="00F0476A" w:rsidRPr="00281894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281894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I</w:t>
      </w:r>
      <w:r w:rsidR="00F0476A" w:rsidRPr="00281894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ÓN</w:t>
      </w:r>
    </w:p>
    <w:p w14:paraId="76BD11A4" w14:textId="026D397B" w:rsidR="00DA4B31" w:rsidRDefault="000A54F9" w:rsidP="00045E42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comisión concuerda con el propósito de atemperar </w:t>
      </w:r>
      <w:r w:rsidR="0084067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las revisiones que el DACO emite </w:t>
      </w:r>
      <w:r w:rsidR="009A10D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—</w:t>
      </w:r>
      <w:r w:rsidR="0084067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conform</w:t>
      </w:r>
      <w:r w:rsidR="00D35EB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</w:t>
      </w:r>
      <w:r w:rsidR="0084067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 la facultad adjudicativa que le confirió la </w:t>
      </w:r>
      <w:r w:rsidR="0084067F" w:rsidRPr="009F5FB0">
        <w:rPr>
          <w:rFonts w:ascii="Book Antiqua" w:eastAsia="Book Antiqua" w:hAnsi="Book Antiqua" w:cs="Book Antiqua"/>
          <w:color w:val="000000" w:themeColor="text1"/>
          <w:lang w:val="es-ES"/>
        </w:rPr>
        <w:t>Ley Núm. 77</w:t>
      </w:r>
      <w:r w:rsidR="0084067F">
        <w:rPr>
          <w:rFonts w:ascii="Book Antiqua" w:eastAsia="Book Antiqua" w:hAnsi="Book Antiqua" w:cs="Book Antiqua"/>
          <w:color w:val="000000" w:themeColor="text1"/>
          <w:lang w:val="es-ES"/>
        </w:rPr>
        <w:t>-</w:t>
      </w:r>
      <w:r w:rsidR="0084067F" w:rsidRPr="009F5FB0">
        <w:rPr>
          <w:rFonts w:ascii="Book Antiqua" w:eastAsia="Book Antiqua" w:hAnsi="Book Antiqua" w:cs="Book Antiqua"/>
          <w:color w:val="000000" w:themeColor="text1"/>
          <w:lang w:val="es-ES"/>
        </w:rPr>
        <w:t>1964</w:t>
      </w:r>
      <w:r w:rsidR="009A10D4">
        <w:rPr>
          <w:rFonts w:ascii="Book Antiqua" w:eastAsia="Book Antiqua" w:hAnsi="Book Antiqua" w:cs="Book Antiqua"/>
          <w:color w:val="000000" w:themeColor="text1"/>
          <w:lang w:val="es-ES"/>
        </w:rPr>
        <w:t>—</w:t>
      </w:r>
      <w:r w:rsidR="00EE6163">
        <w:rPr>
          <w:rFonts w:ascii="Book Antiqua" w:eastAsia="Book Antiqua" w:hAnsi="Book Antiqua" w:cs="Book Antiqua"/>
          <w:color w:val="000000" w:themeColor="text1"/>
          <w:lang w:val="es-ES"/>
        </w:rPr>
        <w:t xml:space="preserve"> al andamiaje administrativo uniforme </w:t>
      </w:r>
      <w:r w:rsidR="00CE5F6B">
        <w:rPr>
          <w:rFonts w:ascii="Book Antiqua" w:eastAsia="Book Antiqua" w:hAnsi="Book Antiqua" w:cs="Book Antiqua"/>
          <w:color w:val="000000" w:themeColor="text1"/>
          <w:lang w:val="es-ES"/>
        </w:rPr>
        <w:t xml:space="preserve">de la Ley Núm. 38-2017. Esto brinda certeza jurídica a las partes y a los tribunales, ante la </w:t>
      </w:r>
      <w:r w:rsidR="00096F81">
        <w:rPr>
          <w:rFonts w:ascii="Book Antiqua" w:eastAsia="Book Antiqua" w:hAnsi="Book Antiqua" w:cs="Book Antiqua"/>
          <w:color w:val="000000" w:themeColor="text1"/>
          <w:lang w:val="es-ES"/>
        </w:rPr>
        <w:t xml:space="preserve">jurisprudencia desarrollada sobre </w:t>
      </w:r>
      <w:r w:rsidR="00D35EB2">
        <w:rPr>
          <w:rFonts w:ascii="Book Antiqua" w:eastAsia="Book Antiqua" w:hAnsi="Book Antiqua" w:cs="Book Antiqua"/>
          <w:color w:val="000000" w:themeColor="text1"/>
          <w:lang w:val="es-ES"/>
        </w:rPr>
        <w:t>cómo</w:t>
      </w:r>
      <w:r w:rsidR="00096F81">
        <w:rPr>
          <w:rFonts w:ascii="Book Antiqua" w:eastAsia="Book Antiqua" w:hAnsi="Book Antiqua" w:cs="Book Antiqua"/>
          <w:color w:val="000000" w:themeColor="text1"/>
          <w:lang w:val="es-ES"/>
        </w:rPr>
        <w:t xml:space="preserve"> aplicar el capítulo III </w:t>
      </w:r>
      <w:r w:rsidR="008D1101">
        <w:rPr>
          <w:rFonts w:ascii="Book Antiqua" w:eastAsia="Book Antiqua" w:hAnsi="Book Antiqua" w:cs="Book Antiqua"/>
          <w:color w:val="000000" w:themeColor="text1"/>
          <w:lang w:val="es-ES"/>
        </w:rPr>
        <w:t>de la Ley Núm. 38-2017, en lugar de utilizar trámites part</w:t>
      </w:r>
      <w:r w:rsidR="00A5315A">
        <w:rPr>
          <w:rFonts w:ascii="Book Antiqua" w:eastAsia="Book Antiqua" w:hAnsi="Book Antiqua" w:cs="Book Antiqua"/>
          <w:color w:val="000000" w:themeColor="text1"/>
          <w:lang w:val="es-ES"/>
        </w:rPr>
        <w:t xml:space="preserve">iculares de leyes especiales. </w:t>
      </w:r>
      <w:r w:rsidR="00010E63">
        <w:rPr>
          <w:rFonts w:ascii="Book Antiqua" w:eastAsia="Book Antiqua" w:hAnsi="Book Antiqua" w:cs="Book Antiqua"/>
          <w:color w:val="000000" w:themeColor="text1"/>
          <w:lang w:val="es-ES"/>
        </w:rPr>
        <w:t>También se aprovecha el peritaje del Tribunal de Apelaciones en revisiones administrativas</w:t>
      </w:r>
      <w:r w:rsidR="00E44255">
        <w:rPr>
          <w:rFonts w:ascii="Book Antiqua" w:eastAsia="Book Antiqua" w:hAnsi="Book Antiqua" w:cs="Book Antiqua"/>
          <w:color w:val="000000" w:themeColor="text1"/>
          <w:lang w:val="es-ES"/>
        </w:rPr>
        <w:t>,</w:t>
      </w:r>
      <w:r w:rsidR="00010E63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E44255">
        <w:rPr>
          <w:rFonts w:ascii="Book Antiqua" w:eastAsia="Book Antiqua" w:hAnsi="Book Antiqua" w:cs="Book Antiqua"/>
          <w:color w:val="000000" w:themeColor="text1"/>
          <w:lang w:val="es-ES"/>
        </w:rPr>
        <w:t xml:space="preserve">y se le permite al TPI concentrarse en su rol primordial de atender </w:t>
      </w:r>
      <w:r w:rsidR="00DA4B31">
        <w:rPr>
          <w:rFonts w:ascii="Book Antiqua" w:eastAsia="Book Antiqua" w:hAnsi="Book Antiqua" w:cs="Book Antiqua"/>
          <w:color w:val="000000" w:themeColor="text1"/>
          <w:lang w:val="es-ES"/>
        </w:rPr>
        <w:t>controversi</w:t>
      </w:r>
      <w:r w:rsidR="003F2F08">
        <w:rPr>
          <w:rFonts w:ascii="Book Antiqua" w:eastAsia="Book Antiqua" w:hAnsi="Book Antiqua" w:cs="Book Antiqua"/>
          <w:color w:val="000000" w:themeColor="text1"/>
          <w:lang w:val="es-ES"/>
        </w:rPr>
        <w:t>as</w:t>
      </w:r>
      <w:r w:rsidR="00DA4B31">
        <w:rPr>
          <w:rFonts w:ascii="Book Antiqua" w:eastAsia="Book Antiqua" w:hAnsi="Book Antiqua" w:cs="Book Antiqua"/>
          <w:color w:val="000000" w:themeColor="text1"/>
          <w:lang w:val="es-ES"/>
        </w:rPr>
        <w:t xml:space="preserve"> en primera instancia.</w:t>
      </w:r>
    </w:p>
    <w:p w14:paraId="3BE57315" w14:textId="02450C35" w:rsidR="004512E8" w:rsidRPr="001711E6" w:rsidRDefault="00131474" w:rsidP="00131474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 fin, la 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Comisión de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9C0C1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recomienda que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se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apr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uebe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 P. de la C. </w:t>
      </w:r>
      <w:r w:rsidR="009B02C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1</w:t>
      </w:r>
      <w:r w:rsidR="0037308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0</w:t>
      </w:r>
      <w:r w:rsidR="00C4463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78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con las enmiendas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</w:t>
      </w:r>
      <w:r w:rsidR="0037308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6C8FC9E5" w14:textId="13D08CC0" w:rsidR="003B38A4" w:rsidRPr="001711E6" w:rsidRDefault="003B38A4" w:rsidP="00762646">
      <w:pPr>
        <w:spacing w:line="360" w:lineRule="auto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Respetuosamente </w:t>
      </w:r>
      <w:r w:rsidR="00D018B2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2A3AA908" w:rsidR="003B38A4" w:rsidRPr="00D018B2" w:rsidRDefault="00C13938" w:rsidP="003B38A4">
      <w:pPr>
        <w:jc w:val="both"/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</w:pPr>
      <w:r w:rsidRPr="00D018B2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>José J. Pérez Cordero</w:t>
      </w:r>
      <w:r w:rsidRPr="00D018B2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ab/>
      </w:r>
      <w:r w:rsidR="003B38A4" w:rsidRPr="00D018B2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 xml:space="preserve"> </w:t>
      </w:r>
    </w:p>
    <w:p w14:paraId="22F5DA31" w14:textId="77777777" w:rsidR="00D018B2" w:rsidRDefault="003B38A4" w:rsidP="00C13938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</w:p>
    <w:p w14:paraId="3B6A5A42" w14:textId="1911DF99" w:rsidR="00F0476A" w:rsidRPr="001711E6" w:rsidRDefault="00D018B2" w:rsidP="00C13938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Comisión de lo Jurídico</w:t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sectPr w:rsidR="00F0476A" w:rsidRPr="001711E6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7D104" w14:textId="77777777" w:rsidR="00E22025" w:rsidRDefault="00E22025">
      <w:r>
        <w:separator/>
      </w:r>
    </w:p>
  </w:endnote>
  <w:endnote w:type="continuationSeparator" w:id="0">
    <w:p w14:paraId="48DA40B5" w14:textId="77777777" w:rsidR="00E22025" w:rsidRDefault="00E22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546C9" w14:textId="77777777" w:rsidR="00E22025" w:rsidRDefault="00E22025">
      <w:r>
        <w:separator/>
      </w:r>
    </w:p>
  </w:footnote>
  <w:footnote w:type="continuationSeparator" w:id="0">
    <w:p w14:paraId="68F34CC9" w14:textId="77777777" w:rsidR="00E22025" w:rsidRDefault="00E22025">
      <w:r>
        <w:continuationSeparator/>
      </w:r>
    </w:p>
  </w:footnote>
  <w:footnote w:id="1">
    <w:p w14:paraId="59B9D436" w14:textId="523015D2" w:rsidR="00311523" w:rsidRPr="00C82F37" w:rsidRDefault="00311523" w:rsidP="00BD17C6">
      <w:pPr>
        <w:pStyle w:val="FootnoteText"/>
        <w:spacing w:after="120"/>
        <w:rPr>
          <w:rFonts w:ascii="Book Antiqua" w:hAnsi="Book Antiqua"/>
        </w:rPr>
      </w:pPr>
      <w:r w:rsidRPr="00C82F37">
        <w:rPr>
          <w:rStyle w:val="FootnoteReference"/>
          <w:rFonts w:ascii="Book Antiqua" w:hAnsi="Book Antiqua"/>
        </w:rPr>
        <w:footnoteRef/>
      </w:r>
      <w:r w:rsidRPr="00C82F37">
        <w:rPr>
          <w:rFonts w:ascii="Book Antiqua" w:hAnsi="Book Antiqua"/>
        </w:rPr>
        <w:t xml:space="preserve"> Conocida como Ley Antimonopolística de Puerto Rico.</w:t>
      </w:r>
    </w:p>
  </w:footnote>
  <w:footnote w:id="2">
    <w:p w14:paraId="4AFAECA7" w14:textId="055BA215" w:rsidR="00E24607" w:rsidRPr="00C82F37" w:rsidRDefault="00E24607" w:rsidP="00BD17C6">
      <w:pPr>
        <w:pStyle w:val="FootnoteText"/>
        <w:spacing w:after="120"/>
        <w:rPr>
          <w:rFonts w:ascii="Book Antiqua" w:hAnsi="Book Antiqua"/>
        </w:rPr>
      </w:pPr>
      <w:r w:rsidRPr="00C82F37">
        <w:rPr>
          <w:rStyle w:val="FootnoteReference"/>
          <w:rFonts w:ascii="Book Antiqua" w:hAnsi="Book Antiqua"/>
        </w:rPr>
        <w:footnoteRef/>
      </w:r>
      <w:r w:rsidRPr="00C82F37">
        <w:rPr>
          <w:rFonts w:ascii="Book Antiqua" w:hAnsi="Book Antiqua"/>
        </w:rPr>
        <w:t xml:space="preserve"> </w:t>
      </w:r>
      <w:r w:rsidR="0085480B" w:rsidRPr="00C82F37">
        <w:rPr>
          <w:rFonts w:ascii="Book Antiqua" w:hAnsi="Book Antiqua"/>
        </w:rPr>
        <w:t>2015 DPR (2025), 2025 TSPR 23.</w:t>
      </w:r>
    </w:p>
  </w:footnote>
  <w:footnote w:id="3">
    <w:p w14:paraId="4F876DE0" w14:textId="026C576A" w:rsidR="00CA2EBF" w:rsidRPr="00C82F37" w:rsidRDefault="00CA2EBF" w:rsidP="00BD17C6">
      <w:pPr>
        <w:pStyle w:val="FootnoteText"/>
        <w:spacing w:after="120"/>
        <w:rPr>
          <w:rFonts w:ascii="Book Antiqua" w:hAnsi="Book Antiqua"/>
        </w:rPr>
      </w:pPr>
      <w:r w:rsidRPr="00C82F37">
        <w:rPr>
          <w:rStyle w:val="FootnoteReference"/>
          <w:rFonts w:ascii="Book Antiqua" w:hAnsi="Book Antiqua"/>
        </w:rPr>
        <w:footnoteRef/>
      </w:r>
      <w:r w:rsidRPr="00C82F37">
        <w:rPr>
          <w:rFonts w:ascii="Book Antiqua" w:hAnsi="Book Antiqua"/>
        </w:rPr>
        <w:t xml:space="preserve"> Conocida como Ley de Procedimiento Administrativo Uniforme del Gobierno de Puerto Rico.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E2A5F" w14:textId="3B58F161" w:rsidR="00C13938" w:rsidRPr="00C13938" w:rsidRDefault="00C1393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0"/>
        <w:lang w:val="es-PR"/>
      </w:rPr>
    </w:pPr>
    <w:r w:rsidRPr="00C13938">
      <w:rPr>
        <w:rFonts w:ascii="Calibri" w:eastAsia="Calibri" w:hAnsi="Calibri"/>
        <w:b/>
        <w:iCs/>
        <w:sz w:val="20"/>
        <w:lang w:val="es-PR"/>
      </w:rPr>
      <w:t>Cámara de Representantes de Puerto Rico</w:t>
    </w:r>
  </w:p>
  <w:p w14:paraId="12ED89AE" w14:textId="3E8BB2C4" w:rsidR="00C13938" w:rsidRPr="00C13938" w:rsidRDefault="00C1393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0"/>
        <w:lang w:val="es-PR"/>
      </w:rPr>
    </w:pPr>
    <w:r w:rsidRPr="00C13938">
      <w:rPr>
        <w:rFonts w:ascii="Calibri" w:eastAsia="Calibri" w:hAnsi="Calibri"/>
        <w:b/>
        <w:iCs/>
        <w:sz w:val="20"/>
        <w:lang w:val="es-PR"/>
      </w:rPr>
      <w:t>Comisión de lo Jurídico</w:t>
    </w:r>
  </w:p>
  <w:p w14:paraId="31A51A2D" w14:textId="7DEBB16F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13938">
      <w:rPr>
        <w:rFonts w:ascii="Calibri" w:eastAsia="Calibri" w:hAnsi="Calibri"/>
        <w:b/>
        <w:iCs/>
        <w:sz w:val="20"/>
        <w:lang w:val="es-PR"/>
      </w:rPr>
      <w:t>Informe</w:t>
    </w:r>
    <w:r w:rsidR="00900740" w:rsidRPr="00C13938">
      <w:rPr>
        <w:rFonts w:ascii="Calibri" w:eastAsia="Calibri" w:hAnsi="Calibri"/>
        <w:b/>
        <w:iCs/>
        <w:sz w:val="20"/>
        <w:lang w:val="es-PR"/>
      </w:rPr>
      <w:t xml:space="preserve"> Positivo</w:t>
    </w:r>
    <w:r w:rsidRPr="00C13938">
      <w:rPr>
        <w:rFonts w:ascii="Calibri" w:eastAsia="Calibri" w:hAnsi="Calibri"/>
        <w:b/>
        <w:iCs/>
        <w:sz w:val="20"/>
        <w:lang w:val="es-PR"/>
      </w:rPr>
      <w:t xml:space="preserve"> P. de la C. </w:t>
    </w:r>
    <w:r w:rsidR="00532F3A" w:rsidRPr="00C13938">
      <w:rPr>
        <w:rFonts w:ascii="Calibri" w:eastAsia="Calibri" w:hAnsi="Calibri"/>
        <w:b/>
        <w:iCs/>
        <w:sz w:val="20"/>
        <w:lang w:val="es-PR"/>
      </w:rPr>
      <w:t>1</w:t>
    </w:r>
    <w:r w:rsidR="00C13938" w:rsidRPr="00C13938">
      <w:rPr>
        <w:rFonts w:ascii="Calibri" w:eastAsia="Calibri" w:hAnsi="Calibri"/>
        <w:b/>
        <w:iCs/>
        <w:sz w:val="20"/>
        <w:lang w:val="es-PR"/>
      </w:rPr>
      <w:t>0</w:t>
    </w:r>
    <w:r w:rsidR="00584E7C">
      <w:rPr>
        <w:rFonts w:ascii="Calibri" w:eastAsia="Calibri" w:hAnsi="Calibri"/>
        <w:b/>
        <w:iCs/>
        <w:sz w:val="20"/>
        <w:lang w:val="es-PR"/>
      </w:rPr>
      <w:t>78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991D6E"/>
    <w:multiLevelType w:val="hybridMultilevel"/>
    <w:tmpl w:val="33BC3E78"/>
    <w:lvl w:ilvl="0" w:tplc="49CED2A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5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8"/>
  </w:num>
  <w:num w:numId="11" w16cid:durableId="1508133352">
    <w:abstractNumId w:val="6"/>
  </w:num>
  <w:num w:numId="12" w16cid:durableId="1889679253">
    <w:abstractNumId w:val="14"/>
  </w:num>
  <w:num w:numId="13" w16cid:durableId="325980482">
    <w:abstractNumId w:val="8"/>
  </w:num>
  <w:num w:numId="14" w16cid:durableId="1607613887">
    <w:abstractNumId w:val="16"/>
  </w:num>
  <w:num w:numId="15" w16cid:durableId="1411585931">
    <w:abstractNumId w:val="17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  <w:num w:numId="20" w16cid:durableId="11121661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5B3B"/>
    <w:rsid w:val="00010E63"/>
    <w:rsid w:val="00015228"/>
    <w:rsid w:val="000307E4"/>
    <w:rsid w:val="00041144"/>
    <w:rsid w:val="00042E4B"/>
    <w:rsid w:val="00045840"/>
    <w:rsid w:val="00045E42"/>
    <w:rsid w:val="00050E9A"/>
    <w:rsid w:val="0005774B"/>
    <w:rsid w:val="000667FD"/>
    <w:rsid w:val="000715C3"/>
    <w:rsid w:val="00077253"/>
    <w:rsid w:val="0008029C"/>
    <w:rsid w:val="0009035A"/>
    <w:rsid w:val="00094C19"/>
    <w:rsid w:val="000968F0"/>
    <w:rsid w:val="00096F81"/>
    <w:rsid w:val="000A046B"/>
    <w:rsid w:val="000A0600"/>
    <w:rsid w:val="000A4C87"/>
    <w:rsid w:val="000A54F9"/>
    <w:rsid w:val="000A73AB"/>
    <w:rsid w:val="000B0D43"/>
    <w:rsid w:val="000B1F0B"/>
    <w:rsid w:val="000B6B0E"/>
    <w:rsid w:val="000C44CB"/>
    <w:rsid w:val="000C66A9"/>
    <w:rsid w:val="000D2BDF"/>
    <w:rsid w:val="000D5F7E"/>
    <w:rsid w:val="000D68FC"/>
    <w:rsid w:val="000E1D77"/>
    <w:rsid w:val="000E5D36"/>
    <w:rsid w:val="000F24E6"/>
    <w:rsid w:val="000F5399"/>
    <w:rsid w:val="000F67BD"/>
    <w:rsid w:val="001015D5"/>
    <w:rsid w:val="00101C99"/>
    <w:rsid w:val="001049CF"/>
    <w:rsid w:val="001070BB"/>
    <w:rsid w:val="00116E5A"/>
    <w:rsid w:val="001209AD"/>
    <w:rsid w:val="00126659"/>
    <w:rsid w:val="001311BA"/>
    <w:rsid w:val="00131474"/>
    <w:rsid w:val="0013727F"/>
    <w:rsid w:val="00140F2B"/>
    <w:rsid w:val="00141605"/>
    <w:rsid w:val="00141703"/>
    <w:rsid w:val="0015264C"/>
    <w:rsid w:val="00153D68"/>
    <w:rsid w:val="001601C3"/>
    <w:rsid w:val="00164E0B"/>
    <w:rsid w:val="00166E2D"/>
    <w:rsid w:val="00167E63"/>
    <w:rsid w:val="0017100B"/>
    <w:rsid w:val="001711E6"/>
    <w:rsid w:val="0017132F"/>
    <w:rsid w:val="00171FDF"/>
    <w:rsid w:val="00182A3E"/>
    <w:rsid w:val="00183A8F"/>
    <w:rsid w:val="00186915"/>
    <w:rsid w:val="00197122"/>
    <w:rsid w:val="001A54BF"/>
    <w:rsid w:val="001A5A3D"/>
    <w:rsid w:val="001C375A"/>
    <w:rsid w:val="001D5EE7"/>
    <w:rsid w:val="001D6791"/>
    <w:rsid w:val="001E0864"/>
    <w:rsid w:val="001E4FEC"/>
    <w:rsid w:val="001E7C2B"/>
    <w:rsid w:val="001F0E57"/>
    <w:rsid w:val="001F139A"/>
    <w:rsid w:val="001F2899"/>
    <w:rsid w:val="001F5243"/>
    <w:rsid w:val="00203D0D"/>
    <w:rsid w:val="00206D79"/>
    <w:rsid w:val="00207761"/>
    <w:rsid w:val="00216AC7"/>
    <w:rsid w:val="002179C3"/>
    <w:rsid w:val="00221403"/>
    <w:rsid w:val="00224EF7"/>
    <w:rsid w:val="00227846"/>
    <w:rsid w:val="0023302B"/>
    <w:rsid w:val="002437CB"/>
    <w:rsid w:val="002476DD"/>
    <w:rsid w:val="00253582"/>
    <w:rsid w:val="00253E49"/>
    <w:rsid w:val="00254CF9"/>
    <w:rsid w:val="00256B6A"/>
    <w:rsid w:val="002616FE"/>
    <w:rsid w:val="00263828"/>
    <w:rsid w:val="0026787A"/>
    <w:rsid w:val="0027219E"/>
    <w:rsid w:val="00275876"/>
    <w:rsid w:val="00281894"/>
    <w:rsid w:val="002864AF"/>
    <w:rsid w:val="002939AA"/>
    <w:rsid w:val="00293D8F"/>
    <w:rsid w:val="002A302E"/>
    <w:rsid w:val="002A4F04"/>
    <w:rsid w:val="002A795A"/>
    <w:rsid w:val="002B6BDB"/>
    <w:rsid w:val="002C534B"/>
    <w:rsid w:val="002D2AD0"/>
    <w:rsid w:val="002D6E07"/>
    <w:rsid w:val="002F16BF"/>
    <w:rsid w:val="00304248"/>
    <w:rsid w:val="00306D5A"/>
    <w:rsid w:val="00311523"/>
    <w:rsid w:val="00322C82"/>
    <w:rsid w:val="00327AF1"/>
    <w:rsid w:val="00331759"/>
    <w:rsid w:val="003344C6"/>
    <w:rsid w:val="003361A3"/>
    <w:rsid w:val="0034229A"/>
    <w:rsid w:val="00342992"/>
    <w:rsid w:val="00352EA7"/>
    <w:rsid w:val="00354EC7"/>
    <w:rsid w:val="00364147"/>
    <w:rsid w:val="00371331"/>
    <w:rsid w:val="0037308E"/>
    <w:rsid w:val="00382AD9"/>
    <w:rsid w:val="0038510E"/>
    <w:rsid w:val="00385F4F"/>
    <w:rsid w:val="00392CEF"/>
    <w:rsid w:val="00393ADF"/>
    <w:rsid w:val="003A2FCB"/>
    <w:rsid w:val="003A4082"/>
    <w:rsid w:val="003A540B"/>
    <w:rsid w:val="003A66D5"/>
    <w:rsid w:val="003B09EC"/>
    <w:rsid w:val="003B38A4"/>
    <w:rsid w:val="003B3DEE"/>
    <w:rsid w:val="003D601E"/>
    <w:rsid w:val="003E4335"/>
    <w:rsid w:val="003E529E"/>
    <w:rsid w:val="003E6E10"/>
    <w:rsid w:val="003E7648"/>
    <w:rsid w:val="003F10BB"/>
    <w:rsid w:val="003F2674"/>
    <w:rsid w:val="003F2F08"/>
    <w:rsid w:val="00404245"/>
    <w:rsid w:val="00407674"/>
    <w:rsid w:val="00415056"/>
    <w:rsid w:val="00421298"/>
    <w:rsid w:val="0042168B"/>
    <w:rsid w:val="00423465"/>
    <w:rsid w:val="00430C13"/>
    <w:rsid w:val="004315B6"/>
    <w:rsid w:val="00431F68"/>
    <w:rsid w:val="00436DB2"/>
    <w:rsid w:val="00437B8E"/>
    <w:rsid w:val="00446951"/>
    <w:rsid w:val="00446F50"/>
    <w:rsid w:val="004470F7"/>
    <w:rsid w:val="00447224"/>
    <w:rsid w:val="004512E8"/>
    <w:rsid w:val="00451F27"/>
    <w:rsid w:val="004523CD"/>
    <w:rsid w:val="0045250F"/>
    <w:rsid w:val="00452D84"/>
    <w:rsid w:val="00467CB0"/>
    <w:rsid w:val="0049129C"/>
    <w:rsid w:val="004A2F7B"/>
    <w:rsid w:val="004A5149"/>
    <w:rsid w:val="004A5A18"/>
    <w:rsid w:val="004A6A4F"/>
    <w:rsid w:val="004B2570"/>
    <w:rsid w:val="004B4977"/>
    <w:rsid w:val="004B7F53"/>
    <w:rsid w:val="004D28B0"/>
    <w:rsid w:val="004D6B09"/>
    <w:rsid w:val="004E356B"/>
    <w:rsid w:val="004E7F19"/>
    <w:rsid w:val="004F3AEE"/>
    <w:rsid w:val="004F4A0B"/>
    <w:rsid w:val="004F5F8E"/>
    <w:rsid w:val="004F79AB"/>
    <w:rsid w:val="0051056C"/>
    <w:rsid w:val="00516AB2"/>
    <w:rsid w:val="00521964"/>
    <w:rsid w:val="0052624F"/>
    <w:rsid w:val="00532F3A"/>
    <w:rsid w:val="005334C2"/>
    <w:rsid w:val="005352BA"/>
    <w:rsid w:val="005432C2"/>
    <w:rsid w:val="00545FA9"/>
    <w:rsid w:val="005476FA"/>
    <w:rsid w:val="005614F0"/>
    <w:rsid w:val="00561903"/>
    <w:rsid w:val="00562CFF"/>
    <w:rsid w:val="005648DC"/>
    <w:rsid w:val="00566BF6"/>
    <w:rsid w:val="00582CE9"/>
    <w:rsid w:val="00584753"/>
    <w:rsid w:val="00584E7C"/>
    <w:rsid w:val="00591C6D"/>
    <w:rsid w:val="00592D59"/>
    <w:rsid w:val="005A1F13"/>
    <w:rsid w:val="005B19F7"/>
    <w:rsid w:val="005B42F2"/>
    <w:rsid w:val="005B69A9"/>
    <w:rsid w:val="005B750B"/>
    <w:rsid w:val="005C34A8"/>
    <w:rsid w:val="005C5777"/>
    <w:rsid w:val="00602E29"/>
    <w:rsid w:val="00603FE4"/>
    <w:rsid w:val="00611979"/>
    <w:rsid w:val="0061347E"/>
    <w:rsid w:val="00620B76"/>
    <w:rsid w:val="00626F91"/>
    <w:rsid w:val="00633335"/>
    <w:rsid w:val="006354DA"/>
    <w:rsid w:val="006430D4"/>
    <w:rsid w:val="00643F21"/>
    <w:rsid w:val="006620D1"/>
    <w:rsid w:val="0066649B"/>
    <w:rsid w:val="00671E66"/>
    <w:rsid w:val="006922E6"/>
    <w:rsid w:val="0069342C"/>
    <w:rsid w:val="00694718"/>
    <w:rsid w:val="006951BB"/>
    <w:rsid w:val="006A1DB2"/>
    <w:rsid w:val="006B29B5"/>
    <w:rsid w:val="006B2F9D"/>
    <w:rsid w:val="006B4F55"/>
    <w:rsid w:val="006C5835"/>
    <w:rsid w:val="006D7B47"/>
    <w:rsid w:val="006E649B"/>
    <w:rsid w:val="006F5B67"/>
    <w:rsid w:val="006F5C6D"/>
    <w:rsid w:val="006F6951"/>
    <w:rsid w:val="0070305E"/>
    <w:rsid w:val="007052E7"/>
    <w:rsid w:val="00710D71"/>
    <w:rsid w:val="00712592"/>
    <w:rsid w:val="00715AB6"/>
    <w:rsid w:val="007250C9"/>
    <w:rsid w:val="00725347"/>
    <w:rsid w:val="00726D54"/>
    <w:rsid w:val="00733E40"/>
    <w:rsid w:val="00744264"/>
    <w:rsid w:val="0076029D"/>
    <w:rsid w:val="00760D00"/>
    <w:rsid w:val="00762646"/>
    <w:rsid w:val="0077131A"/>
    <w:rsid w:val="00773FDD"/>
    <w:rsid w:val="0077444F"/>
    <w:rsid w:val="007761C9"/>
    <w:rsid w:val="00782A64"/>
    <w:rsid w:val="007842E6"/>
    <w:rsid w:val="0078548C"/>
    <w:rsid w:val="00786F68"/>
    <w:rsid w:val="007965B1"/>
    <w:rsid w:val="007A7FDC"/>
    <w:rsid w:val="007B20AC"/>
    <w:rsid w:val="007B257D"/>
    <w:rsid w:val="007B2F4F"/>
    <w:rsid w:val="007C5122"/>
    <w:rsid w:val="007D22F5"/>
    <w:rsid w:val="007D4BA2"/>
    <w:rsid w:val="007D668A"/>
    <w:rsid w:val="007D788A"/>
    <w:rsid w:val="007D79C4"/>
    <w:rsid w:val="007E2AC1"/>
    <w:rsid w:val="007E6834"/>
    <w:rsid w:val="00801B1B"/>
    <w:rsid w:val="00802900"/>
    <w:rsid w:val="008040E7"/>
    <w:rsid w:val="008142DA"/>
    <w:rsid w:val="008162A8"/>
    <w:rsid w:val="00821551"/>
    <w:rsid w:val="00822FEF"/>
    <w:rsid w:val="00826766"/>
    <w:rsid w:val="008270AA"/>
    <w:rsid w:val="00831D91"/>
    <w:rsid w:val="008326DB"/>
    <w:rsid w:val="0083492B"/>
    <w:rsid w:val="0084067F"/>
    <w:rsid w:val="00844E45"/>
    <w:rsid w:val="00851E49"/>
    <w:rsid w:val="0085480B"/>
    <w:rsid w:val="00855456"/>
    <w:rsid w:val="00862B38"/>
    <w:rsid w:val="008714C1"/>
    <w:rsid w:val="00877968"/>
    <w:rsid w:val="00885705"/>
    <w:rsid w:val="00887F45"/>
    <w:rsid w:val="008A268E"/>
    <w:rsid w:val="008A3DEF"/>
    <w:rsid w:val="008B25F8"/>
    <w:rsid w:val="008B5C1E"/>
    <w:rsid w:val="008B701E"/>
    <w:rsid w:val="008C1517"/>
    <w:rsid w:val="008C36C5"/>
    <w:rsid w:val="008D1101"/>
    <w:rsid w:val="008E4160"/>
    <w:rsid w:val="008F1AA4"/>
    <w:rsid w:val="00900740"/>
    <w:rsid w:val="0090114E"/>
    <w:rsid w:val="00907AF5"/>
    <w:rsid w:val="00910DF8"/>
    <w:rsid w:val="0092153A"/>
    <w:rsid w:val="00926C28"/>
    <w:rsid w:val="009310C1"/>
    <w:rsid w:val="00934648"/>
    <w:rsid w:val="009347CF"/>
    <w:rsid w:val="0094111E"/>
    <w:rsid w:val="009412C4"/>
    <w:rsid w:val="00945A86"/>
    <w:rsid w:val="00950E91"/>
    <w:rsid w:val="009535ED"/>
    <w:rsid w:val="00954C22"/>
    <w:rsid w:val="00957305"/>
    <w:rsid w:val="00957A68"/>
    <w:rsid w:val="0096580E"/>
    <w:rsid w:val="00965AFD"/>
    <w:rsid w:val="0097085B"/>
    <w:rsid w:val="00977DC2"/>
    <w:rsid w:val="009851DE"/>
    <w:rsid w:val="009970E2"/>
    <w:rsid w:val="009971DC"/>
    <w:rsid w:val="009A10D4"/>
    <w:rsid w:val="009A6C55"/>
    <w:rsid w:val="009B02C7"/>
    <w:rsid w:val="009B2B76"/>
    <w:rsid w:val="009B56D7"/>
    <w:rsid w:val="009C0C1B"/>
    <w:rsid w:val="009C1036"/>
    <w:rsid w:val="009D6D72"/>
    <w:rsid w:val="009E264F"/>
    <w:rsid w:val="009E44D3"/>
    <w:rsid w:val="009E55BD"/>
    <w:rsid w:val="009E66CF"/>
    <w:rsid w:val="009F2773"/>
    <w:rsid w:val="009F5A85"/>
    <w:rsid w:val="009F5FB0"/>
    <w:rsid w:val="00A056E7"/>
    <w:rsid w:val="00A072A5"/>
    <w:rsid w:val="00A11658"/>
    <w:rsid w:val="00A1240D"/>
    <w:rsid w:val="00A22725"/>
    <w:rsid w:val="00A26824"/>
    <w:rsid w:val="00A3468C"/>
    <w:rsid w:val="00A42843"/>
    <w:rsid w:val="00A45537"/>
    <w:rsid w:val="00A52722"/>
    <w:rsid w:val="00A5315A"/>
    <w:rsid w:val="00A67849"/>
    <w:rsid w:val="00A70F45"/>
    <w:rsid w:val="00A72092"/>
    <w:rsid w:val="00A7671D"/>
    <w:rsid w:val="00A77BD5"/>
    <w:rsid w:val="00A83FA6"/>
    <w:rsid w:val="00A8492B"/>
    <w:rsid w:val="00A87BAA"/>
    <w:rsid w:val="00A87C62"/>
    <w:rsid w:val="00A9407D"/>
    <w:rsid w:val="00AA2DF3"/>
    <w:rsid w:val="00AA30C7"/>
    <w:rsid w:val="00AA3A37"/>
    <w:rsid w:val="00AB386C"/>
    <w:rsid w:val="00AC3E49"/>
    <w:rsid w:val="00AC746A"/>
    <w:rsid w:val="00AE39F9"/>
    <w:rsid w:val="00AE4FE1"/>
    <w:rsid w:val="00AE5181"/>
    <w:rsid w:val="00AF10DE"/>
    <w:rsid w:val="00AF17B1"/>
    <w:rsid w:val="00AF449A"/>
    <w:rsid w:val="00B03FA0"/>
    <w:rsid w:val="00B07D66"/>
    <w:rsid w:val="00B161B5"/>
    <w:rsid w:val="00B16378"/>
    <w:rsid w:val="00B163B8"/>
    <w:rsid w:val="00B220D8"/>
    <w:rsid w:val="00B22F06"/>
    <w:rsid w:val="00B233CB"/>
    <w:rsid w:val="00B241A8"/>
    <w:rsid w:val="00B326B8"/>
    <w:rsid w:val="00B34AE5"/>
    <w:rsid w:val="00B34F68"/>
    <w:rsid w:val="00B35057"/>
    <w:rsid w:val="00B368E6"/>
    <w:rsid w:val="00B4018B"/>
    <w:rsid w:val="00B45797"/>
    <w:rsid w:val="00B51406"/>
    <w:rsid w:val="00B55DDB"/>
    <w:rsid w:val="00B56CA6"/>
    <w:rsid w:val="00B62EFA"/>
    <w:rsid w:val="00B67472"/>
    <w:rsid w:val="00B721E2"/>
    <w:rsid w:val="00B85B25"/>
    <w:rsid w:val="00B94F5A"/>
    <w:rsid w:val="00BA0B5D"/>
    <w:rsid w:val="00BA13DC"/>
    <w:rsid w:val="00BA183C"/>
    <w:rsid w:val="00BA2D3D"/>
    <w:rsid w:val="00BB3BD3"/>
    <w:rsid w:val="00BC0B39"/>
    <w:rsid w:val="00BC108E"/>
    <w:rsid w:val="00BC19CD"/>
    <w:rsid w:val="00BD17C6"/>
    <w:rsid w:val="00BD28BD"/>
    <w:rsid w:val="00BD3E97"/>
    <w:rsid w:val="00BE2D33"/>
    <w:rsid w:val="00BF2E17"/>
    <w:rsid w:val="00BF5BE0"/>
    <w:rsid w:val="00C13938"/>
    <w:rsid w:val="00C160FE"/>
    <w:rsid w:val="00C17189"/>
    <w:rsid w:val="00C177B5"/>
    <w:rsid w:val="00C17DA0"/>
    <w:rsid w:val="00C17F22"/>
    <w:rsid w:val="00C27C99"/>
    <w:rsid w:val="00C43FB3"/>
    <w:rsid w:val="00C4463A"/>
    <w:rsid w:val="00C50A72"/>
    <w:rsid w:val="00C54AD6"/>
    <w:rsid w:val="00C704A5"/>
    <w:rsid w:val="00C7454F"/>
    <w:rsid w:val="00C753E5"/>
    <w:rsid w:val="00C82F37"/>
    <w:rsid w:val="00C87850"/>
    <w:rsid w:val="00C90C7B"/>
    <w:rsid w:val="00C9100A"/>
    <w:rsid w:val="00C948BC"/>
    <w:rsid w:val="00CA2EBF"/>
    <w:rsid w:val="00CC1984"/>
    <w:rsid w:val="00CC26FF"/>
    <w:rsid w:val="00CC6626"/>
    <w:rsid w:val="00CD5968"/>
    <w:rsid w:val="00CE1153"/>
    <w:rsid w:val="00CE16EE"/>
    <w:rsid w:val="00CE2077"/>
    <w:rsid w:val="00CE54D8"/>
    <w:rsid w:val="00CE5F6B"/>
    <w:rsid w:val="00CE65FB"/>
    <w:rsid w:val="00CE6B30"/>
    <w:rsid w:val="00CE7486"/>
    <w:rsid w:val="00CF1322"/>
    <w:rsid w:val="00CF2FE6"/>
    <w:rsid w:val="00D00F5B"/>
    <w:rsid w:val="00D018B2"/>
    <w:rsid w:val="00D075BC"/>
    <w:rsid w:val="00D131BB"/>
    <w:rsid w:val="00D160E9"/>
    <w:rsid w:val="00D169A3"/>
    <w:rsid w:val="00D21B3D"/>
    <w:rsid w:val="00D35EB2"/>
    <w:rsid w:val="00D40BB5"/>
    <w:rsid w:val="00D43EF3"/>
    <w:rsid w:val="00D44A4A"/>
    <w:rsid w:val="00D50870"/>
    <w:rsid w:val="00D5157A"/>
    <w:rsid w:val="00D60D6E"/>
    <w:rsid w:val="00D60DA4"/>
    <w:rsid w:val="00D7229D"/>
    <w:rsid w:val="00D7288F"/>
    <w:rsid w:val="00D740C2"/>
    <w:rsid w:val="00D84855"/>
    <w:rsid w:val="00D84FD0"/>
    <w:rsid w:val="00D85064"/>
    <w:rsid w:val="00D86F2E"/>
    <w:rsid w:val="00D87DCE"/>
    <w:rsid w:val="00D93990"/>
    <w:rsid w:val="00D95C66"/>
    <w:rsid w:val="00DA4B31"/>
    <w:rsid w:val="00DB5770"/>
    <w:rsid w:val="00DB6542"/>
    <w:rsid w:val="00DC2214"/>
    <w:rsid w:val="00DC2703"/>
    <w:rsid w:val="00DC4AF8"/>
    <w:rsid w:val="00DC738B"/>
    <w:rsid w:val="00DE0AAE"/>
    <w:rsid w:val="00DE5DAA"/>
    <w:rsid w:val="00DF7D86"/>
    <w:rsid w:val="00E0348B"/>
    <w:rsid w:val="00E05E49"/>
    <w:rsid w:val="00E22025"/>
    <w:rsid w:val="00E24607"/>
    <w:rsid w:val="00E271CF"/>
    <w:rsid w:val="00E350DA"/>
    <w:rsid w:val="00E434BC"/>
    <w:rsid w:val="00E44255"/>
    <w:rsid w:val="00E44CE3"/>
    <w:rsid w:val="00E45162"/>
    <w:rsid w:val="00E50D55"/>
    <w:rsid w:val="00E5346E"/>
    <w:rsid w:val="00E5593E"/>
    <w:rsid w:val="00E6306A"/>
    <w:rsid w:val="00E638A7"/>
    <w:rsid w:val="00E65A88"/>
    <w:rsid w:val="00E730A8"/>
    <w:rsid w:val="00E74A0C"/>
    <w:rsid w:val="00E8271A"/>
    <w:rsid w:val="00E84C3D"/>
    <w:rsid w:val="00E84E6F"/>
    <w:rsid w:val="00E9308A"/>
    <w:rsid w:val="00E94262"/>
    <w:rsid w:val="00E9522A"/>
    <w:rsid w:val="00E97D41"/>
    <w:rsid w:val="00EA3579"/>
    <w:rsid w:val="00EB5319"/>
    <w:rsid w:val="00EC7D5C"/>
    <w:rsid w:val="00ED00A2"/>
    <w:rsid w:val="00ED05ED"/>
    <w:rsid w:val="00ED4DE6"/>
    <w:rsid w:val="00EE6163"/>
    <w:rsid w:val="00EF1A96"/>
    <w:rsid w:val="00F0476A"/>
    <w:rsid w:val="00F169E1"/>
    <w:rsid w:val="00F17F1C"/>
    <w:rsid w:val="00F22F03"/>
    <w:rsid w:val="00F246F0"/>
    <w:rsid w:val="00F248D5"/>
    <w:rsid w:val="00F25FE5"/>
    <w:rsid w:val="00F35F1C"/>
    <w:rsid w:val="00F41AC8"/>
    <w:rsid w:val="00F4393C"/>
    <w:rsid w:val="00F473F9"/>
    <w:rsid w:val="00F52F26"/>
    <w:rsid w:val="00F53669"/>
    <w:rsid w:val="00F60DB6"/>
    <w:rsid w:val="00F60F62"/>
    <w:rsid w:val="00F66656"/>
    <w:rsid w:val="00F75150"/>
    <w:rsid w:val="00F80171"/>
    <w:rsid w:val="00F82809"/>
    <w:rsid w:val="00F846E3"/>
    <w:rsid w:val="00F90BAD"/>
    <w:rsid w:val="00F91378"/>
    <w:rsid w:val="00F91B1D"/>
    <w:rsid w:val="00F9450C"/>
    <w:rsid w:val="00FA1532"/>
    <w:rsid w:val="00FA2D11"/>
    <w:rsid w:val="00FB352A"/>
    <w:rsid w:val="00FC31B7"/>
    <w:rsid w:val="00FC73DF"/>
    <w:rsid w:val="00FD6179"/>
    <w:rsid w:val="00FE1B6F"/>
    <w:rsid w:val="00FE2E5F"/>
    <w:rsid w:val="00FE7780"/>
    <w:rsid w:val="00FF25C4"/>
    <w:rsid w:val="00FF4FEE"/>
    <w:rsid w:val="00FF59B3"/>
    <w:rsid w:val="00FF5CBA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A1532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12592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1259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125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09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6162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1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26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6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6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06432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5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927188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67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34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3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770586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18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E551DE-E751-40C8-AD84-C56636DB4A7C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3B43F19-B9AD-4C43-8444-717A6BDBFF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3754</Characters>
  <Application>Microsoft Office Word</Application>
  <DocSecurity>4</DocSecurity>
  <Lines>76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2026-03-13T14:50:00Z</cp:lastPrinted>
  <dcterms:created xsi:type="dcterms:W3CDTF">2026-03-19T18:03:00Z</dcterms:created>
  <dcterms:modified xsi:type="dcterms:W3CDTF">2026-03-19T18:03:00Z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