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0DA47" w14:textId="08F1E6B1" w:rsidR="00331F8E" w:rsidRDefault="00331F8E" w:rsidP="009526AE">
      <w:pPr>
        <w:jc w:val="center"/>
        <w:rPr>
          <w:rFonts w:ascii="Book Antiqua" w:hAnsi="Book Antiqua"/>
          <w:sz w:val="28"/>
          <w:lang w:val="es-ES_tradnl"/>
        </w:rPr>
      </w:pPr>
      <w:proofErr w:type="spellStart"/>
      <w:r>
        <w:rPr>
          <w:rFonts w:ascii="Book Antiqua" w:hAnsi="Book Antiqua"/>
          <w:sz w:val="28"/>
          <w:lang w:val="es-ES_tradnl"/>
        </w:rPr>
        <w:t>Entirillado</w:t>
      </w:r>
      <w:proofErr w:type="spellEnd"/>
      <w:r>
        <w:rPr>
          <w:rFonts w:ascii="Book Antiqua" w:hAnsi="Book Antiqua"/>
          <w:sz w:val="28"/>
          <w:lang w:val="es-ES_tradnl"/>
        </w:rPr>
        <w:t xml:space="preserve"> electrónico</w:t>
      </w:r>
    </w:p>
    <w:p w14:paraId="282BE54E" w14:textId="3FA47748" w:rsidR="004F5144" w:rsidRPr="001C375E" w:rsidRDefault="004F5144" w:rsidP="009526AE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Pr="001C375E">
        <w:rPr>
          <w:rFonts w:ascii="Book Antiqua" w:hAnsi="Book Antiqua"/>
          <w:sz w:val="28"/>
          <w:lang w:val="es-ES_tradnl"/>
        </w:rPr>
        <w:t xml:space="preserve"> DE PUERTO RICO</w:t>
      </w:r>
    </w:p>
    <w:p w14:paraId="370896B0" w14:textId="77777777" w:rsidR="004F5144" w:rsidRPr="001C375E" w:rsidRDefault="004F5144" w:rsidP="009526AE">
      <w:pPr>
        <w:jc w:val="center"/>
        <w:rPr>
          <w:rFonts w:ascii="Book Antiqua" w:hAnsi="Book Antiqua"/>
          <w:lang w:val="es-ES_tradnl"/>
        </w:rPr>
      </w:pPr>
    </w:p>
    <w:p w14:paraId="5F899E00" w14:textId="77777777" w:rsidR="004F5144" w:rsidRPr="001C375E" w:rsidRDefault="004F5144" w:rsidP="009526AE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A23283">
        <w:rPr>
          <w:rFonts w:ascii="Book Antiqua" w:hAnsi="Book Antiqua"/>
          <w:vertAlign w:val="superscript"/>
          <w:lang w:val="es-ES_tradnl"/>
        </w:rPr>
        <w:t>ma.</w:t>
      </w:r>
      <w:r w:rsidRPr="00A23283">
        <w:rPr>
          <w:rFonts w:ascii="Book Antiqua" w:hAnsi="Book Antiqua"/>
          <w:vertAlign w:val="superscript"/>
          <w:lang w:val="es-ES_tradnl"/>
        </w:rPr>
        <w:tab/>
      </w:r>
      <w:r w:rsidRPr="001C375E">
        <w:rPr>
          <w:rFonts w:ascii="Book Antiqua" w:hAnsi="Book Antiqua"/>
          <w:lang w:val="es-ES_tradnl"/>
        </w:rPr>
        <w:t>Asamblea</w:t>
      </w:r>
      <w:r w:rsidRPr="001C375E">
        <w:rPr>
          <w:rFonts w:ascii="Book Antiqua" w:hAnsi="Book Antiqua"/>
          <w:lang w:val="es-ES_tradnl"/>
        </w:rPr>
        <w:tab/>
      </w:r>
      <w:r w:rsidR="000D16E4">
        <w:rPr>
          <w:rFonts w:ascii="Book Antiqua" w:hAnsi="Book Antiqua"/>
          <w:lang w:val="es-ES_tradnl"/>
        </w:rPr>
        <w:t>3</w:t>
      </w:r>
      <w:r w:rsidR="000D16E4" w:rsidRPr="000D16E4">
        <w:rPr>
          <w:rFonts w:ascii="Book Antiqua" w:hAnsi="Book Antiqua"/>
          <w:vertAlign w:val="superscript"/>
          <w:lang w:val="es-ES_tradnl"/>
        </w:rPr>
        <w:t>ra</w:t>
      </w:r>
      <w:r w:rsidRPr="00A23283">
        <w:rPr>
          <w:rFonts w:ascii="Book Antiqua" w:hAnsi="Book Antiqua"/>
          <w:vertAlign w:val="superscript"/>
          <w:lang w:val="es-ES_tradnl"/>
        </w:rPr>
        <w:t>.</w:t>
      </w:r>
      <w:r w:rsidRPr="001C375E">
        <w:rPr>
          <w:rFonts w:ascii="Book Antiqua" w:hAnsi="Book Antiqua"/>
          <w:lang w:val="es-ES_tradnl"/>
        </w:rPr>
        <w:tab/>
        <w:t>Sesión</w:t>
      </w:r>
    </w:p>
    <w:p w14:paraId="3D7F4B74" w14:textId="77777777" w:rsidR="004F5144" w:rsidRPr="001C375E" w:rsidRDefault="004F5144" w:rsidP="009526AE">
      <w:pPr>
        <w:pStyle w:val="Title2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ab/>
        <w:t>Legislativa</w:t>
      </w:r>
      <w:r w:rsidRPr="001C375E">
        <w:rPr>
          <w:rFonts w:ascii="Book Antiqua" w:hAnsi="Book Antiqua"/>
          <w:lang w:val="es-ES_tradnl"/>
        </w:rPr>
        <w:tab/>
      </w:r>
      <w:r w:rsidRPr="001C375E">
        <w:rPr>
          <w:rFonts w:ascii="Book Antiqua" w:hAnsi="Book Antiqua"/>
          <w:lang w:val="es-ES_tradnl"/>
        </w:rPr>
        <w:tab/>
        <w:t>Ordinaria</w:t>
      </w:r>
    </w:p>
    <w:p w14:paraId="577E78BB" w14:textId="77777777" w:rsidR="004F5144" w:rsidRPr="001C375E" w:rsidRDefault="004F5144" w:rsidP="009526AE">
      <w:pPr>
        <w:rPr>
          <w:rFonts w:ascii="Book Antiqua" w:hAnsi="Book Antiqua"/>
          <w:lang w:val="es-ES_tradnl"/>
        </w:rPr>
      </w:pPr>
    </w:p>
    <w:p w14:paraId="29EA84BD" w14:textId="77777777" w:rsidR="004F5144" w:rsidRPr="001C375E" w:rsidRDefault="004F5144" w:rsidP="009526AE">
      <w:pPr>
        <w:jc w:val="center"/>
        <w:rPr>
          <w:rFonts w:ascii="Book Antiqua" w:hAnsi="Book Antiqua"/>
          <w:b/>
          <w:sz w:val="36"/>
          <w:lang w:val="es-ES_tradnl"/>
        </w:rPr>
      </w:pPr>
      <w:r w:rsidRPr="001C375E">
        <w:rPr>
          <w:rFonts w:ascii="Book Antiqua" w:hAnsi="Book Antiqua"/>
          <w:b/>
          <w:sz w:val="36"/>
          <w:lang w:val="es-ES_tradnl"/>
        </w:rPr>
        <w:t xml:space="preserve">CÁMARA DE REPRESENTANTES </w:t>
      </w:r>
    </w:p>
    <w:p w14:paraId="24F3023B" w14:textId="77777777" w:rsidR="004F5144" w:rsidRPr="00FE4A11" w:rsidRDefault="004F5144" w:rsidP="009526AE">
      <w:pPr>
        <w:jc w:val="center"/>
        <w:rPr>
          <w:rFonts w:ascii="Book Antiqua" w:hAnsi="Book Antiqua"/>
          <w:b/>
          <w:lang w:val="es-PR"/>
        </w:rPr>
      </w:pPr>
    </w:p>
    <w:p w14:paraId="19A9546C" w14:textId="77777777" w:rsidR="004F5144" w:rsidRDefault="004F5144" w:rsidP="009526AE">
      <w:pPr>
        <w:jc w:val="center"/>
        <w:rPr>
          <w:rFonts w:ascii="Book Antiqua" w:hAnsi="Book Antiqua"/>
          <w:b/>
          <w:sz w:val="52"/>
          <w:lang w:val="es-PR"/>
        </w:rPr>
      </w:pPr>
      <w:r w:rsidRPr="006A10FD">
        <w:rPr>
          <w:rFonts w:ascii="Book Antiqua" w:hAnsi="Book Antiqua"/>
          <w:b/>
          <w:sz w:val="52"/>
          <w:lang w:val="es-PR"/>
        </w:rPr>
        <w:t xml:space="preserve">P. de la C. </w:t>
      </w:r>
      <w:r w:rsidR="0032677C">
        <w:rPr>
          <w:rFonts w:ascii="Book Antiqua" w:hAnsi="Book Antiqua"/>
          <w:b/>
          <w:sz w:val="52"/>
          <w:lang w:val="es-PR"/>
        </w:rPr>
        <w:t>1078</w:t>
      </w:r>
    </w:p>
    <w:p w14:paraId="1018758D" w14:textId="77777777" w:rsidR="004F5144" w:rsidRPr="00D64218" w:rsidRDefault="004F5144" w:rsidP="009526AE">
      <w:pPr>
        <w:jc w:val="center"/>
        <w:rPr>
          <w:rFonts w:ascii="Book Antiqua" w:hAnsi="Book Antiqua"/>
          <w:b/>
          <w:szCs w:val="24"/>
          <w:lang w:val="es-PR"/>
        </w:rPr>
      </w:pPr>
    </w:p>
    <w:p w14:paraId="15624C2F" w14:textId="77777777" w:rsidR="004F5144" w:rsidRDefault="0032677C" w:rsidP="009526AE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0D16E4">
        <w:rPr>
          <w:rFonts w:ascii="Book Antiqua" w:hAnsi="Book Antiqua"/>
          <w:lang w:val="es-PR"/>
        </w:rPr>
        <w:t xml:space="preserve"> </w:t>
      </w:r>
      <w:r w:rsidR="004F5144" w:rsidRPr="006A10FD">
        <w:rPr>
          <w:rFonts w:ascii="Book Antiqua" w:hAnsi="Book Antiqua"/>
          <w:lang w:val="es-PR"/>
        </w:rPr>
        <w:t>DE</w:t>
      </w:r>
      <w:r w:rsidR="004F5144">
        <w:rPr>
          <w:rFonts w:ascii="Book Antiqua" w:hAnsi="Book Antiqua"/>
          <w:lang w:val="es-PR"/>
        </w:rPr>
        <w:t xml:space="preserve"> </w:t>
      </w:r>
      <w:r w:rsidR="000D16E4">
        <w:rPr>
          <w:rFonts w:ascii="Book Antiqua" w:hAnsi="Book Antiqua"/>
          <w:lang w:val="es-PR"/>
        </w:rPr>
        <w:t>ENERO</w:t>
      </w:r>
      <w:r w:rsidR="004F5144" w:rsidRPr="006A10FD">
        <w:rPr>
          <w:rFonts w:ascii="Book Antiqua" w:hAnsi="Book Antiqua"/>
          <w:lang w:val="es-PR"/>
        </w:rPr>
        <w:t xml:space="preserve"> DE 20</w:t>
      </w:r>
      <w:r w:rsidR="004F5144">
        <w:rPr>
          <w:rFonts w:ascii="Book Antiqua" w:hAnsi="Book Antiqua"/>
          <w:lang w:val="es-PR"/>
        </w:rPr>
        <w:t>2</w:t>
      </w:r>
      <w:r w:rsidR="00FE2C2E">
        <w:rPr>
          <w:rFonts w:ascii="Book Antiqua" w:hAnsi="Book Antiqua"/>
          <w:lang w:val="es-PR"/>
        </w:rPr>
        <w:t>6</w:t>
      </w:r>
    </w:p>
    <w:p w14:paraId="7711761F" w14:textId="77777777" w:rsidR="004F5144" w:rsidRPr="006A10FD" w:rsidRDefault="004F5144" w:rsidP="009526AE">
      <w:pPr>
        <w:jc w:val="center"/>
        <w:rPr>
          <w:rFonts w:ascii="Book Antiqua" w:hAnsi="Book Antiqua"/>
          <w:lang w:val="es-PR"/>
        </w:rPr>
      </w:pPr>
    </w:p>
    <w:p w14:paraId="73ED754D" w14:textId="77777777" w:rsidR="004F5144" w:rsidRPr="006B26AE" w:rsidRDefault="004F5144" w:rsidP="009526AE">
      <w:pPr>
        <w:jc w:val="center"/>
        <w:rPr>
          <w:rFonts w:ascii="Book Antiqua" w:hAnsi="Book Antiqua"/>
          <w:i/>
          <w:iCs/>
          <w:lang w:val="es-PR"/>
        </w:rPr>
      </w:pPr>
      <w:r w:rsidRPr="006A10FD">
        <w:rPr>
          <w:rFonts w:ascii="Book Antiqua" w:hAnsi="Book Antiqua"/>
          <w:lang w:val="es-PR"/>
        </w:rPr>
        <w:t xml:space="preserve">Presentado por </w:t>
      </w:r>
      <w:r w:rsidR="00AB4607">
        <w:rPr>
          <w:rFonts w:ascii="Book Antiqua" w:hAnsi="Book Antiqua"/>
          <w:lang w:val="es-PR"/>
        </w:rPr>
        <w:t>e</w:t>
      </w:r>
      <w:r w:rsidR="006B26AE">
        <w:rPr>
          <w:rFonts w:ascii="Book Antiqua" w:hAnsi="Book Antiqua"/>
          <w:lang w:val="es-PR"/>
        </w:rPr>
        <w:t>l</w:t>
      </w:r>
      <w:r w:rsidRPr="006A10FD">
        <w:rPr>
          <w:rFonts w:ascii="Book Antiqua" w:hAnsi="Book Antiqua"/>
          <w:lang w:val="es-PR"/>
        </w:rPr>
        <w:t xml:space="preserve"> representante </w:t>
      </w:r>
      <w:r w:rsidR="000D16E4">
        <w:rPr>
          <w:rFonts w:ascii="Book Antiqua" w:hAnsi="Book Antiqua"/>
          <w:i/>
          <w:iCs/>
          <w:lang w:val="es-PR"/>
        </w:rPr>
        <w:t>Morey Noble</w:t>
      </w:r>
    </w:p>
    <w:p w14:paraId="77B9F67E" w14:textId="77777777" w:rsidR="00565F0A" w:rsidRDefault="00565F0A" w:rsidP="009526AE">
      <w:pPr>
        <w:jc w:val="center"/>
        <w:rPr>
          <w:rFonts w:ascii="Book Antiqua" w:hAnsi="Book Antiqua"/>
          <w:i/>
          <w:iCs/>
          <w:lang w:val="es-PR"/>
        </w:rPr>
      </w:pPr>
    </w:p>
    <w:p w14:paraId="343232CA" w14:textId="77777777" w:rsidR="00565F0A" w:rsidRPr="00565F0A" w:rsidRDefault="00565F0A" w:rsidP="009526AE">
      <w:pPr>
        <w:jc w:val="center"/>
        <w:rPr>
          <w:rFonts w:ascii="Book Antiqua" w:hAnsi="Book Antiqua"/>
          <w:lang w:val="es-PR"/>
        </w:rPr>
      </w:pPr>
      <w:r w:rsidRPr="00565F0A">
        <w:rPr>
          <w:rFonts w:ascii="Book Antiqua" w:hAnsi="Book Antiqua"/>
          <w:lang w:val="es-PR"/>
        </w:rPr>
        <w:t>Referid</w:t>
      </w:r>
      <w:r w:rsidR="00CE01AC">
        <w:rPr>
          <w:rFonts w:ascii="Book Antiqua" w:hAnsi="Book Antiqua"/>
          <w:lang w:val="es-PR"/>
        </w:rPr>
        <w:t>o</w:t>
      </w:r>
      <w:r w:rsidRPr="00565F0A">
        <w:rPr>
          <w:rFonts w:ascii="Book Antiqua" w:hAnsi="Book Antiqua"/>
          <w:lang w:val="es-PR"/>
        </w:rPr>
        <w:t xml:space="preserve"> a </w:t>
      </w:r>
      <w:r w:rsidR="00975D5A">
        <w:rPr>
          <w:rFonts w:ascii="Book Antiqua" w:hAnsi="Book Antiqua"/>
          <w:lang w:val="es-PR"/>
        </w:rPr>
        <w:t>la Comisión de lo Jurídico</w:t>
      </w:r>
    </w:p>
    <w:p w14:paraId="04D34255" w14:textId="77777777" w:rsidR="006A10FD" w:rsidRPr="00565F0A" w:rsidRDefault="006A10FD" w:rsidP="009526AE">
      <w:pPr>
        <w:jc w:val="both"/>
        <w:rPr>
          <w:rFonts w:ascii="Book Antiqua" w:hAnsi="Book Antiqua"/>
          <w:lang w:val="es-PR"/>
        </w:rPr>
      </w:pPr>
    </w:p>
    <w:p w14:paraId="37A46D47" w14:textId="77777777" w:rsidR="006A10FD" w:rsidRPr="006A10FD" w:rsidRDefault="006A10FD" w:rsidP="009526AE">
      <w:pPr>
        <w:jc w:val="center"/>
        <w:rPr>
          <w:rFonts w:ascii="Book Antiqua" w:hAnsi="Book Antiqua"/>
          <w:b/>
          <w:sz w:val="28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3A0111B0" w14:textId="77777777" w:rsidR="006A10FD" w:rsidRPr="006A10FD" w:rsidRDefault="006A10FD" w:rsidP="009526AE">
      <w:pPr>
        <w:jc w:val="both"/>
        <w:rPr>
          <w:rFonts w:ascii="Book Antiqua" w:hAnsi="Book Antiqua"/>
          <w:lang w:val="es-PR"/>
        </w:rPr>
      </w:pPr>
    </w:p>
    <w:p w14:paraId="56105F0F" w14:textId="77777777" w:rsidR="00C830EA" w:rsidRPr="004C33C1" w:rsidRDefault="00C830EA" w:rsidP="00AB4607">
      <w:pPr>
        <w:ind w:left="540" w:hanging="540"/>
        <w:jc w:val="both"/>
        <w:rPr>
          <w:rFonts w:ascii="Book Antiqua" w:hAnsi="Book Antiqua"/>
          <w:lang w:val="es-ES"/>
        </w:rPr>
      </w:pPr>
      <w:r w:rsidRPr="004C33C1">
        <w:rPr>
          <w:rFonts w:ascii="Book Antiqua" w:hAnsi="Book Antiqua"/>
          <w:lang w:val="es-ES"/>
        </w:rPr>
        <w:t>Para</w:t>
      </w:r>
      <w:r w:rsidR="00490D95">
        <w:rPr>
          <w:rFonts w:ascii="Book Antiqua" w:hAnsi="Book Antiqua"/>
          <w:lang w:val="es-ES"/>
        </w:rPr>
        <w:t xml:space="preserve"> </w:t>
      </w:r>
      <w:r w:rsidR="00683155">
        <w:rPr>
          <w:rFonts w:ascii="Book Antiqua" w:hAnsi="Book Antiqua"/>
          <w:lang w:val="es-ES"/>
        </w:rPr>
        <w:t xml:space="preserve">enmendar el inciso (d) del Artículo 3 de la Ley </w:t>
      </w:r>
      <w:r w:rsidR="00A56C1B">
        <w:rPr>
          <w:rFonts w:ascii="Book Antiqua" w:hAnsi="Book Antiqua"/>
          <w:lang w:val="es-ES"/>
        </w:rPr>
        <w:t>N</w:t>
      </w:r>
      <w:r w:rsidR="00683155">
        <w:rPr>
          <w:rFonts w:ascii="Book Antiqua" w:hAnsi="Book Antiqua"/>
          <w:lang w:val="es-ES"/>
        </w:rPr>
        <w:t xml:space="preserve">úm. 77 de 25 de junio de 1964, según enmendada, conocida como “Ley Antimonopolística de Puerto Rico”, </w:t>
      </w:r>
      <w:r w:rsidR="00406FF8">
        <w:rPr>
          <w:rFonts w:ascii="Book Antiqua" w:hAnsi="Book Antiqua"/>
          <w:lang w:val="es-ES"/>
        </w:rPr>
        <w:t>para disponer</w:t>
      </w:r>
      <w:r w:rsidR="00683155">
        <w:rPr>
          <w:rFonts w:ascii="Book Antiqua" w:hAnsi="Book Antiqua"/>
          <w:lang w:val="es-ES"/>
        </w:rPr>
        <w:t xml:space="preserve"> que las revisiones judiciales bajo dicha ley se presentarán ante el Tribunal de Apelaciones de Puerto Rico; y para otros fines relacionados. </w:t>
      </w:r>
    </w:p>
    <w:p w14:paraId="4D1B9F49" w14:textId="77777777" w:rsidR="00FE4A11" w:rsidRPr="006A10FD" w:rsidRDefault="00FE4A11" w:rsidP="009526AE">
      <w:pPr>
        <w:ind w:left="720" w:hanging="720"/>
        <w:jc w:val="both"/>
        <w:rPr>
          <w:rFonts w:ascii="Book Antiqua" w:hAnsi="Book Antiqua"/>
          <w:lang w:val="es-PR"/>
        </w:rPr>
      </w:pPr>
    </w:p>
    <w:p w14:paraId="37BA8F62" w14:textId="77777777" w:rsidR="006A10FD" w:rsidRDefault="006A10FD" w:rsidP="009526AE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0B1B709B" w14:textId="77777777" w:rsidR="00CE01AC" w:rsidRDefault="00CE01AC" w:rsidP="009526AE">
      <w:pPr>
        <w:jc w:val="center"/>
        <w:rPr>
          <w:rFonts w:ascii="Book Antiqua" w:hAnsi="Book Antiqua"/>
          <w:lang w:val="es-PR"/>
        </w:rPr>
      </w:pPr>
    </w:p>
    <w:p w14:paraId="4626D87A" w14:textId="6ED762AE" w:rsidR="00331F8E" w:rsidRDefault="00331F8E" w:rsidP="00331F8E">
      <w:pPr>
        <w:ind w:firstLine="720"/>
        <w:jc w:val="both"/>
        <w:rPr>
          <w:rFonts w:ascii="Book Antiqua" w:hAnsi="Book Antiqua"/>
          <w:lang w:val="es-ES"/>
        </w:rPr>
      </w:pPr>
      <w:r w:rsidRPr="00A13928">
        <w:rPr>
          <w:rFonts w:ascii="Book Antiqua" w:hAnsi="Book Antiqua"/>
          <w:i/>
          <w:iCs/>
          <w:u w:val="single"/>
          <w:lang w:val="es-ES"/>
        </w:rPr>
        <w:t>El</w:t>
      </w:r>
      <w:r>
        <w:rPr>
          <w:rFonts w:ascii="Book Antiqua" w:hAnsi="Book Antiqua"/>
          <w:i/>
          <w:iCs/>
          <w:u w:val="single"/>
          <w:lang w:val="es-ES"/>
        </w:rPr>
        <w:t xml:space="preserve"> </w:t>
      </w:r>
      <w:r w:rsidRPr="00B320BA">
        <w:rPr>
          <w:rFonts w:ascii="Book Antiqua" w:hAnsi="Book Antiqua"/>
          <w:i/>
          <w:iCs/>
          <w:u w:val="single"/>
          <w:lang w:val="es-ES"/>
        </w:rPr>
        <w:t>Artículo 3(d) de la Ley Núm. 77 de 25 de junio de 1964, según enmendada,</w:t>
      </w:r>
      <w:r>
        <w:rPr>
          <w:rFonts w:ascii="Book Antiqua" w:hAnsi="Book Antiqua"/>
          <w:i/>
          <w:iCs/>
          <w:u w:val="single"/>
          <w:lang w:val="es-ES"/>
        </w:rPr>
        <w:t xml:space="preserve"> establece lo siguiente: </w:t>
      </w:r>
      <w:r w:rsidRPr="00120057">
        <w:rPr>
          <w:rFonts w:ascii="Book Antiqua" w:hAnsi="Book Antiqua"/>
          <w:i/>
          <w:iCs/>
          <w:u w:val="single"/>
          <w:lang w:val="es-ES"/>
        </w:rPr>
        <w:t>cuando estén afectados por una decisión del Departamento de Asuntos del Consumidor</w:t>
      </w:r>
      <w:r>
        <w:rPr>
          <w:rFonts w:ascii="Book Antiqua" w:hAnsi="Book Antiqua"/>
          <w:i/>
          <w:iCs/>
          <w:u w:val="single"/>
          <w:lang w:val="es-ES"/>
        </w:rPr>
        <w:t>, l</w:t>
      </w:r>
      <w:r w:rsidRPr="00120057">
        <w:rPr>
          <w:rFonts w:ascii="Book Antiqua" w:hAnsi="Book Antiqua"/>
          <w:i/>
          <w:iCs/>
          <w:u w:val="single"/>
          <w:lang w:val="es-ES"/>
        </w:rPr>
        <w:t>a Oficina de Asuntos Monopolísticos o la parte querellada tendrán derecho a la revisión judicial</w:t>
      </w:r>
      <w:r>
        <w:rPr>
          <w:rFonts w:ascii="Book Antiqua" w:hAnsi="Book Antiqua"/>
          <w:i/>
          <w:iCs/>
          <w:u w:val="single"/>
          <w:lang w:val="es-ES"/>
        </w:rPr>
        <w:t xml:space="preserve"> </w:t>
      </w:r>
      <w:r w:rsidRPr="00120057">
        <w:rPr>
          <w:rFonts w:ascii="Book Antiqua" w:hAnsi="Book Antiqua"/>
          <w:i/>
          <w:iCs/>
          <w:u w:val="single"/>
          <w:lang w:val="es-ES"/>
        </w:rPr>
        <w:t>en el Tribunal de Primera Instancia</w:t>
      </w:r>
      <w:r>
        <w:rPr>
          <w:rFonts w:ascii="Book Antiqua" w:hAnsi="Book Antiqua"/>
          <w:i/>
          <w:iCs/>
          <w:u w:val="single"/>
          <w:lang w:val="es-ES"/>
        </w:rPr>
        <w:t>.</w:t>
      </w:r>
      <w:r w:rsidR="00AB4607">
        <w:rPr>
          <w:rFonts w:ascii="Book Antiqua" w:hAnsi="Book Antiqua"/>
          <w:lang w:val="es-ES"/>
        </w:rPr>
        <w:tab/>
      </w:r>
    </w:p>
    <w:p w14:paraId="7FCBEC96" w14:textId="77777777" w:rsidR="00331F8E" w:rsidRDefault="00331F8E" w:rsidP="009526AE">
      <w:pPr>
        <w:ind w:firstLine="360"/>
        <w:jc w:val="both"/>
        <w:rPr>
          <w:rFonts w:ascii="Book Antiqua" w:hAnsi="Book Antiqua"/>
          <w:lang w:val="es-ES"/>
        </w:rPr>
      </w:pPr>
    </w:p>
    <w:p w14:paraId="36BBA128" w14:textId="328DA27D" w:rsidR="00FE4A11" w:rsidRDefault="00683155" w:rsidP="00331F8E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Recientemente el Tribunal Supremo de Puerto Rico determinó en </w:t>
      </w:r>
      <w:r w:rsidRPr="00683155">
        <w:rPr>
          <w:rFonts w:ascii="Book Antiqua" w:hAnsi="Book Antiqua"/>
          <w:i/>
          <w:iCs/>
          <w:lang w:val="es-ES"/>
        </w:rPr>
        <w:t>Oficina de Asuntos Monopolísticos del Departamento de Justicia y otros v. Abarca Health, LLC</w:t>
      </w:r>
      <w:r w:rsidRPr="00683155">
        <w:rPr>
          <w:rStyle w:val="FootnoteReference"/>
          <w:rFonts w:ascii="Book Antiqua" w:hAnsi="Book Antiqua"/>
          <w:lang w:val="es-ES"/>
        </w:rPr>
        <w:footnoteReference w:id="1"/>
      </w:r>
      <w:r w:rsidRPr="00683155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que</w:t>
      </w:r>
      <w:r w:rsidR="00A56C1B">
        <w:rPr>
          <w:rFonts w:ascii="Book Antiqua" w:hAnsi="Book Antiqua"/>
          <w:lang w:val="es-ES"/>
        </w:rPr>
        <w:t xml:space="preserve">, a lo dispuesto en el texto del Artículo 3(d) </w:t>
      </w:r>
      <w:r w:rsidR="00A56C1B" w:rsidRPr="00331F8E">
        <w:rPr>
          <w:rFonts w:ascii="Book Antiqua" w:hAnsi="Book Antiqua"/>
          <w:strike/>
          <w:lang w:val="es-ES"/>
        </w:rPr>
        <w:t>de la Ley Núm. 77 de 25 de junio de 1964, según enmendada, conocida como “Ley Antimonopolística de Puerto Rico”</w:t>
      </w:r>
      <w:r w:rsidR="00A56C1B" w:rsidRPr="00331F8E">
        <w:rPr>
          <w:rStyle w:val="FootnoteReference"/>
          <w:rFonts w:ascii="Book Antiqua" w:hAnsi="Book Antiqua"/>
          <w:strike/>
          <w:lang w:val="es-ES"/>
        </w:rPr>
        <w:footnoteReference w:id="2"/>
      </w:r>
      <w:r w:rsidR="00A56C1B" w:rsidRPr="00331F8E">
        <w:rPr>
          <w:rFonts w:ascii="Book Antiqua" w:hAnsi="Book Antiqua"/>
          <w:strike/>
          <w:lang w:val="es-ES"/>
        </w:rPr>
        <w:t>,</w:t>
      </w:r>
      <w:r w:rsidR="00A56C1B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el foro judicial en donde debe presentarse el recurso de revisión judicial</w:t>
      </w:r>
      <w:r w:rsidR="00A56C1B">
        <w:rPr>
          <w:rFonts w:ascii="Book Antiqua" w:hAnsi="Book Antiqua"/>
          <w:lang w:val="es-ES"/>
        </w:rPr>
        <w:t xml:space="preserve"> lo es el Tribunal de Apelaciones de Puerto Rico. Ello tras una interpretación de hermenéutica entre varias disposiciones legales pertinentes</w:t>
      </w:r>
      <w:r w:rsidR="00A56C1B" w:rsidRPr="00331F8E">
        <w:rPr>
          <w:rFonts w:ascii="Book Antiqua" w:hAnsi="Book Antiqua"/>
          <w:lang w:val="es-ES"/>
        </w:rPr>
        <w:t>.</w:t>
      </w:r>
    </w:p>
    <w:p w14:paraId="572253DF" w14:textId="0C90A13E" w:rsidR="009526AE" w:rsidRPr="007267C6" w:rsidRDefault="00331F8E" w:rsidP="009526AE">
      <w:pPr>
        <w:ind w:firstLine="36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lang w:val="es-ES"/>
        </w:rPr>
        <w:lastRenderedPageBreak/>
        <w:tab/>
      </w:r>
      <w:r w:rsidR="007267C6" w:rsidRPr="007267C6">
        <w:rPr>
          <w:rFonts w:ascii="Book Antiqua" w:hAnsi="Book Antiqua"/>
          <w:i/>
          <w:iCs/>
          <w:u w:val="single"/>
          <w:lang w:val="es-ES"/>
        </w:rPr>
        <w:t>Una de ellas fue la Sección 4.2 de la Ley Núm. 38 de 30 de junio de 2017, según enmendada</w:t>
      </w:r>
      <w:r w:rsidR="007267C6">
        <w:rPr>
          <w:rFonts w:ascii="Book Antiqua" w:hAnsi="Book Antiqua"/>
          <w:i/>
          <w:iCs/>
          <w:u w:val="single"/>
          <w:lang w:val="es-ES"/>
        </w:rPr>
        <w:t>.</w:t>
      </w:r>
      <w:r w:rsidR="007267C6" w:rsidRPr="007267C6"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7267C6">
        <w:rPr>
          <w:rFonts w:ascii="Book Antiqua" w:hAnsi="Book Antiqua"/>
          <w:i/>
          <w:iCs/>
          <w:u w:val="single"/>
          <w:lang w:val="es-ES"/>
        </w:rPr>
        <w:t xml:space="preserve">Esta </w:t>
      </w:r>
      <w:r w:rsidR="007267C6" w:rsidRPr="007267C6">
        <w:rPr>
          <w:rFonts w:ascii="Book Antiqua" w:hAnsi="Book Antiqua"/>
          <w:i/>
          <w:iCs/>
          <w:u w:val="single"/>
          <w:lang w:val="es-ES"/>
        </w:rPr>
        <w:t>establece el trámite y los términos para que una parte adversamente afectada por una orden o resolución final de una agencia y que haya agotado los remedios provistos por la agencia o por el organismo administrativo apelativo correspondiente pueda solicitar revisión judicial. Esto, ante el Tribunal de Apelaciones.</w:t>
      </w:r>
    </w:p>
    <w:p w14:paraId="555DA65F" w14:textId="519B72AC" w:rsidR="00331F8E" w:rsidRDefault="00AB4607" w:rsidP="009526AE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</w:p>
    <w:p w14:paraId="5AF871C5" w14:textId="4730E008" w:rsidR="00A56C1B" w:rsidRDefault="00A56C1B" w:rsidP="00331F8E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tanto, esta </w:t>
      </w:r>
      <w:r w:rsidRPr="00466ADC">
        <w:rPr>
          <w:rFonts w:ascii="Book Antiqua" w:hAnsi="Book Antiqua"/>
          <w:strike/>
          <w:lang w:val="es-ES"/>
        </w:rPr>
        <w:t>Ley</w:t>
      </w:r>
      <w:r>
        <w:rPr>
          <w:rFonts w:ascii="Book Antiqua" w:hAnsi="Book Antiqua"/>
          <w:lang w:val="es-ES"/>
        </w:rPr>
        <w:t xml:space="preserve"> </w:t>
      </w:r>
      <w:r w:rsidR="00466ADC">
        <w:rPr>
          <w:rFonts w:ascii="Book Antiqua" w:hAnsi="Book Antiqua"/>
          <w:i/>
          <w:iCs/>
          <w:u w:val="single"/>
          <w:lang w:val="es-ES"/>
        </w:rPr>
        <w:t>medida</w:t>
      </w:r>
      <w:r w:rsidR="00466ADC" w:rsidRPr="00466ADC">
        <w:rPr>
          <w:rFonts w:ascii="Book Antiqua" w:hAnsi="Book Antiqua"/>
          <w:i/>
          <w:iCs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tiene el propósito de que el texto del mencionado Artículo 3(d) </w:t>
      </w:r>
      <w:r w:rsidRPr="00331F8E">
        <w:rPr>
          <w:rFonts w:ascii="Book Antiqua" w:hAnsi="Book Antiqua"/>
          <w:strike/>
          <w:lang w:val="es-ES"/>
        </w:rPr>
        <w:t xml:space="preserve">de la Ley Núm. 77 de 25 de junio de 1964, </w:t>
      </w:r>
      <w:r w:rsidRPr="00331F8E">
        <w:rPr>
          <w:rFonts w:ascii="Book Antiqua" w:hAnsi="Book Antiqua"/>
          <w:i/>
          <w:iCs/>
          <w:strike/>
          <w:lang w:val="es-ES"/>
        </w:rPr>
        <w:t>supra</w:t>
      </w:r>
      <w:r w:rsidRPr="00331F8E">
        <w:rPr>
          <w:rFonts w:ascii="Book Antiqua" w:hAnsi="Book Antiqua"/>
          <w:strike/>
          <w:lang w:val="es-ES"/>
        </w:rPr>
        <w:t>,</w:t>
      </w:r>
      <w:r>
        <w:rPr>
          <w:rFonts w:ascii="Book Antiqua" w:hAnsi="Book Antiqua"/>
          <w:lang w:val="es-ES"/>
        </w:rPr>
        <w:t xml:space="preserve"> no se preste a confusión, y se armonice con lo dispuesto por nuestro Tribunal Supremo de Puerto Rico en </w:t>
      </w:r>
      <w:r w:rsidRPr="00A56C1B">
        <w:rPr>
          <w:rFonts w:ascii="Book Antiqua" w:hAnsi="Book Antiqua"/>
          <w:lang w:val="es-ES"/>
        </w:rPr>
        <w:t>el mencionado caso.</w:t>
      </w:r>
    </w:p>
    <w:p w14:paraId="083171A7" w14:textId="77777777" w:rsidR="00406FF8" w:rsidRDefault="00406FF8" w:rsidP="00CE01AC">
      <w:pPr>
        <w:ind w:firstLine="360"/>
        <w:jc w:val="both"/>
        <w:rPr>
          <w:rFonts w:ascii="Book Antiqua" w:hAnsi="Book Antiqua"/>
          <w:i/>
          <w:iCs/>
          <w:lang w:val="es-ES"/>
        </w:rPr>
      </w:pPr>
    </w:p>
    <w:p w14:paraId="6BE1DA66" w14:textId="77777777" w:rsidR="006A10FD" w:rsidRPr="006A10FD" w:rsidRDefault="006A10FD" w:rsidP="009526AE">
      <w:pPr>
        <w:spacing w:line="480" w:lineRule="auto"/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528466E0" w14:textId="77777777" w:rsidR="006A10FD" w:rsidRPr="006A10FD" w:rsidRDefault="006A10FD" w:rsidP="009526AE">
      <w:pPr>
        <w:spacing w:line="480" w:lineRule="auto"/>
        <w:jc w:val="both"/>
        <w:rPr>
          <w:rFonts w:ascii="Book Antiqua" w:hAnsi="Book Antiqua"/>
          <w:lang w:val="es-PR"/>
        </w:rPr>
        <w:sectPr w:rsidR="006A10FD" w:rsidRPr="006A10FD" w:rsidSect="00FE2C2E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C6B87E7" w14:textId="77777777" w:rsidR="00490D95" w:rsidRDefault="00533B6B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</w:t>
      </w:r>
      <w:r w:rsidR="00490D95" w:rsidRPr="00490D95">
        <w:rPr>
          <w:rFonts w:ascii="Book Antiqua" w:hAnsi="Book Antiqua"/>
          <w:szCs w:val="24"/>
          <w:lang w:val="es-PR"/>
        </w:rPr>
        <w:t xml:space="preserve"> 1.-</w:t>
      </w:r>
      <w:r w:rsidR="00034C0E">
        <w:rPr>
          <w:rFonts w:ascii="Book Antiqua" w:hAnsi="Book Antiqua"/>
          <w:szCs w:val="24"/>
          <w:lang w:val="es-PR"/>
        </w:rPr>
        <w:t xml:space="preserve">Se enmienda el inciso “(d)” del Artículo 3 de la Ley Núm. 77 de 25 de junio de 1964, según enmendada, </w:t>
      </w:r>
      <w:r w:rsidR="00034C0E" w:rsidRPr="00331F8E">
        <w:rPr>
          <w:rFonts w:ascii="Book Antiqua" w:hAnsi="Book Antiqua"/>
          <w:strike/>
          <w:szCs w:val="24"/>
          <w:lang w:val="es-PR"/>
        </w:rPr>
        <w:t>conocida como “Ley Antimonopolística de Puerto Rico”,</w:t>
      </w:r>
      <w:r w:rsidR="00034C0E">
        <w:rPr>
          <w:rFonts w:ascii="Book Antiqua" w:hAnsi="Book Antiqua"/>
          <w:szCs w:val="24"/>
          <w:lang w:val="es-PR"/>
        </w:rPr>
        <w:t xml:space="preserve"> para que lea del siguiente modo: </w:t>
      </w:r>
    </w:p>
    <w:p w14:paraId="1D86DC71" w14:textId="77777777" w:rsidR="007267C6" w:rsidRDefault="00034C0E" w:rsidP="007267C6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u w:val="single"/>
          <w:lang w:val="es-PR"/>
        </w:rPr>
      </w:pPr>
      <w:r>
        <w:rPr>
          <w:rFonts w:ascii="Book Antiqua" w:hAnsi="Book Antiqua"/>
          <w:szCs w:val="24"/>
          <w:lang w:val="es-PR"/>
        </w:rPr>
        <w:t>“</w:t>
      </w:r>
      <w:r w:rsidR="00683155" w:rsidRPr="007267C6">
        <w:rPr>
          <w:rFonts w:ascii="Book Antiqua" w:hAnsi="Book Antiqua"/>
          <w:strike/>
          <w:szCs w:val="24"/>
          <w:lang w:val="es-PR"/>
        </w:rPr>
        <w:t xml:space="preserve">Artículo </w:t>
      </w:r>
      <w:r w:rsidR="009526AE" w:rsidRPr="007267C6">
        <w:rPr>
          <w:rFonts w:ascii="Book Antiqua" w:hAnsi="Book Antiqua"/>
          <w:strike/>
          <w:szCs w:val="24"/>
          <w:lang w:val="es-PR"/>
        </w:rPr>
        <w:t>3. --</w:t>
      </w:r>
      <w:r w:rsidR="00683155" w:rsidRPr="007267C6">
        <w:rPr>
          <w:rFonts w:ascii="Book Antiqua" w:hAnsi="Book Antiqua"/>
          <w:strike/>
          <w:szCs w:val="24"/>
          <w:lang w:val="es-PR"/>
        </w:rPr>
        <w:t xml:space="preserve"> …</w:t>
      </w:r>
      <w:r w:rsidR="007267C6" w:rsidRPr="007267C6">
        <w:rPr>
          <w:rFonts w:ascii="Book Antiqua" w:hAnsi="Book Antiqua"/>
          <w:szCs w:val="24"/>
          <w:lang w:val="es-PR"/>
        </w:rPr>
        <w:t xml:space="preserve"> </w:t>
      </w:r>
      <w:r w:rsidR="007267C6" w:rsidRPr="007267C6">
        <w:rPr>
          <w:rFonts w:ascii="Book Antiqua" w:hAnsi="Book Antiqua"/>
          <w:szCs w:val="24"/>
          <w:u w:val="single"/>
          <w:lang w:val="es-PR"/>
        </w:rPr>
        <w:t>Artículo 3. — (Competencia justa)</w:t>
      </w:r>
    </w:p>
    <w:p w14:paraId="0FA666A1" w14:textId="5609D902" w:rsidR="00683155" w:rsidRPr="007267C6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7267C6">
        <w:rPr>
          <w:rFonts w:ascii="Book Antiqua" w:hAnsi="Book Antiqua"/>
          <w:strike/>
          <w:szCs w:val="24"/>
          <w:lang w:val="es-PR"/>
        </w:rPr>
        <w:t>(a) …</w:t>
      </w:r>
      <w:r w:rsidR="007267C6">
        <w:rPr>
          <w:rFonts w:ascii="Book Antiqua" w:hAnsi="Book Antiqua"/>
          <w:szCs w:val="24"/>
          <w:lang w:val="es-PR"/>
        </w:rPr>
        <w:t xml:space="preserve"> </w:t>
      </w:r>
      <w:r w:rsidR="007267C6" w:rsidRPr="00AB1A39">
        <w:rPr>
          <w:rFonts w:ascii="Book Antiqua" w:hAnsi="Book Antiqua"/>
          <w:szCs w:val="24"/>
          <w:u w:val="single"/>
          <w:lang w:val="es-PR"/>
        </w:rPr>
        <w:t>(a) — …</w:t>
      </w:r>
      <w:r w:rsidR="007267C6">
        <w:rPr>
          <w:rFonts w:ascii="Book Antiqua" w:hAnsi="Book Antiqua"/>
          <w:szCs w:val="24"/>
          <w:lang w:val="es-PR"/>
        </w:rPr>
        <w:t xml:space="preserve"> </w:t>
      </w:r>
    </w:p>
    <w:p w14:paraId="7DBBF96A" w14:textId="009A2E8C" w:rsidR="00683155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7267C6">
        <w:rPr>
          <w:rFonts w:ascii="Book Antiqua" w:hAnsi="Book Antiqua"/>
          <w:strike/>
          <w:szCs w:val="24"/>
          <w:lang w:val="es-PR"/>
        </w:rPr>
        <w:t>(b) …</w:t>
      </w:r>
      <w:r w:rsidR="00AB1A39">
        <w:rPr>
          <w:rFonts w:ascii="Book Antiqua" w:hAnsi="Book Antiqua"/>
          <w:szCs w:val="24"/>
          <w:lang w:val="es-PR"/>
        </w:rPr>
        <w:t xml:space="preserve"> </w:t>
      </w:r>
      <w:r w:rsidR="00AB1A39" w:rsidRPr="007267C6">
        <w:rPr>
          <w:rFonts w:ascii="Book Antiqua" w:hAnsi="Book Antiqua"/>
          <w:szCs w:val="24"/>
          <w:u w:val="single"/>
          <w:lang w:val="es-PR"/>
        </w:rPr>
        <w:t>(b) — …</w:t>
      </w:r>
    </w:p>
    <w:p w14:paraId="2F5C49ED" w14:textId="3A361373" w:rsidR="00034C0E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7267C6">
        <w:rPr>
          <w:rFonts w:ascii="Book Antiqua" w:hAnsi="Book Antiqua"/>
          <w:strike/>
          <w:szCs w:val="24"/>
          <w:lang w:val="es-PR"/>
        </w:rPr>
        <w:t>(c) …</w:t>
      </w:r>
      <w:r w:rsidR="00AB1A39">
        <w:rPr>
          <w:rFonts w:ascii="Book Antiqua" w:hAnsi="Book Antiqua"/>
          <w:szCs w:val="24"/>
          <w:lang w:val="es-PR"/>
        </w:rPr>
        <w:t xml:space="preserve"> </w:t>
      </w:r>
      <w:r w:rsidR="00AB1A39" w:rsidRPr="007267C6">
        <w:rPr>
          <w:rFonts w:ascii="Book Antiqua" w:hAnsi="Book Antiqua"/>
          <w:szCs w:val="24"/>
          <w:u w:val="single"/>
          <w:lang w:val="es-PR"/>
        </w:rPr>
        <w:t>(c) — …</w:t>
      </w:r>
    </w:p>
    <w:p w14:paraId="028CCAAA" w14:textId="1E0AA39F" w:rsidR="00034C0E" w:rsidRDefault="00034C0E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AB1A39">
        <w:rPr>
          <w:rFonts w:ascii="Book Antiqua" w:hAnsi="Book Antiqua"/>
          <w:strike/>
          <w:szCs w:val="24"/>
          <w:lang w:val="es-PR"/>
        </w:rPr>
        <w:t>(d) –</w:t>
      </w:r>
      <w:r w:rsidR="00AB1A39" w:rsidRPr="00AB1A39">
        <w:rPr>
          <w:rFonts w:ascii="Book Antiqua" w:hAnsi="Book Antiqua"/>
          <w:szCs w:val="24"/>
          <w:lang w:val="es-PR"/>
        </w:rPr>
        <w:t xml:space="preserve"> </w:t>
      </w:r>
      <w:r w:rsidR="00AB1A39" w:rsidRPr="007267C6">
        <w:rPr>
          <w:rFonts w:ascii="Book Antiqua" w:hAnsi="Book Antiqua"/>
          <w:szCs w:val="24"/>
          <w:u w:val="single"/>
          <w:lang w:val="es-PR"/>
        </w:rPr>
        <w:t xml:space="preserve">(d) — </w:t>
      </w:r>
      <w:r w:rsidRPr="00FB48DF">
        <w:rPr>
          <w:rFonts w:ascii="Book Antiqua" w:hAnsi="Book Antiqua"/>
          <w:strike/>
          <w:szCs w:val="24"/>
          <w:lang w:val="es-PR"/>
        </w:rPr>
        <w:t>La</w:t>
      </w:r>
      <w:r>
        <w:rPr>
          <w:rFonts w:ascii="Book Antiqua" w:hAnsi="Book Antiqua"/>
          <w:szCs w:val="24"/>
          <w:lang w:val="es-PR"/>
        </w:rPr>
        <w:t xml:space="preserve"> </w:t>
      </w:r>
      <w:r w:rsidR="007B2B43">
        <w:rPr>
          <w:rFonts w:ascii="Book Antiqua" w:hAnsi="Book Antiqua"/>
          <w:i/>
          <w:iCs/>
          <w:szCs w:val="24"/>
          <w:u w:val="single"/>
          <w:lang w:val="es-PR"/>
        </w:rPr>
        <w:t xml:space="preserve">Cuando la </w:t>
      </w:r>
      <w:r>
        <w:rPr>
          <w:rFonts w:ascii="Book Antiqua" w:hAnsi="Book Antiqua"/>
          <w:szCs w:val="24"/>
          <w:lang w:val="es-PR"/>
        </w:rPr>
        <w:t xml:space="preserve">Oficina de Asuntos Monopolísticos o la parte querellada </w:t>
      </w:r>
      <w:r w:rsidRPr="007B2B43">
        <w:rPr>
          <w:rFonts w:ascii="Book Antiqua" w:hAnsi="Book Antiqua"/>
          <w:strike/>
          <w:szCs w:val="24"/>
          <w:lang w:val="es-PR"/>
        </w:rPr>
        <w:t>cuando</w:t>
      </w:r>
      <w:r>
        <w:rPr>
          <w:rFonts w:ascii="Book Antiqua" w:hAnsi="Book Antiqua"/>
          <w:szCs w:val="24"/>
          <w:lang w:val="es-PR"/>
        </w:rPr>
        <w:t xml:space="preserve"> estén </w:t>
      </w:r>
      <w:r w:rsidRPr="007B2B43">
        <w:rPr>
          <w:rFonts w:ascii="Book Antiqua" w:hAnsi="Book Antiqua"/>
          <w:strike/>
          <w:szCs w:val="24"/>
          <w:lang w:val="es-PR"/>
        </w:rPr>
        <w:t>afectados</w:t>
      </w:r>
      <w:r>
        <w:rPr>
          <w:rFonts w:ascii="Book Antiqua" w:hAnsi="Book Antiqua"/>
          <w:szCs w:val="24"/>
          <w:lang w:val="es-PR"/>
        </w:rPr>
        <w:t xml:space="preserve"> </w:t>
      </w:r>
      <w:r w:rsidR="00F85D7E">
        <w:rPr>
          <w:rFonts w:ascii="Book Antiqua" w:hAnsi="Book Antiqua"/>
          <w:i/>
          <w:iCs/>
          <w:szCs w:val="24"/>
          <w:u w:val="single"/>
          <w:lang w:val="es-PR"/>
        </w:rPr>
        <w:t>afectadas</w:t>
      </w:r>
      <w:r w:rsidR="00F85D7E" w:rsidRPr="00F85D7E">
        <w:rPr>
          <w:rFonts w:ascii="Book Antiqua" w:hAnsi="Book Antiqua"/>
          <w:i/>
          <w:iCs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por una decisión del Departamento de Asuntos del Consumidor </w:t>
      </w:r>
      <w:r w:rsidRPr="00F85D7E">
        <w:rPr>
          <w:rFonts w:ascii="Book Antiqua" w:hAnsi="Book Antiqua"/>
          <w:strike/>
          <w:szCs w:val="24"/>
          <w:lang w:val="es-PR"/>
        </w:rPr>
        <w:t>tendrá</w:t>
      </w:r>
      <w:r w:rsidR="00F85D7E">
        <w:rPr>
          <w:rFonts w:ascii="Book Antiqua" w:hAnsi="Book Antiqua"/>
          <w:i/>
          <w:iCs/>
          <w:szCs w:val="24"/>
          <w:u w:val="single"/>
          <w:lang w:val="es-PR"/>
        </w:rPr>
        <w:t>, tendrán</w:t>
      </w:r>
      <w:r>
        <w:rPr>
          <w:rFonts w:ascii="Book Antiqua" w:hAnsi="Book Antiqua"/>
          <w:szCs w:val="24"/>
          <w:lang w:val="es-PR"/>
        </w:rPr>
        <w:t xml:space="preserve"> derecho a la revisión judicial </w:t>
      </w:r>
      <w:r w:rsidRPr="00034C0E">
        <w:rPr>
          <w:rFonts w:ascii="Book Antiqua" w:hAnsi="Book Antiqua"/>
          <w:b/>
          <w:bCs/>
          <w:szCs w:val="24"/>
          <w:lang w:val="es-PR"/>
        </w:rPr>
        <w:t xml:space="preserve">[en el Tribunal de Primera Instancia del Estado Libre Asociado de Puerto Rico] </w:t>
      </w:r>
      <w:r w:rsidRPr="00A56C1B">
        <w:rPr>
          <w:rFonts w:ascii="Book Antiqua" w:hAnsi="Book Antiqua"/>
          <w:i/>
          <w:iCs/>
          <w:szCs w:val="24"/>
          <w:lang w:val="es-PR"/>
        </w:rPr>
        <w:t xml:space="preserve">según </w:t>
      </w:r>
      <w:r w:rsidR="00A56C1B" w:rsidRPr="00A56C1B">
        <w:rPr>
          <w:rFonts w:ascii="Book Antiqua" w:hAnsi="Book Antiqua"/>
          <w:i/>
          <w:iCs/>
          <w:szCs w:val="24"/>
          <w:lang w:val="es-PR"/>
        </w:rPr>
        <w:t>lo dispuesto en</w:t>
      </w:r>
      <w:r w:rsidRPr="00A56C1B">
        <w:rPr>
          <w:rFonts w:ascii="Book Antiqua" w:hAnsi="Book Antiqua"/>
          <w:i/>
          <w:iCs/>
          <w:szCs w:val="24"/>
          <w:lang w:val="es-PR"/>
        </w:rPr>
        <w:t xml:space="preserve"> la Sección 4.2 de la Ley Núm. 38-2017, según enmendada, conocida como Ley de Procedimiento Administrativo Uniforme del Gobierno de Puerto Rico</w:t>
      </w:r>
      <w:r w:rsidRPr="00AB1A39">
        <w:rPr>
          <w:rFonts w:ascii="Book Antiqua" w:hAnsi="Book Antiqua"/>
          <w:i/>
          <w:iCs/>
          <w:strike/>
          <w:szCs w:val="24"/>
          <w:lang w:val="es-PR"/>
        </w:rPr>
        <w:t>”</w:t>
      </w:r>
      <w:r w:rsidR="00DC4E72">
        <w:rPr>
          <w:rFonts w:ascii="Book Antiqua" w:hAnsi="Book Antiqua"/>
          <w:i/>
          <w:iCs/>
          <w:szCs w:val="24"/>
          <w:lang w:val="es-PR"/>
        </w:rPr>
        <w:t>;</w:t>
      </w:r>
      <w:r w:rsidRPr="00A56C1B">
        <w:rPr>
          <w:rFonts w:ascii="Book Antiqua" w:hAnsi="Book Antiqua"/>
          <w:i/>
          <w:iCs/>
          <w:szCs w:val="24"/>
          <w:lang w:val="es-PR"/>
        </w:rPr>
        <w:t xml:space="preserve"> aquella ley que sustituya la Ley Núm. 38-2017</w:t>
      </w:r>
      <w:r w:rsidRPr="00E264EC">
        <w:rPr>
          <w:rFonts w:ascii="Book Antiqua" w:hAnsi="Book Antiqua"/>
          <w:i/>
          <w:iCs/>
          <w:strike/>
          <w:szCs w:val="24"/>
          <w:lang w:val="es-PR"/>
        </w:rPr>
        <w:t xml:space="preserve">, </w:t>
      </w:r>
      <w:r w:rsidRPr="00AB1A39">
        <w:rPr>
          <w:rFonts w:ascii="Book Antiqua" w:hAnsi="Book Antiqua"/>
          <w:i/>
          <w:iCs/>
          <w:strike/>
          <w:szCs w:val="24"/>
          <w:lang w:val="es-PR"/>
        </w:rPr>
        <w:t>supra,</w:t>
      </w:r>
      <w:r w:rsidR="00C43763">
        <w:rPr>
          <w:rFonts w:ascii="Book Antiqua" w:hAnsi="Book Antiqua"/>
          <w:i/>
          <w:iCs/>
          <w:szCs w:val="24"/>
          <w:u w:val="single"/>
          <w:lang w:val="es-PR"/>
        </w:rPr>
        <w:t>;</w:t>
      </w:r>
      <w:r w:rsidRPr="00A56C1B">
        <w:rPr>
          <w:rFonts w:ascii="Book Antiqua" w:hAnsi="Book Antiqua"/>
          <w:i/>
          <w:iCs/>
          <w:szCs w:val="24"/>
          <w:lang w:val="es-PR"/>
        </w:rPr>
        <w:t xml:space="preserve"> o </w:t>
      </w:r>
      <w:r w:rsidR="00A56C1B">
        <w:rPr>
          <w:rFonts w:ascii="Book Antiqua" w:hAnsi="Book Antiqua"/>
          <w:i/>
          <w:iCs/>
          <w:szCs w:val="24"/>
          <w:lang w:val="es-PR"/>
        </w:rPr>
        <w:t>aquella</w:t>
      </w:r>
      <w:r w:rsidRPr="00A56C1B">
        <w:rPr>
          <w:rFonts w:ascii="Book Antiqua" w:hAnsi="Book Antiqua"/>
          <w:i/>
          <w:iCs/>
          <w:szCs w:val="24"/>
          <w:lang w:val="es-PR"/>
        </w:rPr>
        <w:t xml:space="preserve"> ley que </w:t>
      </w:r>
      <w:r w:rsidR="00DC4E72">
        <w:rPr>
          <w:rFonts w:ascii="Book Antiqua" w:hAnsi="Book Antiqua"/>
          <w:i/>
          <w:iCs/>
          <w:szCs w:val="24"/>
          <w:lang w:val="es-PR"/>
        </w:rPr>
        <w:t>a los fines de lo regulado por este inci</w:t>
      </w:r>
      <w:r w:rsidR="008147E2">
        <w:rPr>
          <w:rFonts w:ascii="Book Antiqua" w:hAnsi="Book Antiqua"/>
          <w:i/>
          <w:iCs/>
          <w:szCs w:val="24"/>
          <w:lang w:val="es-PR"/>
        </w:rPr>
        <w:t>s</w:t>
      </w:r>
      <w:r w:rsidR="00DC4E72">
        <w:rPr>
          <w:rFonts w:ascii="Book Antiqua" w:hAnsi="Book Antiqua"/>
          <w:i/>
          <w:iCs/>
          <w:szCs w:val="24"/>
          <w:lang w:val="es-PR"/>
        </w:rPr>
        <w:t>o (d) del Artículo 3 se disponga.</w:t>
      </w:r>
    </w:p>
    <w:p w14:paraId="6E478CC2" w14:textId="7F895E02" w:rsidR="00683155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</w:rPr>
      </w:pPr>
      <w:r w:rsidRPr="00AB1A39">
        <w:rPr>
          <w:rFonts w:ascii="Book Antiqua" w:hAnsi="Book Antiqua"/>
          <w:strike/>
          <w:szCs w:val="24"/>
        </w:rPr>
        <w:t>(e) …</w:t>
      </w:r>
      <w:r w:rsidR="00AB1A39" w:rsidRPr="00AB1A39">
        <w:rPr>
          <w:rFonts w:ascii="Book Antiqua" w:hAnsi="Book Antiqua"/>
          <w:szCs w:val="24"/>
        </w:rPr>
        <w:t xml:space="preserve"> </w:t>
      </w:r>
      <w:r w:rsidR="00AB1A39" w:rsidRPr="00AB1A39">
        <w:rPr>
          <w:rFonts w:ascii="Book Antiqua" w:hAnsi="Book Antiqua"/>
          <w:szCs w:val="24"/>
          <w:u w:val="single"/>
        </w:rPr>
        <w:t>(e) — …</w:t>
      </w:r>
    </w:p>
    <w:p w14:paraId="49EFE6BD" w14:textId="64E1A8F4" w:rsidR="00683155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</w:rPr>
      </w:pPr>
      <w:r w:rsidRPr="00AB1A39">
        <w:rPr>
          <w:rFonts w:ascii="Book Antiqua" w:hAnsi="Book Antiqua"/>
          <w:strike/>
          <w:szCs w:val="24"/>
        </w:rPr>
        <w:lastRenderedPageBreak/>
        <w:t>(f) …</w:t>
      </w:r>
      <w:r w:rsidR="00AB1A39" w:rsidRPr="00AB1A39">
        <w:rPr>
          <w:rFonts w:ascii="Book Antiqua" w:hAnsi="Book Antiqua"/>
          <w:szCs w:val="24"/>
        </w:rPr>
        <w:t xml:space="preserve"> </w:t>
      </w:r>
      <w:r w:rsidR="00AB1A39" w:rsidRPr="00AB1A39">
        <w:rPr>
          <w:rFonts w:ascii="Book Antiqua" w:hAnsi="Book Antiqua"/>
          <w:szCs w:val="24"/>
          <w:u w:val="single"/>
        </w:rPr>
        <w:t>(f) — …</w:t>
      </w:r>
    </w:p>
    <w:p w14:paraId="1373BF99" w14:textId="476FC78C" w:rsidR="00683155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</w:rPr>
      </w:pPr>
      <w:r w:rsidRPr="00AB1A39">
        <w:rPr>
          <w:rFonts w:ascii="Book Antiqua" w:hAnsi="Book Antiqua"/>
          <w:strike/>
          <w:szCs w:val="24"/>
        </w:rPr>
        <w:t>(g) …</w:t>
      </w:r>
      <w:r w:rsidR="00AB1A39" w:rsidRPr="00AB1A39">
        <w:rPr>
          <w:rFonts w:ascii="Book Antiqua" w:hAnsi="Book Antiqua"/>
          <w:szCs w:val="24"/>
        </w:rPr>
        <w:t xml:space="preserve"> </w:t>
      </w:r>
      <w:r w:rsidR="00AB1A39" w:rsidRPr="00AB1A39">
        <w:rPr>
          <w:rFonts w:ascii="Book Antiqua" w:hAnsi="Book Antiqua"/>
          <w:szCs w:val="24"/>
          <w:u w:val="single"/>
        </w:rPr>
        <w:t>(g) — …</w:t>
      </w:r>
    </w:p>
    <w:p w14:paraId="5A8A0960" w14:textId="49B9D169" w:rsidR="00683155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</w:rPr>
      </w:pPr>
      <w:r w:rsidRPr="00AB1A39">
        <w:rPr>
          <w:rFonts w:ascii="Book Antiqua" w:hAnsi="Book Antiqua"/>
          <w:strike/>
          <w:szCs w:val="24"/>
        </w:rPr>
        <w:t>(h) …</w:t>
      </w:r>
      <w:r w:rsidR="00AB1A39" w:rsidRPr="00AB1A39">
        <w:rPr>
          <w:rFonts w:ascii="Book Antiqua" w:hAnsi="Book Antiqua"/>
          <w:szCs w:val="24"/>
        </w:rPr>
        <w:t xml:space="preserve"> </w:t>
      </w:r>
      <w:r w:rsidR="00AB1A39" w:rsidRPr="00AB1A39">
        <w:rPr>
          <w:rFonts w:ascii="Book Antiqua" w:hAnsi="Book Antiqua"/>
          <w:szCs w:val="24"/>
          <w:u w:val="single"/>
        </w:rPr>
        <w:t>(h) — …</w:t>
      </w:r>
    </w:p>
    <w:p w14:paraId="7C969BF0" w14:textId="4A16691D" w:rsidR="00683155" w:rsidRPr="00AB1A39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</w:rPr>
      </w:pPr>
      <w:r w:rsidRPr="00AB1A39">
        <w:rPr>
          <w:rFonts w:ascii="Book Antiqua" w:hAnsi="Book Antiqua"/>
          <w:strike/>
          <w:szCs w:val="24"/>
        </w:rPr>
        <w:t>(</w:t>
      </w:r>
      <w:proofErr w:type="spellStart"/>
      <w:r w:rsidRPr="00AB1A39">
        <w:rPr>
          <w:rFonts w:ascii="Book Antiqua" w:hAnsi="Book Antiqua"/>
          <w:strike/>
          <w:szCs w:val="24"/>
        </w:rPr>
        <w:t>i</w:t>
      </w:r>
      <w:proofErr w:type="spellEnd"/>
      <w:r w:rsidRPr="00AB1A39">
        <w:rPr>
          <w:rFonts w:ascii="Book Antiqua" w:hAnsi="Book Antiqua"/>
          <w:strike/>
          <w:szCs w:val="24"/>
        </w:rPr>
        <w:t>) …</w:t>
      </w:r>
      <w:r w:rsidR="00AB1A39" w:rsidRPr="00AB1A39">
        <w:rPr>
          <w:rFonts w:ascii="Book Antiqua" w:hAnsi="Book Antiqua"/>
          <w:szCs w:val="24"/>
        </w:rPr>
        <w:t xml:space="preserve"> </w:t>
      </w:r>
      <w:r w:rsidR="00AB1A39" w:rsidRPr="00AB1A39">
        <w:rPr>
          <w:rFonts w:ascii="Book Antiqua" w:hAnsi="Book Antiqua"/>
          <w:szCs w:val="24"/>
          <w:u w:val="single"/>
        </w:rPr>
        <w:t>(</w:t>
      </w:r>
      <w:proofErr w:type="spellStart"/>
      <w:r w:rsidR="00AB1A39" w:rsidRPr="00AB1A39">
        <w:rPr>
          <w:rFonts w:ascii="Book Antiqua" w:hAnsi="Book Antiqua"/>
          <w:szCs w:val="24"/>
          <w:u w:val="single"/>
        </w:rPr>
        <w:t>i</w:t>
      </w:r>
      <w:proofErr w:type="spellEnd"/>
      <w:r w:rsidR="00AB1A39" w:rsidRPr="00AB1A39">
        <w:rPr>
          <w:rFonts w:ascii="Book Antiqua" w:hAnsi="Book Antiqua"/>
          <w:szCs w:val="24"/>
          <w:u w:val="single"/>
        </w:rPr>
        <w:t>) — …</w:t>
      </w:r>
    </w:p>
    <w:p w14:paraId="38E92DE4" w14:textId="3C22B10B" w:rsidR="00683155" w:rsidRPr="00034C0E" w:rsidRDefault="00683155" w:rsidP="009526AE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AB1A39">
        <w:rPr>
          <w:rFonts w:ascii="Book Antiqua" w:hAnsi="Book Antiqua"/>
          <w:strike/>
          <w:szCs w:val="24"/>
          <w:lang w:val="es-PR"/>
        </w:rPr>
        <w:t>(j) …</w:t>
      </w:r>
      <w:r w:rsidR="00AB1A39">
        <w:rPr>
          <w:rFonts w:ascii="Book Antiqua" w:hAnsi="Book Antiqua"/>
          <w:szCs w:val="24"/>
          <w:lang w:val="es-PR"/>
        </w:rPr>
        <w:t xml:space="preserve"> </w:t>
      </w:r>
      <w:r w:rsidR="00AB1A39" w:rsidRPr="007267C6">
        <w:rPr>
          <w:rFonts w:ascii="Book Antiqua" w:hAnsi="Book Antiqua"/>
          <w:szCs w:val="24"/>
          <w:u w:val="single"/>
          <w:lang w:val="es-PR"/>
        </w:rPr>
        <w:t>(</w:t>
      </w:r>
      <w:r w:rsidR="00AB1A39">
        <w:rPr>
          <w:rFonts w:ascii="Book Antiqua" w:hAnsi="Book Antiqua"/>
          <w:szCs w:val="24"/>
          <w:u w:val="single"/>
          <w:lang w:val="es-PR"/>
        </w:rPr>
        <w:t>j</w:t>
      </w:r>
      <w:r w:rsidR="00AB1A39" w:rsidRPr="007267C6">
        <w:rPr>
          <w:rFonts w:ascii="Book Antiqua" w:hAnsi="Book Antiqua"/>
          <w:szCs w:val="24"/>
          <w:u w:val="single"/>
          <w:lang w:val="es-PR"/>
        </w:rPr>
        <w:t>) — …</w:t>
      </w:r>
      <w:r>
        <w:rPr>
          <w:rFonts w:ascii="Book Antiqua" w:hAnsi="Book Antiqua"/>
          <w:szCs w:val="24"/>
          <w:lang w:val="es-PR"/>
        </w:rPr>
        <w:t>”</w:t>
      </w:r>
    </w:p>
    <w:p w14:paraId="6492464A" w14:textId="77777777" w:rsidR="006A10FD" w:rsidRPr="00683155" w:rsidRDefault="00533B6B" w:rsidP="009526AE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</w:t>
      </w:r>
      <w:r w:rsidR="00490D95" w:rsidRPr="00490D95">
        <w:rPr>
          <w:rFonts w:ascii="Book Antiqua" w:hAnsi="Book Antiqua"/>
          <w:szCs w:val="24"/>
          <w:lang w:val="es-PR"/>
        </w:rPr>
        <w:t xml:space="preserve"> 2. - </w:t>
      </w:r>
      <w:r w:rsidR="00683155" w:rsidRPr="00490D95">
        <w:rPr>
          <w:rFonts w:ascii="Book Antiqua" w:hAnsi="Book Antiqua"/>
          <w:szCs w:val="24"/>
          <w:lang w:val="es-PR"/>
        </w:rPr>
        <w:t>Esta Ley entrará en vigor inmediatamente después de su aprobación.</w:t>
      </w:r>
    </w:p>
    <w:sectPr w:rsidR="006A10FD" w:rsidRPr="00683155" w:rsidSect="00FE4A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11EE7" w14:textId="77777777" w:rsidR="009A4393" w:rsidRDefault="009A4393">
      <w:r>
        <w:separator/>
      </w:r>
    </w:p>
  </w:endnote>
  <w:endnote w:type="continuationSeparator" w:id="0">
    <w:p w14:paraId="54E27D54" w14:textId="77777777" w:rsidR="009A4393" w:rsidRDefault="009A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6F03" w14:textId="77777777" w:rsidR="009A4393" w:rsidRDefault="009A4393">
      <w:r>
        <w:separator/>
      </w:r>
    </w:p>
  </w:footnote>
  <w:footnote w:type="continuationSeparator" w:id="0">
    <w:p w14:paraId="2151858B" w14:textId="77777777" w:rsidR="009A4393" w:rsidRDefault="009A4393">
      <w:r>
        <w:continuationSeparator/>
      </w:r>
    </w:p>
  </w:footnote>
  <w:footnote w:id="1">
    <w:p w14:paraId="1012016C" w14:textId="77777777" w:rsidR="00683155" w:rsidRPr="00683155" w:rsidRDefault="00683155" w:rsidP="00A56C1B">
      <w:pPr>
        <w:pStyle w:val="FootnoteText"/>
        <w:ind w:left="720" w:hanging="720"/>
        <w:rPr>
          <w:lang w:val="es-PR"/>
        </w:rPr>
      </w:pPr>
      <w:r>
        <w:rPr>
          <w:rStyle w:val="FootnoteReference"/>
        </w:rPr>
        <w:footnoteRef/>
      </w:r>
      <w:r w:rsidRPr="00683155">
        <w:rPr>
          <w:lang w:val="es-PR"/>
        </w:rPr>
        <w:t xml:space="preserve"> </w:t>
      </w:r>
      <w:r w:rsidRPr="00683155">
        <w:rPr>
          <w:lang w:val="es-PR"/>
        </w:rPr>
        <w:tab/>
      </w:r>
      <w:r w:rsidRPr="00331F8E">
        <w:rPr>
          <w:i/>
          <w:iCs/>
          <w:strike/>
          <w:lang w:val="es-PR"/>
        </w:rPr>
        <w:t>Oficina de Asuntos Monopolísticos del Departamento de Justicia y otros v. Abarca Health, LLC</w:t>
      </w:r>
      <w:r w:rsidRPr="00331F8E">
        <w:rPr>
          <w:strike/>
          <w:lang w:val="es-PR"/>
        </w:rPr>
        <w:t>,</w:t>
      </w:r>
      <w:r>
        <w:rPr>
          <w:lang w:val="es-PR"/>
        </w:rPr>
        <w:t xml:space="preserve"> 2015 DPR (2025), 2025 TSPR 23.</w:t>
      </w:r>
    </w:p>
  </w:footnote>
  <w:footnote w:id="2">
    <w:p w14:paraId="1DCD542B" w14:textId="77777777" w:rsidR="00A56C1B" w:rsidRPr="00A56C1B" w:rsidRDefault="00A56C1B" w:rsidP="00A56C1B">
      <w:pPr>
        <w:pStyle w:val="FootnoteText"/>
        <w:ind w:left="720" w:hanging="720"/>
        <w:rPr>
          <w:lang w:val="es-PR"/>
        </w:rPr>
      </w:pPr>
      <w:r>
        <w:rPr>
          <w:rStyle w:val="FootnoteReference"/>
        </w:rPr>
        <w:footnoteRef/>
      </w:r>
      <w:r w:rsidRPr="00A56C1B">
        <w:rPr>
          <w:lang w:val="es-PR"/>
        </w:rPr>
        <w:t xml:space="preserve"> </w:t>
      </w:r>
      <w:r>
        <w:rPr>
          <w:lang w:val="es-PR"/>
        </w:rPr>
        <w:tab/>
      </w:r>
      <w:r w:rsidRPr="00331F8E">
        <w:rPr>
          <w:rFonts w:ascii="Book Antiqua" w:hAnsi="Book Antiqua"/>
          <w:strike/>
          <w:lang w:val="es-ES"/>
        </w:rPr>
        <w:t>Artículo 3(d) de la Ley Núm. 77 de 25 de junio de 1964, según enmendada, conocida como “Ley Antimonopolística de Puerto Rico”, 10 LPRA sec. 259(d).</w:t>
      </w:r>
      <w:r>
        <w:rPr>
          <w:rFonts w:ascii="Book Antiqua" w:hAnsi="Book Antiqua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8A41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E29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473B5"/>
    <w:multiLevelType w:val="hybridMultilevel"/>
    <w:tmpl w:val="55563EF4"/>
    <w:lvl w:ilvl="0" w:tplc="1E645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985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20BBB"/>
    <w:rsid w:val="00034C0E"/>
    <w:rsid w:val="00056024"/>
    <w:rsid w:val="00067115"/>
    <w:rsid w:val="00082413"/>
    <w:rsid w:val="00095AE1"/>
    <w:rsid w:val="000A486B"/>
    <w:rsid w:val="000A497A"/>
    <w:rsid w:val="000A6B6C"/>
    <w:rsid w:val="000B0DBB"/>
    <w:rsid w:val="000B584B"/>
    <w:rsid w:val="000D16E4"/>
    <w:rsid w:val="001041D5"/>
    <w:rsid w:val="00104C92"/>
    <w:rsid w:val="00111E71"/>
    <w:rsid w:val="00112A8C"/>
    <w:rsid w:val="001205C0"/>
    <w:rsid w:val="00127C6A"/>
    <w:rsid w:val="001363FE"/>
    <w:rsid w:val="0014379E"/>
    <w:rsid w:val="0017132B"/>
    <w:rsid w:val="0018104D"/>
    <w:rsid w:val="001D1A9A"/>
    <w:rsid w:val="001F4CA3"/>
    <w:rsid w:val="001F612A"/>
    <w:rsid w:val="00211396"/>
    <w:rsid w:val="0022317D"/>
    <w:rsid w:val="00226AE6"/>
    <w:rsid w:val="00230541"/>
    <w:rsid w:val="00245B34"/>
    <w:rsid w:val="00263355"/>
    <w:rsid w:val="00273792"/>
    <w:rsid w:val="00290A56"/>
    <w:rsid w:val="002D3C5C"/>
    <w:rsid w:val="002D4AC8"/>
    <w:rsid w:val="00320D78"/>
    <w:rsid w:val="0032677C"/>
    <w:rsid w:val="00331F8E"/>
    <w:rsid w:val="00347330"/>
    <w:rsid w:val="00361D73"/>
    <w:rsid w:val="00365E29"/>
    <w:rsid w:val="00373167"/>
    <w:rsid w:val="00380FE5"/>
    <w:rsid w:val="003924DD"/>
    <w:rsid w:val="00394FCB"/>
    <w:rsid w:val="003963F4"/>
    <w:rsid w:val="003B5254"/>
    <w:rsid w:val="003B75A6"/>
    <w:rsid w:val="003F51BA"/>
    <w:rsid w:val="004061CA"/>
    <w:rsid w:val="00406FF8"/>
    <w:rsid w:val="00415689"/>
    <w:rsid w:val="004440CB"/>
    <w:rsid w:val="0046281B"/>
    <w:rsid w:val="00466ADC"/>
    <w:rsid w:val="004713D2"/>
    <w:rsid w:val="00481FDE"/>
    <w:rsid w:val="00490D95"/>
    <w:rsid w:val="004A4AC5"/>
    <w:rsid w:val="004F5144"/>
    <w:rsid w:val="0051056C"/>
    <w:rsid w:val="00521639"/>
    <w:rsid w:val="00532BB7"/>
    <w:rsid w:val="005332E4"/>
    <w:rsid w:val="00533B6B"/>
    <w:rsid w:val="0053550C"/>
    <w:rsid w:val="0055297F"/>
    <w:rsid w:val="00555018"/>
    <w:rsid w:val="00565F0A"/>
    <w:rsid w:val="00572382"/>
    <w:rsid w:val="005723DC"/>
    <w:rsid w:val="005A78E0"/>
    <w:rsid w:val="005B5BF3"/>
    <w:rsid w:val="005F03EF"/>
    <w:rsid w:val="00601126"/>
    <w:rsid w:val="006210DC"/>
    <w:rsid w:val="0064349D"/>
    <w:rsid w:val="0066513A"/>
    <w:rsid w:val="00683155"/>
    <w:rsid w:val="00685549"/>
    <w:rsid w:val="00691B21"/>
    <w:rsid w:val="006A10FD"/>
    <w:rsid w:val="006A33F0"/>
    <w:rsid w:val="006A630A"/>
    <w:rsid w:val="006B26AE"/>
    <w:rsid w:val="006B7365"/>
    <w:rsid w:val="006C2D81"/>
    <w:rsid w:val="006C7DF8"/>
    <w:rsid w:val="00723056"/>
    <w:rsid w:val="00723F13"/>
    <w:rsid w:val="007267C6"/>
    <w:rsid w:val="00726CBF"/>
    <w:rsid w:val="00750FC8"/>
    <w:rsid w:val="007533D0"/>
    <w:rsid w:val="00755069"/>
    <w:rsid w:val="00756562"/>
    <w:rsid w:val="00765E89"/>
    <w:rsid w:val="00771897"/>
    <w:rsid w:val="00781885"/>
    <w:rsid w:val="00786F68"/>
    <w:rsid w:val="007A5349"/>
    <w:rsid w:val="007B0660"/>
    <w:rsid w:val="007B2B43"/>
    <w:rsid w:val="007D340F"/>
    <w:rsid w:val="007E3052"/>
    <w:rsid w:val="007E3868"/>
    <w:rsid w:val="007E7768"/>
    <w:rsid w:val="008147E2"/>
    <w:rsid w:val="00820C41"/>
    <w:rsid w:val="008433E4"/>
    <w:rsid w:val="00850256"/>
    <w:rsid w:val="00854F8A"/>
    <w:rsid w:val="00862D04"/>
    <w:rsid w:val="00863482"/>
    <w:rsid w:val="0086574D"/>
    <w:rsid w:val="008D4F84"/>
    <w:rsid w:val="008F1832"/>
    <w:rsid w:val="00942FD4"/>
    <w:rsid w:val="00951997"/>
    <w:rsid w:val="009526AE"/>
    <w:rsid w:val="00957398"/>
    <w:rsid w:val="0096089E"/>
    <w:rsid w:val="009741A2"/>
    <w:rsid w:val="00975D5A"/>
    <w:rsid w:val="00990352"/>
    <w:rsid w:val="00996B9E"/>
    <w:rsid w:val="009A4393"/>
    <w:rsid w:val="009B397D"/>
    <w:rsid w:val="009D4CB6"/>
    <w:rsid w:val="00A03405"/>
    <w:rsid w:val="00A1528A"/>
    <w:rsid w:val="00A33918"/>
    <w:rsid w:val="00A4241E"/>
    <w:rsid w:val="00A56C1B"/>
    <w:rsid w:val="00A572A9"/>
    <w:rsid w:val="00A7629F"/>
    <w:rsid w:val="00A83F37"/>
    <w:rsid w:val="00A92F55"/>
    <w:rsid w:val="00AB1A39"/>
    <w:rsid w:val="00AB4607"/>
    <w:rsid w:val="00AC72F4"/>
    <w:rsid w:val="00AD28C6"/>
    <w:rsid w:val="00AF0CEE"/>
    <w:rsid w:val="00B03B7E"/>
    <w:rsid w:val="00B06FA5"/>
    <w:rsid w:val="00B238FC"/>
    <w:rsid w:val="00B62AEF"/>
    <w:rsid w:val="00B667AD"/>
    <w:rsid w:val="00B73507"/>
    <w:rsid w:val="00B744EC"/>
    <w:rsid w:val="00B84C38"/>
    <w:rsid w:val="00B86C00"/>
    <w:rsid w:val="00B947F6"/>
    <w:rsid w:val="00BC4CB0"/>
    <w:rsid w:val="00BD4C74"/>
    <w:rsid w:val="00BF16AA"/>
    <w:rsid w:val="00C01696"/>
    <w:rsid w:val="00C12570"/>
    <w:rsid w:val="00C13DFB"/>
    <w:rsid w:val="00C25F69"/>
    <w:rsid w:val="00C354B8"/>
    <w:rsid w:val="00C43763"/>
    <w:rsid w:val="00C52517"/>
    <w:rsid w:val="00C60921"/>
    <w:rsid w:val="00C62936"/>
    <w:rsid w:val="00C653F2"/>
    <w:rsid w:val="00C679E6"/>
    <w:rsid w:val="00C830EA"/>
    <w:rsid w:val="00C908F9"/>
    <w:rsid w:val="00CA0917"/>
    <w:rsid w:val="00CC7BD4"/>
    <w:rsid w:val="00CD1B0C"/>
    <w:rsid w:val="00CE01AC"/>
    <w:rsid w:val="00CE62D1"/>
    <w:rsid w:val="00CF0045"/>
    <w:rsid w:val="00D170F5"/>
    <w:rsid w:val="00D2387B"/>
    <w:rsid w:val="00D27A91"/>
    <w:rsid w:val="00D27F69"/>
    <w:rsid w:val="00D417C2"/>
    <w:rsid w:val="00D60936"/>
    <w:rsid w:val="00D64217"/>
    <w:rsid w:val="00D64218"/>
    <w:rsid w:val="00D709EB"/>
    <w:rsid w:val="00D74714"/>
    <w:rsid w:val="00D82F3F"/>
    <w:rsid w:val="00D921C6"/>
    <w:rsid w:val="00D958C2"/>
    <w:rsid w:val="00DA10F0"/>
    <w:rsid w:val="00DC4E72"/>
    <w:rsid w:val="00DE0A17"/>
    <w:rsid w:val="00DE7CA9"/>
    <w:rsid w:val="00E04AB5"/>
    <w:rsid w:val="00E16AC0"/>
    <w:rsid w:val="00E264EC"/>
    <w:rsid w:val="00E50EEA"/>
    <w:rsid w:val="00E52F58"/>
    <w:rsid w:val="00E85CCE"/>
    <w:rsid w:val="00EC11CB"/>
    <w:rsid w:val="00EC26AA"/>
    <w:rsid w:val="00EC4A93"/>
    <w:rsid w:val="00ED7A53"/>
    <w:rsid w:val="00EE4273"/>
    <w:rsid w:val="00EF3D06"/>
    <w:rsid w:val="00F02004"/>
    <w:rsid w:val="00F02570"/>
    <w:rsid w:val="00F042CB"/>
    <w:rsid w:val="00F06827"/>
    <w:rsid w:val="00F12BB1"/>
    <w:rsid w:val="00F147E4"/>
    <w:rsid w:val="00F52CEA"/>
    <w:rsid w:val="00F64C43"/>
    <w:rsid w:val="00F85D7E"/>
    <w:rsid w:val="00FB48DF"/>
    <w:rsid w:val="00FC0A95"/>
    <w:rsid w:val="00FC1B6C"/>
    <w:rsid w:val="00FC3D9C"/>
    <w:rsid w:val="00FE0AA8"/>
    <w:rsid w:val="00FE2C2E"/>
    <w:rsid w:val="00FE4A11"/>
    <w:rsid w:val="00FE5B8E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593182"/>
  <w15:chartTrackingRefBased/>
  <w15:docId w15:val="{4CAB049A-A713-44BB-8F00-B83539A3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4CB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4CB6"/>
  </w:style>
  <w:style w:type="character" w:styleId="FootnoteReference">
    <w:name w:val="footnote reference"/>
    <w:uiPriority w:val="99"/>
    <w:semiHidden/>
    <w:unhideWhenUsed/>
    <w:rsid w:val="009D4CB6"/>
    <w:rPr>
      <w:vertAlign w:val="superscript"/>
    </w:rPr>
  </w:style>
  <w:style w:type="character" w:styleId="Hyperlink">
    <w:name w:val="Hyperlink"/>
    <w:uiPriority w:val="99"/>
    <w:unhideWhenUsed/>
    <w:rsid w:val="009D4CB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9D4CB6"/>
    <w:rPr>
      <w:color w:val="605E5C"/>
      <w:shd w:val="clear" w:color="auto" w:fill="E1DFDD"/>
    </w:rPr>
  </w:style>
  <w:style w:type="character" w:customStyle="1" w:styleId="FooterChar">
    <w:name w:val="Footer Char"/>
    <w:link w:val="Footer"/>
    <w:uiPriority w:val="99"/>
    <w:rsid w:val="009D4C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3EDA5-07B3-4E1F-B96C-977D1255DA2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1A3FADD4-F88B-4C1D-92F3-96343DEA95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FC3795-5F84-4752-860F-8FBECA7CD4E3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931F34AD-2369-46EE-858E-5D251CA61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3C0F126-D2E2-49BF-ABE3-3780A58D5948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7ABBE24-C2E1-4DB6-9E9F-0BE3CDA2B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2704</Characters>
  <Application>Microsoft Office Word</Application>
  <DocSecurity>4</DocSecurity>
  <Lines>73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Camyl Moreno Pantojas</cp:lastModifiedBy>
  <cp:revision>2</cp:revision>
  <cp:lastPrinted>2026-03-13T14:48:00Z</cp:lastPrinted>
  <dcterms:created xsi:type="dcterms:W3CDTF">2026-03-19T18:04:00Z</dcterms:created>
  <dcterms:modified xsi:type="dcterms:W3CDTF">2026-03-19T18:04:00Z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4SQX5P7U7WPY-958212181-820566</vt:lpwstr>
  </property>
  <property fmtid="{D5CDD505-2E9C-101B-9397-08002B2CF9AE}" pid="3" name="_dlc_DocIdItemGuid">
    <vt:lpwstr>ac2fdefd-eb21-4cee-865e-d2898f8ce6f4</vt:lpwstr>
  </property>
  <property fmtid="{D5CDD505-2E9C-101B-9397-08002B2CF9AE}" pid="4" name="_dlc_DocIdUrl">
    <vt:lpwstr>https://senpr.sharepoint.com/sites/obralegislativa/_layouts/15/DocIdRedir.aspx?ID=4SQX5P7U7WPY-958212181-820566, 4SQX5P7U7WPY-958212181-820566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  <property fmtid="{D5CDD505-2E9C-101B-9397-08002B2CF9AE}" pid="7" name="MediaServiceImageTags">
    <vt:lpwstr/>
  </property>
</Properties>
</file>