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8362" w14:textId="77777777" w:rsidR="00A54AF0" w:rsidRPr="005F1042" w:rsidRDefault="00A54AF0" w:rsidP="00A54AF0">
      <w:pPr>
        <w:spacing w:after="0" w:line="240" w:lineRule="auto"/>
        <w:jc w:val="center"/>
        <w:rPr>
          <w:rFonts w:ascii="Book Antiqua" w:eastAsia="Times New Roman" w:hAnsi="Book Antiqua" w:cs="Times New Roman"/>
          <w:b/>
          <w:color w:val="000000"/>
          <w:kern w:val="0"/>
          <w:sz w:val="28"/>
          <w:szCs w:val="28"/>
          <w14:ligatures w14:val="none"/>
        </w:rPr>
      </w:pPr>
      <w:r w:rsidRPr="005F1042">
        <w:rPr>
          <w:rFonts w:ascii="Book Antiqua" w:eastAsia="Times New Roman" w:hAnsi="Book Antiqua" w:cs="Times New Roman"/>
          <w:b/>
          <w:color w:val="000000"/>
          <w:kern w:val="0"/>
          <w:sz w:val="28"/>
          <w:szCs w:val="28"/>
          <w14:ligatures w14:val="none"/>
        </w:rPr>
        <w:t>GOBIERNO DE PUERTO RICO</w:t>
      </w:r>
    </w:p>
    <w:p w14:paraId="55131F5B" w14:textId="77777777" w:rsidR="000C5343" w:rsidRPr="005F1042" w:rsidRDefault="000C5343" w:rsidP="00A54AF0">
      <w:pPr>
        <w:spacing w:after="0" w:line="240" w:lineRule="auto"/>
        <w:jc w:val="center"/>
        <w:rPr>
          <w:rFonts w:ascii="Book Antiqua" w:eastAsia="Times New Roman" w:hAnsi="Book Antiqua" w:cs="Times New Roman"/>
          <w:color w:val="000000"/>
          <w:kern w:val="0"/>
          <w14:ligatures w14:val="none"/>
        </w:rPr>
      </w:pPr>
    </w:p>
    <w:p w14:paraId="22D13054" w14:textId="77777777" w:rsidR="00A54AF0" w:rsidRPr="005F1042"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p>
    <w:p w14:paraId="4E37C54E" w14:textId="270037C8" w:rsidR="00A54AF0" w:rsidRPr="005F1042"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5F1042">
        <w:rPr>
          <w:rFonts w:ascii="Book Antiqua" w:eastAsia="Times New Roman" w:hAnsi="Book Antiqua" w:cs="Times New Roman"/>
          <w:color w:val="000000"/>
          <w:kern w:val="0"/>
          <w:lang w:val="es-ES"/>
          <w14:ligatures w14:val="none"/>
        </w:rPr>
        <w:t>20</w:t>
      </w:r>
      <w:r w:rsidRPr="005F1042">
        <w:rPr>
          <w:rFonts w:ascii="Book Antiqua" w:eastAsia="Times New Roman" w:hAnsi="Book Antiqua" w:cs="Times New Roman"/>
          <w:color w:val="000000"/>
          <w:kern w:val="0"/>
          <w:position w:val="10"/>
          <w:vertAlign w:val="superscript"/>
          <w:lang w:val="es-ES"/>
          <w14:ligatures w14:val="none"/>
        </w:rPr>
        <w:t>ma</w:t>
      </w:r>
      <w:r w:rsidR="005E118E" w:rsidRPr="005F1042">
        <w:rPr>
          <w:rFonts w:ascii="Book Antiqua" w:eastAsia="Times New Roman" w:hAnsi="Book Antiqua" w:cs="Times New Roman"/>
          <w:color w:val="000000"/>
          <w:kern w:val="0"/>
          <w:position w:val="10"/>
          <w:vertAlign w:val="superscript"/>
          <w:lang w:val="es-ES"/>
          <w14:ligatures w14:val="none"/>
        </w:rPr>
        <w:t>.</w:t>
      </w:r>
      <w:r w:rsidRPr="005F1042">
        <w:rPr>
          <w:rFonts w:ascii="Book Antiqua" w:eastAsia="Times New Roman" w:hAnsi="Book Antiqua" w:cs="Times New Roman"/>
          <w:color w:val="000000"/>
          <w:kern w:val="0"/>
          <w:position w:val="10"/>
          <w:vertAlign w:val="superscript"/>
          <w:lang w:val="es-ES"/>
          <w14:ligatures w14:val="none"/>
        </w:rPr>
        <w:t xml:space="preserve"> </w:t>
      </w:r>
      <w:r w:rsidRPr="005F1042">
        <w:rPr>
          <w:rFonts w:ascii="Book Antiqua" w:eastAsia="Times New Roman" w:hAnsi="Book Antiqua" w:cs="Times New Roman"/>
          <w:color w:val="000000"/>
          <w:kern w:val="0"/>
          <w:lang w:val="es-ES"/>
          <w14:ligatures w14:val="none"/>
        </w:rPr>
        <w:t>Asamblea</w:t>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t xml:space="preserve">                  </w:t>
      </w:r>
      <w:r w:rsidR="00947E8C" w:rsidRPr="005F1042">
        <w:rPr>
          <w:rFonts w:ascii="Book Antiqua" w:eastAsia="Times New Roman" w:hAnsi="Book Antiqua" w:cs="Times New Roman"/>
          <w:color w:val="000000"/>
          <w:kern w:val="0"/>
          <w:lang w:val="es-ES"/>
          <w14:ligatures w14:val="none"/>
        </w:rPr>
        <w:t>3</w:t>
      </w:r>
      <w:r w:rsidR="00947E8C" w:rsidRPr="005F1042">
        <w:rPr>
          <w:rFonts w:ascii="Book Antiqua" w:eastAsia="Times New Roman" w:hAnsi="Book Antiqua" w:cs="Times New Roman"/>
          <w:color w:val="000000"/>
          <w:kern w:val="0"/>
          <w:vertAlign w:val="superscript"/>
          <w:lang w:val="es-ES"/>
          <w14:ligatures w14:val="none"/>
        </w:rPr>
        <w:t>r</w:t>
      </w:r>
      <w:r w:rsidRPr="005F1042">
        <w:rPr>
          <w:rFonts w:ascii="Book Antiqua" w:eastAsia="Times New Roman" w:hAnsi="Book Antiqua" w:cs="Times New Roman"/>
          <w:color w:val="000000"/>
          <w:kern w:val="0"/>
          <w:vertAlign w:val="superscript"/>
          <w:lang w:val="es-ES"/>
          <w14:ligatures w14:val="none"/>
        </w:rPr>
        <w:t>a.</w:t>
      </w:r>
      <w:r w:rsidRPr="005F1042">
        <w:rPr>
          <w:rFonts w:ascii="Book Antiqua" w:eastAsia="Times New Roman" w:hAnsi="Book Antiqua" w:cs="Times New Roman"/>
          <w:color w:val="000000"/>
          <w:kern w:val="0"/>
          <w:position w:val="10"/>
          <w:vertAlign w:val="superscript"/>
          <w:lang w:val="es-ES"/>
          <w14:ligatures w14:val="none"/>
        </w:rPr>
        <w:t xml:space="preserve"> </w:t>
      </w:r>
      <w:r w:rsidRPr="005F1042">
        <w:rPr>
          <w:rFonts w:ascii="Book Antiqua" w:eastAsia="Times New Roman" w:hAnsi="Book Antiqua" w:cs="Times New Roman"/>
          <w:color w:val="000000"/>
          <w:kern w:val="0"/>
          <w:lang w:val="es-ES"/>
          <w14:ligatures w14:val="none"/>
        </w:rPr>
        <w:t xml:space="preserve">Sesión </w:t>
      </w:r>
    </w:p>
    <w:p w14:paraId="4C99236B" w14:textId="15E116D3" w:rsidR="00A54AF0" w:rsidRPr="005F1042"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5F1042">
        <w:rPr>
          <w:rFonts w:ascii="Book Antiqua" w:eastAsia="Times New Roman" w:hAnsi="Book Antiqua" w:cs="Times New Roman"/>
          <w:color w:val="000000"/>
          <w:kern w:val="0"/>
          <w:lang w:val="es-ES"/>
          <w14:ligatures w14:val="none"/>
        </w:rPr>
        <w:t xml:space="preserve">        </w:t>
      </w:r>
      <w:r w:rsidR="000C5343" w:rsidRPr="005F1042">
        <w:rPr>
          <w:rFonts w:ascii="Book Antiqua" w:eastAsia="Times New Roman" w:hAnsi="Book Antiqua" w:cs="Times New Roman"/>
          <w:color w:val="000000"/>
          <w:kern w:val="0"/>
          <w:lang w:val="es-ES"/>
          <w14:ligatures w14:val="none"/>
        </w:rPr>
        <w:t xml:space="preserve"> </w:t>
      </w:r>
      <w:r w:rsidRPr="005F1042">
        <w:rPr>
          <w:rFonts w:ascii="Book Antiqua" w:eastAsia="Times New Roman" w:hAnsi="Book Antiqua" w:cs="Times New Roman"/>
          <w:color w:val="000000"/>
          <w:kern w:val="0"/>
          <w:lang w:val="es-ES"/>
          <w14:ligatures w14:val="none"/>
        </w:rPr>
        <w:t>Legislativa</w:t>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t xml:space="preserve"> </w:t>
      </w:r>
      <w:r w:rsidR="000C5343" w:rsidRPr="005F1042">
        <w:rPr>
          <w:rFonts w:ascii="Book Antiqua" w:eastAsia="Times New Roman" w:hAnsi="Book Antiqua" w:cs="Times New Roman"/>
          <w:color w:val="000000"/>
          <w:kern w:val="0"/>
          <w:lang w:val="es-ES"/>
          <w14:ligatures w14:val="none"/>
        </w:rPr>
        <w:t xml:space="preserve">           </w:t>
      </w:r>
      <w:r w:rsidRPr="005F1042">
        <w:rPr>
          <w:rFonts w:ascii="Book Antiqua" w:eastAsia="Times New Roman" w:hAnsi="Book Antiqua" w:cs="Times New Roman"/>
          <w:color w:val="000000"/>
          <w:kern w:val="0"/>
          <w:lang w:val="es-ES"/>
          <w14:ligatures w14:val="none"/>
        </w:rPr>
        <w:t xml:space="preserve">Ordinaria </w:t>
      </w:r>
    </w:p>
    <w:p w14:paraId="29F090CC" w14:textId="77777777" w:rsidR="00A54AF0" w:rsidRPr="005F1042" w:rsidRDefault="00A54AF0" w:rsidP="00A54AF0">
      <w:pPr>
        <w:spacing w:after="0" w:line="240" w:lineRule="auto"/>
        <w:jc w:val="center"/>
        <w:rPr>
          <w:rFonts w:ascii="Book Antiqua" w:eastAsia="Times New Roman" w:hAnsi="Book Antiqua" w:cs="Times New Roman"/>
          <w:b/>
          <w:bCs/>
          <w:color w:val="000000"/>
          <w:kern w:val="0"/>
          <w:sz w:val="28"/>
          <w:szCs w:val="28"/>
          <w14:ligatures w14:val="none"/>
        </w:rPr>
      </w:pPr>
    </w:p>
    <w:p w14:paraId="0CEF9C2F" w14:textId="77777777" w:rsidR="00A54AF0" w:rsidRPr="005F1042"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p>
    <w:p w14:paraId="5F4761C8" w14:textId="77777777" w:rsidR="00A54AF0" w:rsidRPr="005F1042"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r w:rsidRPr="005F1042">
        <w:rPr>
          <w:rFonts w:ascii="Book Antiqua" w:eastAsia="Times New Roman" w:hAnsi="Book Antiqua" w:cs="Times New Roman"/>
          <w:b/>
          <w:bCs/>
          <w:color w:val="000000"/>
          <w:kern w:val="0"/>
          <w:sz w:val="36"/>
          <w:szCs w:val="36"/>
          <w14:ligatures w14:val="none"/>
        </w:rPr>
        <w:t>CÁMARA DE REPRESENTANTES</w:t>
      </w:r>
    </w:p>
    <w:p w14:paraId="507F2406" w14:textId="77777777" w:rsidR="00A54AF0" w:rsidRPr="005F1042" w:rsidRDefault="00A54AF0" w:rsidP="00A54AF0">
      <w:pPr>
        <w:spacing w:after="0" w:line="240" w:lineRule="auto"/>
        <w:jc w:val="center"/>
        <w:rPr>
          <w:rFonts w:ascii="Book Antiqua" w:eastAsia="Times New Roman" w:hAnsi="Book Antiqua" w:cs="Times New Roman"/>
          <w:kern w:val="0"/>
          <w14:ligatures w14:val="none"/>
        </w:rPr>
      </w:pPr>
    </w:p>
    <w:p w14:paraId="3895E960" w14:textId="1D599CFD" w:rsidR="00A54AF0" w:rsidRPr="005F1042" w:rsidRDefault="00A54AF0" w:rsidP="00A54AF0">
      <w:pPr>
        <w:spacing w:after="0" w:line="240" w:lineRule="auto"/>
        <w:jc w:val="center"/>
        <w:rPr>
          <w:rFonts w:ascii="Book Antiqua" w:eastAsia="Times New Roman" w:hAnsi="Book Antiqua" w:cs="Times New Roman"/>
          <w:b/>
          <w:kern w:val="0"/>
          <w:sz w:val="52"/>
          <w:szCs w:val="52"/>
          <w14:ligatures w14:val="none"/>
        </w:rPr>
      </w:pPr>
      <w:r w:rsidRPr="005F1042">
        <w:rPr>
          <w:rFonts w:ascii="Book Antiqua" w:eastAsia="Times New Roman" w:hAnsi="Book Antiqua" w:cs="Times New Roman"/>
          <w:b/>
          <w:kern w:val="0"/>
          <w:sz w:val="52"/>
          <w:szCs w:val="52"/>
          <w14:ligatures w14:val="none"/>
        </w:rPr>
        <w:t>P. de la C.</w:t>
      </w:r>
      <w:r w:rsidR="00C64058" w:rsidRPr="005F1042">
        <w:rPr>
          <w:rFonts w:ascii="Book Antiqua" w:eastAsia="Times New Roman" w:hAnsi="Book Antiqua" w:cs="Times New Roman"/>
          <w:b/>
          <w:kern w:val="0"/>
          <w:sz w:val="52"/>
          <w:szCs w:val="52"/>
          <w14:ligatures w14:val="none"/>
        </w:rPr>
        <w:t xml:space="preserve"> </w:t>
      </w:r>
      <w:r w:rsidR="0052608D">
        <w:rPr>
          <w:rFonts w:ascii="Book Antiqua" w:eastAsia="Times New Roman" w:hAnsi="Book Antiqua" w:cs="Times New Roman"/>
          <w:b/>
          <w:kern w:val="0"/>
          <w:sz w:val="52"/>
          <w:szCs w:val="52"/>
          <w14:ligatures w14:val="none"/>
        </w:rPr>
        <w:t>1080</w:t>
      </w:r>
    </w:p>
    <w:p w14:paraId="6A26D0A1" w14:textId="7E61818B" w:rsidR="00A54AF0" w:rsidRPr="005F1042" w:rsidRDefault="00A54AF0" w:rsidP="00A54AF0">
      <w:pPr>
        <w:keepNext/>
        <w:spacing w:before="240" w:after="0" w:line="240" w:lineRule="auto"/>
        <w:jc w:val="center"/>
        <w:outlineLvl w:val="0"/>
        <w:rPr>
          <w:rFonts w:ascii="Book Antiqua" w:eastAsia="Times New Roman" w:hAnsi="Book Antiqua" w:cs="Times New Roman"/>
          <w:b/>
          <w:bCs/>
          <w:color w:val="000000"/>
          <w:kern w:val="0"/>
          <w:sz w:val="28"/>
          <w:szCs w:val="28"/>
          <w:lang w:eastAsia="x-none"/>
          <w14:ligatures w14:val="none"/>
        </w:rPr>
      </w:pPr>
      <w:r w:rsidRPr="005F1042">
        <w:rPr>
          <w:rFonts w:ascii="Book Antiqua" w:eastAsia="Times New Roman" w:hAnsi="Book Antiqua" w:cs="Times New Roman"/>
          <w:b/>
          <w:bCs/>
          <w:color w:val="000000"/>
          <w:kern w:val="0"/>
          <w:sz w:val="28"/>
          <w:szCs w:val="28"/>
          <w:lang w:eastAsia="x-none"/>
          <w14:ligatures w14:val="none"/>
        </w:rPr>
        <w:t>INFORME POSITIVO</w:t>
      </w:r>
    </w:p>
    <w:p w14:paraId="6E1E98A3" w14:textId="77777777" w:rsidR="00A54AF0" w:rsidRPr="005F1042" w:rsidRDefault="00A54AF0" w:rsidP="00A54AF0">
      <w:pPr>
        <w:spacing w:after="0" w:line="240" w:lineRule="auto"/>
        <w:rPr>
          <w:rFonts w:ascii="Book Antiqua" w:eastAsia="Times New Roman" w:hAnsi="Book Antiqua" w:cs="Times New Roman"/>
          <w:bCs/>
          <w:color w:val="000000"/>
          <w:kern w:val="0"/>
          <w14:ligatures w14:val="none"/>
        </w:rPr>
      </w:pPr>
    </w:p>
    <w:p w14:paraId="26D2917D" w14:textId="43255668" w:rsidR="00A54AF0" w:rsidRPr="005F1042" w:rsidRDefault="00D24E1E" w:rsidP="00A54AF0">
      <w:pPr>
        <w:spacing w:after="0" w:line="240" w:lineRule="auto"/>
        <w:jc w:val="center"/>
        <w:rPr>
          <w:rFonts w:ascii="Book Antiqua" w:eastAsia="Times New Roman" w:hAnsi="Book Antiqua" w:cs="Times New Roman"/>
          <w:color w:val="000000"/>
          <w:kern w:val="0"/>
          <w14:ligatures w14:val="none"/>
        </w:rPr>
      </w:pPr>
      <w:r>
        <w:rPr>
          <w:rFonts w:ascii="Book Antiqua" w:eastAsia="Times New Roman" w:hAnsi="Book Antiqua" w:cs="Times New Roman"/>
          <w:bCs/>
          <w:color w:val="000000"/>
          <w:kern w:val="0"/>
          <w14:ligatures w14:val="none"/>
        </w:rPr>
        <w:t xml:space="preserve">29 </w:t>
      </w:r>
      <w:r w:rsidR="00A54AF0" w:rsidRPr="005F1042">
        <w:rPr>
          <w:rFonts w:ascii="Book Antiqua" w:eastAsia="Times New Roman" w:hAnsi="Book Antiqua" w:cs="Times New Roman"/>
          <w:bCs/>
          <w:color w:val="000000"/>
          <w:kern w:val="0"/>
          <w14:ligatures w14:val="none"/>
        </w:rPr>
        <w:t xml:space="preserve">DE </w:t>
      </w:r>
      <w:r w:rsidR="009D441B">
        <w:rPr>
          <w:rFonts w:ascii="Book Antiqua" w:eastAsia="Times New Roman" w:hAnsi="Book Antiqua" w:cs="Times New Roman"/>
          <w:bCs/>
          <w:color w:val="000000"/>
          <w:kern w:val="0"/>
          <w14:ligatures w14:val="none"/>
        </w:rPr>
        <w:t>MAYO</w:t>
      </w:r>
      <w:r w:rsidR="00663D4E" w:rsidRPr="005F1042">
        <w:rPr>
          <w:rFonts w:ascii="Book Antiqua" w:eastAsia="Times New Roman" w:hAnsi="Book Antiqua" w:cs="Times New Roman"/>
          <w:bCs/>
          <w:color w:val="000000"/>
          <w:kern w:val="0"/>
          <w14:ligatures w14:val="none"/>
        </w:rPr>
        <w:t xml:space="preserve"> </w:t>
      </w:r>
      <w:r w:rsidR="00A54AF0" w:rsidRPr="005F1042">
        <w:rPr>
          <w:rFonts w:ascii="Book Antiqua" w:eastAsia="Times New Roman" w:hAnsi="Book Antiqua" w:cs="Times New Roman"/>
          <w:bCs/>
          <w:color w:val="000000"/>
          <w:kern w:val="0"/>
          <w14:ligatures w14:val="none"/>
        </w:rPr>
        <w:t>DE 202</w:t>
      </w:r>
      <w:r w:rsidR="0078577E" w:rsidRPr="005F1042">
        <w:rPr>
          <w:rFonts w:ascii="Book Antiqua" w:eastAsia="Times New Roman" w:hAnsi="Book Antiqua" w:cs="Times New Roman"/>
          <w:bCs/>
          <w:color w:val="000000"/>
          <w:kern w:val="0"/>
          <w14:ligatures w14:val="none"/>
        </w:rPr>
        <w:t>6</w:t>
      </w:r>
    </w:p>
    <w:p w14:paraId="77242E04" w14:textId="77777777" w:rsidR="00A54AF0" w:rsidRPr="005F1042" w:rsidRDefault="00A54AF0" w:rsidP="00A54AF0">
      <w:pPr>
        <w:spacing w:after="0" w:line="240" w:lineRule="auto"/>
        <w:jc w:val="center"/>
        <w:rPr>
          <w:rFonts w:ascii="Book Antiqua" w:eastAsia="Times New Roman" w:hAnsi="Book Antiqua" w:cs="Times New Roman"/>
          <w:color w:val="000000"/>
          <w:kern w:val="0"/>
          <w14:ligatures w14:val="none"/>
        </w:rPr>
      </w:pPr>
    </w:p>
    <w:p w14:paraId="420645D7" w14:textId="77777777" w:rsidR="00A54AF0" w:rsidRPr="005F1042" w:rsidRDefault="00A54AF0" w:rsidP="00A54AF0">
      <w:pPr>
        <w:spacing w:after="0" w:line="240" w:lineRule="auto"/>
        <w:rPr>
          <w:rFonts w:ascii="Book Antiqua" w:eastAsia="Times New Roman" w:hAnsi="Book Antiqua" w:cs="Times New Roman"/>
          <w:color w:val="000000"/>
          <w:kern w:val="0"/>
          <w14:ligatures w14:val="none"/>
        </w:rPr>
      </w:pPr>
    </w:p>
    <w:p w14:paraId="05B222A6" w14:textId="77777777" w:rsidR="00A54AF0" w:rsidRPr="005F1042" w:rsidRDefault="00A54AF0" w:rsidP="00A54AF0">
      <w:pPr>
        <w:spacing w:after="0" w:line="240" w:lineRule="auto"/>
        <w:ind w:firstLine="720"/>
        <w:rPr>
          <w:rFonts w:ascii="Book Antiqua" w:eastAsia="Times New Roman" w:hAnsi="Book Antiqua" w:cs="Times New Roman"/>
          <w:b/>
          <w:bCs/>
          <w:kern w:val="0"/>
          <w14:ligatures w14:val="none"/>
        </w:rPr>
      </w:pPr>
      <w:r w:rsidRPr="005F1042">
        <w:rPr>
          <w:rFonts w:ascii="Book Antiqua" w:eastAsia="Times New Roman" w:hAnsi="Book Antiqua" w:cs="Times New Roman"/>
          <w:b/>
          <w:bCs/>
          <w:kern w:val="0"/>
          <w14:ligatures w14:val="none"/>
        </w:rPr>
        <w:t>A LA CÁMARA DE REPRESENTANTES DE PUERTO RICO:</w:t>
      </w:r>
    </w:p>
    <w:p w14:paraId="1DE7F01B" w14:textId="77777777" w:rsidR="00A54AF0" w:rsidRPr="005F1042" w:rsidRDefault="00A54AF0" w:rsidP="00A54AF0">
      <w:pPr>
        <w:spacing w:after="0" w:line="240" w:lineRule="auto"/>
        <w:rPr>
          <w:rFonts w:ascii="Book Antiqua" w:eastAsia="Times New Roman" w:hAnsi="Book Antiqua" w:cs="Times New Roman"/>
          <w:b/>
          <w:bCs/>
          <w:kern w:val="0"/>
          <w14:ligatures w14:val="none"/>
        </w:rPr>
      </w:pPr>
    </w:p>
    <w:p w14:paraId="65F2FF51" w14:textId="51EB6D90" w:rsidR="00A54AF0" w:rsidRPr="005F1042" w:rsidRDefault="00A54AF0" w:rsidP="00AB7D4B">
      <w:pPr>
        <w:spacing w:after="0" w:line="360" w:lineRule="auto"/>
        <w:ind w:firstLine="720"/>
        <w:jc w:val="both"/>
        <w:rPr>
          <w:rFonts w:ascii="Book Antiqua" w:eastAsia="Times New Roman" w:hAnsi="Book Antiqua" w:cs="Times New Roman"/>
          <w:kern w:val="0"/>
          <w14:ligatures w14:val="none"/>
        </w:rPr>
      </w:pPr>
      <w:r w:rsidRPr="005F1042">
        <w:rPr>
          <w:rFonts w:ascii="Book Antiqua" w:eastAsia="Times New Roman" w:hAnsi="Book Antiqua" w:cs="Times New Roman"/>
          <w:kern w:val="0"/>
          <w14:ligatures w14:val="none"/>
        </w:rPr>
        <w:t xml:space="preserve">La </w:t>
      </w:r>
      <w:r w:rsidRPr="005F1042">
        <w:rPr>
          <w:rFonts w:ascii="Book Antiqua" w:eastAsia="Times New Roman" w:hAnsi="Book Antiqua" w:cs="Times New Roman"/>
          <w:i/>
          <w:iCs/>
          <w:kern w:val="0"/>
          <w:lang w:val="es-ES"/>
          <w14:ligatures w14:val="none"/>
        </w:rPr>
        <w:t>Comisión de Reorganización, Eficiencia y Diligencia</w:t>
      </w:r>
      <w:r w:rsidRPr="005F1042">
        <w:rPr>
          <w:rFonts w:ascii="Book Antiqua" w:eastAsia="Times New Roman" w:hAnsi="Book Antiqua" w:cs="Times New Roman"/>
          <w:kern w:val="0"/>
          <w14:ligatures w14:val="none"/>
        </w:rPr>
        <w:t xml:space="preserve">, recomienda la </w:t>
      </w:r>
      <w:r w:rsidR="005F1042">
        <w:rPr>
          <w:rFonts w:ascii="Book Antiqua" w:eastAsia="Times New Roman" w:hAnsi="Book Antiqua" w:cs="Times New Roman"/>
          <w:kern w:val="0"/>
          <w14:ligatures w14:val="none"/>
        </w:rPr>
        <w:t xml:space="preserve">aprobación </w:t>
      </w:r>
      <w:r w:rsidRPr="005F1042">
        <w:rPr>
          <w:rFonts w:ascii="Book Antiqua" w:eastAsia="Times New Roman" w:hAnsi="Book Antiqua" w:cs="Times New Roman"/>
          <w:kern w:val="0"/>
          <w14:ligatures w14:val="none"/>
        </w:rPr>
        <w:t xml:space="preserve">del </w:t>
      </w:r>
      <w:r w:rsidR="00433876" w:rsidRPr="005F1042">
        <w:rPr>
          <w:rFonts w:ascii="Book Antiqua" w:eastAsia="Times New Roman" w:hAnsi="Book Antiqua" w:cs="Times New Roman"/>
          <w:b/>
          <w:bCs/>
          <w:kern w:val="0"/>
          <w14:ligatures w14:val="none"/>
        </w:rPr>
        <w:t xml:space="preserve">Proyecto de la Cámara </w:t>
      </w:r>
      <w:r w:rsidR="009D441B">
        <w:rPr>
          <w:rFonts w:ascii="Book Antiqua" w:eastAsia="Times New Roman" w:hAnsi="Book Antiqua" w:cs="Times New Roman"/>
          <w:b/>
          <w:bCs/>
          <w:kern w:val="0"/>
          <w14:ligatures w14:val="none"/>
        </w:rPr>
        <w:t>1080</w:t>
      </w:r>
      <w:r w:rsidR="00C64058" w:rsidRPr="005F1042">
        <w:rPr>
          <w:rFonts w:ascii="Book Antiqua" w:eastAsia="Times New Roman" w:hAnsi="Book Antiqua" w:cs="Times New Roman"/>
          <w:b/>
          <w:bCs/>
          <w:kern w:val="0"/>
          <w14:ligatures w14:val="none"/>
        </w:rPr>
        <w:t xml:space="preserve"> </w:t>
      </w:r>
      <w:r w:rsidR="00792C46" w:rsidRPr="005F1042">
        <w:rPr>
          <w:rFonts w:ascii="Book Antiqua" w:eastAsia="Times New Roman" w:hAnsi="Book Antiqua" w:cs="Times New Roman"/>
          <w:kern w:val="0"/>
          <w14:ligatures w14:val="none"/>
        </w:rPr>
        <w:t xml:space="preserve">(P. de la C. </w:t>
      </w:r>
      <w:r w:rsidR="009D441B">
        <w:rPr>
          <w:rFonts w:ascii="Book Antiqua" w:eastAsia="Times New Roman" w:hAnsi="Book Antiqua" w:cs="Times New Roman"/>
          <w:kern w:val="0"/>
          <w14:ligatures w14:val="none"/>
        </w:rPr>
        <w:t>1080</w:t>
      </w:r>
      <w:r w:rsidR="00792C46" w:rsidRPr="005F1042">
        <w:rPr>
          <w:rFonts w:ascii="Book Antiqua" w:eastAsia="Times New Roman" w:hAnsi="Book Antiqua" w:cs="Times New Roman"/>
          <w:kern w:val="0"/>
          <w14:ligatures w14:val="none"/>
        </w:rPr>
        <w:t>)</w:t>
      </w:r>
      <w:r w:rsidR="005F1042">
        <w:rPr>
          <w:rFonts w:ascii="Book Antiqua" w:eastAsia="Times New Roman" w:hAnsi="Book Antiqua" w:cs="Times New Roman"/>
          <w:kern w:val="0"/>
          <w14:ligatures w14:val="none"/>
        </w:rPr>
        <w:t xml:space="preserve">, con las enmiendas presentadas en el entirillado electrónico adjunto. </w:t>
      </w:r>
    </w:p>
    <w:p w14:paraId="3639B984" w14:textId="77777777" w:rsidR="00A54AF0" w:rsidRPr="005F1042" w:rsidRDefault="00A54AF0" w:rsidP="00A54AF0">
      <w:pPr>
        <w:spacing w:after="0" w:line="240" w:lineRule="auto"/>
        <w:jc w:val="both"/>
        <w:rPr>
          <w:rFonts w:ascii="Book Antiqua" w:eastAsia="Times New Roman" w:hAnsi="Book Antiqua" w:cs="Times New Roman"/>
          <w:kern w:val="0"/>
          <w14:ligatures w14:val="none"/>
        </w:rPr>
      </w:pPr>
    </w:p>
    <w:p w14:paraId="5F8ED6CA" w14:textId="77777777" w:rsidR="00A54AF0" w:rsidRPr="005F1042" w:rsidRDefault="00A54AF0" w:rsidP="00A54AF0">
      <w:pPr>
        <w:keepNext/>
        <w:spacing w:after="0" w:line="240" w:lineRule="auto"/>
        <w:ind w:left="2160" w:firstLine="720"/>
        <w:jc w:val="both"/>
        <w:outlineLvl w:val="1"/>
        <w:rPr>
          <w:rFonts w:ascii="Book Antiqua" w:eastAsia="Times New Roman" w:hAnsi="Book Antiqua" w:cs="Times New Roman"/>
          <w:b/>
          <w:bCs/>
          <w:kern w:val="0"/>
          <w:lang w:eastAsia="x-none"/>
          <w14:ligatures w14:val="none"/>
        </w:rPr>
      </w:pPr>
      <w:r w:rsidRPr="005F1042">
        <w:rPr>
          <w:rFonts w:ascii="Book Antiqua" w:eastAsia="Times New Roman" w:hAnsi="Book Antiqua" w:cs="Times New Roman"/>
          <w:b/>
          <w:bCs/>
          <w:kern w:val="0"/>
          <w:lang w:eastAsia="x-none"/>
          <w14:ligatures w14:val="none"/>
        </w:rPr>
        <w:t>ALCANCE DE LA MEDIDA</w:t>
      </w:r>
    </w:p>
    <w:p w14:paraId="05D2FB6C" w14:textId="77777777" w:rsidR="00A54AF0" w:rsidRPr="005F1042" w:rsidRDefault="00A54AF0" w:rsidP="00A54AF0">
      <w:pPr>
        <w:spacing w:after="0" w:line="240" w:lineRule="auto"/>
        <w:rPr>
          <w:rFonts w:ascii="Book Antiqua" w:eastAsia="Times New Roman" w:hAnsi="Book Antiqua" w:cs="Times New Roman"/>
          <w:kern w:val="0"/>
          <w:lang w:eastAsia="x-none"/>
          <w14:ligatures w14:val="none"/>
        </w:rPr>
      </w:pPr>
    </w:p>
    <w:p w14:paraId="12F4D705" w14:textId="77777777" w:rsidR="009D441B" w:rsidRPr="008A7721" w:rsidRDefault="009D441B" w:rsidP="009D441B">
      <w:pPr>
        <w:ind w:left="720" w:hanging="720"/>
        <w:jc w:val="both"/>
        <w:rPr>
          <w:rFonts w:ascii="Book Antiqua" w:hAnsi="Book Antiqua"/>
        </w:rPr>
      </w:pPr>
      <w:r w:rsidRPr="008A7721">
        <w:rPr>
          <w:rFonts w:ascii="Book Antiqua" w:hAnsi="Book Antiqua"/>
        </w:rPr>
        <w:t xml:space="preserve">Para enmendar </w:t>
      </w:r>
      <w:r>
        <w:rPr>
          <w:rFonts w:ascii="Book Antiqua" w:hAnsi="Book Antiqua"/>
        </w:rPr>
        <w:t>los Capítulos I y II de la</w:t>
      </w:r>
      <w:r w:rsidRPr="008A7721">
        <w:rPr>
          <w:rFonts w:ascii="Book Antiqua" w:hAnsi="Book Antiqua"/>
        </w:rPr>
        <w:t xml:space="preserve"> Ley </w:t>
      </w:r>
      <w:r>
        <w:rPr>
          <w:rFonts w:ascii="Book Antiqua" w:hAnsi="Book Antiqua"/>
        </w:rPr>
        <w:t xml:space="preserve">Núm. </w:t>
      </w:r>
      <w:r w:rsidRPr="008A7721">
        <w:rPr>
          <w:rFonts w:ascii="Book Antiqua" w:hAnsi="Book Antiqua"/>
        </w:rPr>
        <w:t xml:space="preserve">38-2017, según enmendada, conocida como </w:t>
      </w:r>
      <w:r>
        <w:rPr>
          <w:rFonts w:ascii="Book Antiqua" w:hAnsi="Book Antiqua"/>
        </w:rPr>
        <w:t>“</w:t>
      </w:r>
      <w:r w:rsidRPr="008A7721">
        <w:rPr>
          <w:rFonts w:ascii="Book Antiqua" w:hAnsi="Book Antiqua"/>
        </w:rPr>
        <w:t xml:space="preserve">Ley de Procedimiento Administrativo Uniforme del Gobierno de Puerto Rico”, a los fines de </w:t>
      </w:r>
      <w:r>
        <w:rPr>
          <w:rFonts w:ascii="Book Antiqua" w:hAnsi="Book Antiqua"/>
        </w:rPr>
        <w:t>modernizar el procedimiento para la reglamentación</w:t>
      </w:r>
      <w:r w:rsidRPr="008A7721">
        <w:rPr>
          <w:rFonts w:ascii="Book Antiqua" w:hAnsi="Book Antiqua"/>
        </w:rPr>
        <w:t xml:space="preserve">; establecer el Boletín de Reglamentos y el Código de Reglamentos de Puerto Rico, e incorporar mecanismos de participación, análisis regulatorio y revisión periódica de reglamentos; y para otros fines relacionados. </w:t>
      </w:r>
    </w:p>
    <w:p w14:paraId="59170590" w14:textId="77777777" w:rsidR="00A54AF0" w:rsidRPr="005F1042" w:rsidRDefault="00A54AF0" w:rsidP="00A54AF0">
      <w:pPr>
        <w:spacing w:after="0" w:line="240" w:lineRule="auto"/>
        <w:jc w:val="center"/>
        <w:rPr>
          <w:rFonts w:ascii="Book Antiqua" w:eastAsia="Times New Roman" w:hAnsi="Book Antiqua" w:cs="Times New Roman"/>
          <w:b/>
          <w:bCs/>
          <w:kern w:val="0"/>
          <w:lang w:val="es-ES_tradnl"/>
          <w14:ligatures w14:val="none"/>
        </w:rPr>
      </w:pPr>
    </w:p>
    <w:p w14:paraId="633D576D" w14:textId="77777777" w:rsidR="00A54AF0" w:rsidRDefault="00A54AF0" w:rsidP="00A54AF0">
      <w:pPr>
        <w:spacing w:after="0" w:line="240" w:lineRule="auto"/>
        <w:jc w:val="center"/>
        <w:rPr>
          <w:rFonts w:ascii="Book Antiqua" w:eastAsia="Times New Roman" w:hAnsi="Book Antiqua" w:cs="Times New Roman"/>
          <w:b/>
          <w:bCs/>
          <w:kern w:val="0"/>
          <w14:ligatures w14:val="none"/>
        </w:rPr>
      </w:pPr>
      <w:r w:rsidRPr="005F1042">
        <w:rPr>
          <w:rFonts w:ascii="Book Antiqua" w:eastAsia="Times New Roman" w:hAnsi="Book Antiqua" w:cs="Times New Roman"/>
          <w:b/>
          <w:bCs/>
          <w:kern w:val="0"/>
          <w14:ligatures w14:val="none"/>
        </w:rPr>
        <w:t>INTRODUCCIÓN</w:t>
      </w:r>
    </w:p>
    <w:p w14:paraId="262AAA67" w14:textId="77777777" w:rsidR="00E424E5" w:rsidRDefault="00E424E5" w:rsidP="00E424E5">
      <w:pPr>
        <w:spacing w:after="0" w:line="240" w:lineRule="auto"/>
        <w:rPr>
          <w:rFonts w:ascii="Book Antiqua" w:eastAsia="Times New Roman" w:hAnsi="Book Antiqua" w:cs="Times New Roman"/>
          <w:b/>
          <w:bCs/>
          <w:kern w:val="0"/>
          <w14:ligatures w14:val="none"/>
        </w:rPr>
      </w:pPr>
    </w:p>
    <w:p w14:paraId="1181C0A2" w14:textId="55206387" w:rsidR="00E424E5" w:rsidRPr="00AB7D98" w:rsidRDefault="00E424E5" w:rsidP="00CE6DAA">
      <w:pPr>
        <w:spacing w:after="0" w:line="360" w:lineRule="auto"/>
        <w:ind w:firstLine="720"/>
        <w:jc w:val="both"/>
        <w:rPr>
          <w:rFonts w:ascii="Book Antiqua" w:hAnsi="Book Antiqua"/>
        </w:rPr>
      </w:pPr>
      <w:r w:rsidRPr="00AB7D98">
        <w:rPr>
          <w:rFonts w:ascii="Book Antiqua" w:hAnsi="Book Antiqua"/>
        </w:rPr>
        <w:t xml:space="preserve">El Proyecto de la Cámara 1080 (en adelante, “Proyecto” o “P. de la C. 1080”) propone enmendar los Capítulos I y II de la Ley Núm. 38 de 30 de junio de 2017, según enmendada, conocida como </w:t>
      </w:r>
      <w:r w:rsidRPr="00E424E5">
        <w:rPr>
          <w:rFonts w:ascii="Book Antiqua" w:hAnsi="Book Antiqua"/>
          <w:i/>
          <w:iCs/>
        </w:rPr>
        <w:t xml:space="preserve">Ley de Procedimiento Administrativo Uniforme del Gobierno de </w:t>
      </w:r>
      <w:r w:rsidRPr="00E424E5">
        <w:rPr>
          <w:rFonts w:ascii="Book Antiqua" w:hAnsi="Book Antiqua"/>
          <w:i/>
          <w:iCs/>
        </w:rPr>
        <w:lastRenderedPageBreak/>
        <w:t>Puerto Rico</w:t>
      </w:r>
      <w:r w:rsidRPr="00AB7D98">
        <w:rPr>
          <w:rFonts w:ascii="Book Antiqua" w:hAnsi="Book Antiqua"/>
        </w:rPr>
        <w:t xml:space="preserve"> (en adelante, “LPAU”), con el propósito de modernizar el procedimiento de reglamentación administrativa. La medida persigue cinco objetivos cardinales que se entrelazan en una visión coherente de transformación administrativa.</w:t>
      </w:r>
    </w:p>
    <w:p w14:paraId="39C7AFB0" w14:textId="77777777" w:rsidR="00E424E5" w:rsidRPr="00AB7D98" w:rsidRDefault="00E424E5" w:rsidP="00CE6DAA">
      <w:pPr>
        <w:spacing w:after="0" w:line="360" w:lineRule="auto"/>
        <w:ind w:firstLine="720"/>
        <w:jc w:val="both"/>
        <w:rPr>
          <w:rFonts w:ascii="Book Antiqua" w:hAnsi="Book Antiqua"/>
        </w:rPr>
      </w:pPr>
      <w:r w:rsidRPr="00AB7D98">
        <w:rPr>
          <w:rFonts w:ascii="Book Antiqua" w:hAnsi="Book Antiqua"/>
        </w:rPr>
        <w:t>Primero, la pieza legislativa codifica un principio interpretativo de carácter restrictivo respecto a la autoridad reglamentaria de las agencias. Mediante la nueva Sección 2.1 se dispone que dicha autoridad solo podrá ejercerse en el marco de los poderes y deberes específicos conferidos expresamente por ley, y que toda disposición estatutaria que confiera autoridad reglamentaria de manera general deberá interpretarse de forma restrictiva. Esta codificación recoge la doctrina jurisprudencial vigente sobre el alcance de la delegación legislativa a las agencias administrativas.</w:t>
      </w:r>
    </w:p>
    <w:p w14:paraId="3CABCC8D" w14:textId="77777777" w:rsidR="00E424E5" w:rsidRPr="00AB7D98" w:rsidRDefault="00E424E5" w:rsidP="00CE6DAA">
      <w:pPr>
        <w:spacing w:after="0" w:line="360" w:lineRule="auto"/>
        <w:ind w:firstLine="720"/>
        <w:jc w:val="both"/>
        <w:rPr>
          <w:rFonts w:ascii="Book Antiqua" w:hAnsi="Book Antiqua"/>
        </w:rPr>
      </w:pPr>
      <w:r w:rsidRPr="00AB7D98">
        <w:rPr>
          <w:rFonts w:ascii="Book Antiqua" w:hAnsi="Book Antiqua"/>
        </w:rPr>
        <w:t xml:space="preserve">Segundo, la medida crea el </w:t>
      </w:r>
      <w:r w:rsidRPr="00AE076E">
        <w:rPr>
          <w:rFonts w:ascii="Book Antiqua" w:hAnsi="Book Antiqua"/>
          <w:i/>
          <w:iCs/>
        </w:rPr>
        <w:t>Boletín de Reglamentos de Puerto Rico</w:t>
      </w:r>
      <w:r w:rsidRPr="00AB7D98">
        <w:rPr>
          <w:rFonts w:ascii="Book Antiqua" w:hAnsi="Book Antiqua"/>
        </w:rPr>
        <w:t xml:space="preserve"> como portal centralizado y canal oficial del Gobierno para la publicación de avisos de reglamentación. Tomando como referencia el </w:t>
      </w:r>
      <w:r w:rsidRPr="00AE076E">
        <w:rPr>
          <w:rFonts w:ascii="Book Antiqua" w:hAnsi="Book Antiqua"/>
          <w:i/>
          <w:iCs/>
        </w:rPr>
        <w:t>Federal Register</w:t>
      </w:r>
      <w:r w:rsidRPr="00AB7D98">
        <w:rPr>
          <w:rFonts w:ascii="Book Antiqua" w:hAnsi="Book Antiqua"/>
        </w:rPr>
        <w:t xml:space="preserve"> de los Estados Unidos, el Boletín constituirá una plataforma digital única donde se publicarán las propuestas de adopción, enmienda o derogación de reglamentos, los avisos de vistas públicas y las notificaciones finales de aprobación. El Boletín contendrá, además, un registro de reglamentos, una guía de estatus para cada propuesta reglamentaria, enlaces directos a los textos completos y un espacio para la presentación de comentarios ciudadanos.</w:t>
      </w:r>
    </w:p>
    <w:p w14:paraId="25D3205B" w14:textId="77777777" w:rsidR="00E424E5" w:rsidRPr="00AB7D98" w:rsidRDefault="00E424E5" w:rsidP="00CE6DAA">
      <w:pPr>
        <w:spacing w:after="0" w:line="360" w:lineRule="auto"/>
        <w:ind w:firstLine="720"/>
        <w:jc w:val="both"/>
        <w:rPr>
          <w:rFonts w:ascii="Book Antiqua" w:hAnsi="Book Antiqua"/>
        </w:rPr>
      </w:pPr>
      <w:r w:rsidRPr="00AB7D98">
        <w:rPr>
          <w:rFonts w:ascii="Book Antiqua" w:hAnsi="Book Antiqua"/>
        </w:rPr>
        <w:t xml:space="preserve">Tercero, el Proyecto ordena la creación del </w:t>
      </w:r>
      <w:r w:rsidRPr="00AE076E">
        <w:rPr>
          <w:rFonts w:ascii="Book Antiqua" w:hAnsi="Book Antiqua"/>
          <w:i/>
          <w:iCs/>
        </w:rPr>
        <w:t>Código de Reglamentos de Puerto Rico</w:t>
      </w:r>
      <w:r w:rsidRPr="00AB7D98">
        <w:rPr>
          <w:rFonts w:ascii="Book Antiqua" w:hAnsi="Book Antiqua"/>
        </w:rPr>
        <w:t>, obra digital que codificará todos los reglamentos vigentes del Gobierno. Inspirado en el Code of Federal Regulations, el Código tendrá una organización temática y herramientas de navegación que facilitarán la consulta, aplicación y fiscalización de la reglamentación por parte de la ciudadanía, el sector privado y las entidades gubernamentales.</w:t>
      </w:r>
    </w:p>
    <w:p w14:paraId="2F8D0273" w14:textId="56AC5CD0" w:rsidR="00E424E5" w:rsidRPr="00AB7D98" w:rsidRDefault="00E424E5" w:rsidP="00CE6DAA">
      <w:pPr>
        <w:spacing w:after="0" w:line="360" w:lineRule="auto"/>
        <w:ind w:firstLine="720"/>
        <w:jc w:val="both"/>
        <w:rPr>
          <w:rFonts w:ascii="Book Antiqua" w:hAnsi="Book Antiqua"/>
        </w:rPr>
      </w:pPr>
      <w:r w:rsidRPr="00AB7D98">
        <w:rPr>
          <w:rFonts w:ascii="Book Antiqua" w:hAnsi="Book Antiqua"/>
        </w:rPr>
        <w:t xml:space="preserve">Cuarto, la medida </w:t>
      </w:r>
      <w:r>
        <w:rPr>
          <w:rFonts w:ascii="Book Antiqua" w:hAnsi="Book Antiqua"/>
        </w:rPr>
        <w:t xml:space="preserve">propone incoroprar </w:t>
      </w:r>
      <w:r w:rsidRPr="00AB7D98">
        <w:rPr>
          <w:rFonts w:ascii="Book Antiqua" w:hAnsi="Book Antiqua"/>
        </w:rPr>
        <w:t xml:space="preserve">tres instrumentos de gobernanza regulatoria. El primero es la </w:t>
      </w:r>
      <w:r w:rsidRPr="00E424E5">
        <w:rPr>
          <w:rFonts w:ascii="Book Antiqua" w:hAnsi="Book Antiqua"/>
          <w:i/>
          <w:iCs/>
        </w:rPr>
        <w:t>Declaración de Costos Estimados</w:t>
      </w:r>
      <w:r w:rsidRPr="00AB7D98">
        <w:rPr>
          <w:rFonts w:ascii="Book Antiqua" w:hAnsi="Book Antiqua"/>
        </w:rPr>
        <w:t xml:space="preserve">, que requerirá a las agencias evaluar de forma razonable los efectos económicos de sus reglamentos antes de su adopción. El segundo es la </w:t>
      </w:r>
      <w:r w:rsidRPr="00E424E5">
        <w:rPr>
          <w:rFonts w:ascii="Book Antiqua" w:hAnsi="Book Antiqua"/>
          <w:i/>
          <w:iCs/>
        </w:rPr>
        <w:t>Reglamentación Negociada</w:t>
      </w:r>
      <w:r w:rsidRPr="00AB7D98">
        <w:rPr>
          <w:rFonts w:ascii="Book Antiqua" w:hAnsi="Book Antiqua"/>
        </w:rPr>
        <w:t xml:space="preserve">, que provee un mecanismo alterno para la elaboración de reglamentos mediante el diálogo estructurado entre el gobierno, el sector privado y la ciudadanía. El tercero es la </w:t>
      </w:r>
      <w:r w:rsidRPr="00E424E5">
        <w:rPr>
          <w:rFonts w:ascii="Book Antiqua" w:hAnsi="Book Antiqua"/>
          <w:i/>
          <w:iCs/>
        </w:rPr>
        <w:t>Incorporación por Referencia</w:t>
      </w:r>
      <w:r w:rsidRPr="00AB7D98">
        <w:rPr>
          <w:rFonts w:ascii="Book Antiqua" w:hAnsi="Book Antiqua"/>
        </w:rPr>
        <w:t xml:space="preserve">, que permite </w:t>
      </w:r>
      <w:r w:rsidRPr="00AB7D98">
        <w:rPr>
          <w:rFonts w:ascii="Book Antiqua" w:hAnsi="Book Antiqua"/>
        </w:rPr>
        <w:lastRenderedPageBreak/>
        <w:t>adoptar de forma expedita reglamentos, códigos o estándares federales cuando una ley o delegación de autoridad así lo disponga.</w:t>
      </w:r>
    </w:p>
    <w:p w14:paraId="1B417A01" w14:textId="0A29F59E" w:rsidR="006A3C2B" w:rsidRPr="00F30A44" w:rsidRDefault="00E424E5" w:rsidP="00F30A44">
      <w:pPr>
        <w:spacing w:after="200" w:line="360" w:lineRule="auto"/>
        <w:ind w:firstLine="720"/>
        <w:jc w:val="both"/>
        <w:rPr>
          <w:rFonts w:ascii="Book Antiqua" w:hAnsi="Book Antiqua"/>
        </w:rPr>
      </w:pPr>
      <w:r w:rsidRPr="00AB7D98">
        <w:rPr>
          <w:rFonts w:ascii="Book Antiqua" w:hAnsi="Book Antiqua"/>
        </w:rPr>
        <w:t>Quinto, el Proyecto fortalece la rendición de cuentas administrativa al establecer un deber de revisión periódica quinquenal con métricas obligatorias, así como un procedimiento expedito para la derogación de reglamentos en desuso. Adicionalmente, robustece los mecanismos de participación ciudadana, abriendo espacios permanentes para que el sector privado, el tercer sector y la ciudadanía en general puedan someter comentarios y propuestas sobre la reglamentación vigente o en proceso de adopción.</w:t>
      </w:r>
    </w:p>
    <w:p w14:paraId="6D3F4264" w14:textId="4FEEE7DA" w:rsidR="00A54AF0" w:rsidRPr="005F1042" w:rsidRDefault="00647DED" w:rsidP="00A54AF0">
      <w:pPr>
        <w:spacing w:after="0" w:line="240" w:lineRule="auto"/>
        <w:jc w:val="center"/>
        <w:rPr>
          <w:rFonts w:ascii="Book Antiqua" w:eastAsia="Times New Roman" w:hAnsi="Book Antiqua" w:cs="Times New Roman"/>
          <w:b/>
          <w:kern w:val="0"/>
          <w14:ligatures w14:val="none"/>
        </w:rPr>
      </w:pPr>
      <w:r w:rsidRPr="005F1042">
        <w:rPr>
          <w:rFonts w:ascii="Book Antiqua" w:eastAsia="Times New Roman" w:hAnsi="Book Antiqua" w:cs="Times New Roman"/>
          <w:b/>
          <w:kern w:val="0"/>
          <w14:ligatures w14:val="none"/>
        </w:rPr>
        <w:t xml:space="preserve">PONENCIAS O </w:t>
      </w:r>
      <w:r w:rsidR="00A54AF0" w:rsidRPr="005F1042">
        <w:rPr>
          <w:rFonts w:ascii="Book Antiqua" w:eastAsia="Times New Roman" w:hAnsi="Book Antiqua" w:cs="Times New Roman"/>
          <w:b/>
          <w:kern w:val="0"/>
          <w14:ligatures w14:val="none"/>
        </w:rPr>
        <w:t>MEMORIALES RECIBID</w:t>
      </w:r>
      <w:r w:rsidRPr="005F1042">
        <w:rPr>
          <w:rFonts w:ascii="Book Antiqua" w:eastAsia="Times New Roman" w:hAnsi="Book Antiqua" w:cs="Times New Roman"/>
          <w:b/>
          <w:kern w:val="0"/>
          <w14:ligatures w14:val="none"/>
        </w:rPr>
        <w:t>O</w:t>
      </w:r>
      <w:r w:rsidR="00A54AF0" w:rsidRPr="005F1042">
        <w:rPr>
          <w:rFonts w:ascii="Book Antiqua" w:eastAsia="Times New Roman" w:hAnsi="Book Antiqua" w:cs="Times New Roman"/>
          <w:b/>
          <w:kern w:val="0"/>
          <w14:ligatures w14:val="none"/>
        </w:rPr>
        <w:t>S</w:t>
      </w:r>
    </w:p>
    <w:p w14:paraId="2EE2EDEA" w14:textId="77777777" w:rsidR="00A54AF0" w:rsidRPr="005F1042" w:rsidRDefault="00A54AF0" w:rsidP="00A54AF0">
      <w:pPr>
        <w:spacing w:after="0" w:line="240" w:lineRule="auto"/>
        <w:jc w:val="center"/>
        <w:rPr>
          <w:rFonts w:ascii="Book Antiqua" w:eastAsia="Times New Roman" w:hAnsi="Book Antiqua" w:cs="Times New Roman"/>
          <w:b/>
          <w:kern w:val="0"/>
          <w14:ligatures w14:val="none"/>
        </w:rPr>
      </w:pPr>
    </w:p>
    <w:p w14:paraId="3ADC2532" w14:textId="6BB59CF2" w:rsidR="00B44FB9" w:rsidRPr="005F1042" w:rsidRDefault="00A54AF0" w:rsidP="00055081">
      <w:pPr>
        <w:numPr>
          <w:ilvl w:val="0"/>
          <w:numId w:val="2"/>
        </w:numPr>
        <w:spacing w:after="200" w:line="276" w:lineRule="auto"/>
        <w:ind w:left="360"/>
        <w:contextualSpacing/>
        <w:jc w:val="center"/>
        <w:rPr>
          <w:rFonts w:ascii="Book Antiqua" w:eastAsia="Times New Roman" w:hAnsi="Book Antiqua" w:cs="Times New Roman"/>
          <w:bCs/>
          <w:i/>
          <w:iCs/>
          <w:kern w:val="0"/>
          <w14:ligatures w14:val="none"/>
        </w:rPr>
      </w:pPr>
      <w:r w:rsidRPr="005F1042">
        <w:rPr>
          <w:rFonts w:ascii="Book Antiqua" w:eastAsia="Times New Roman" w:hAnsi="Book Antiqua" w:cs="Times New Roman"/>
          <w:bCs/>
          <w:i/>
          <w:iCs/>
          <w:kern w:val="0"/>
          <w14:ligatures w14:val="none"/>
        </w:rPr>
        <w:t>Memoriales Explicativos</w:t>
      </w:r>
    </w:p>
    <w:p w14:paraId="2E9A2C6B" w14:textId="77777777" w:rsidR="00792C46" w:rsidRPr="005F1042" w:rsidRDefault="00792C46" w:rsidP="00792C46">
      <w:pPr>
        <w:spacing w:after="200" w:line="276" w:lineRule="auto"/>
        <w:ind w:left="360"/>
        <w:contextualSpacing/>
        <w:rPr>
          <w:rFonts w:ascii="Book Antiqua" w:eastAsia="Times New Roman" w:hAnsi="Book Antiqua" w:cs="Times New Roman"/>
          <w:bCs/>
          <w:i/>
          <w:iCs/>
          <w:kern w:val="0"/>
          <w14:ligatures w14:val="none"/>
        </w:rPr>
      </w:pPr>
    </w:p>
    <w:p w14:paraId="388D5C94" w14:textId="79038448" w:rsidR="002753B7" w:rsidRPr="000C232E" w:rsidRDefault="009D441B" w:rsidP="00B33F20">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sidRPr="000C232E">
        <w:rPr>
          <w:rFonts w:ascii="Book Antiqua" w:eastAsia="Times New Roman" w:hAnsi="Book Antiqua" w:cs="Times New Roman"/>
          <w:kern w:val="0"/>
          <w:u w:val="single"/>
          <w14:ligatures w14:val="none"/>
        </w:rPr>
        <w:t>Departamento de Estado</w:t>
      </w:r>
    </w:p>
    <w:p w14:paraId="30E1E334" w14:textId="77777777" w:rsidR="00CD5CFE" w:rsidRPr="00CD5CFE" w:rsidRDefault="00CD5CFE" w:rsidP="00CD5CFE">
      <w:pPr>
        <w:spacing w:after="200" w:line="276" w:lineRule="auto"/>
        <w:ind w:left="360"/>
        <w:contextualSpacing/>
        <w:rPr>
          <w:rFonts w:ascii="Book Antiqua" w:eastAsia="Times New Roman" w:hAnsi="Book Antiqua" w:cs="Times New Roman"/>
          <w:bCs/>
          <w:kern w:val="0"/>
          <w:highlight w:val="yellow"/>
          <w:u w:val="single"/>
          <w14:ligatures w14:val="none"/>
        </w:rPr>
      </w:pPr>
    </w:p>
    <w:p w14:paraId="1CF3AEA4" w14:textId="5A42AFFC" w:rsidR="004F7549" w:rsidRDefault="004F7549" w:rsidP="00707D89">
      <w:pPr>
        <w:spacing w:after="200" w:line="360" w:lineRule="auto"/>
        <w:ind w:firstLine="720"/>
        <w:jc w:val="both"/>
        <w:rPr>
          <w:rFonts w:ascii="Book Antiqua" w:hAnsi="Book Antiqua"/>
        </w:rPr>
      </w:pPr>
      <w:r>
        <w:rPr>
          <w:rFonts w:ascii="Book Antiqua" w:hAnsi="Book Antiqua"/>
        </w:rPr>
        <w:t>El</w:t>
      </w:r>
      <w:r w:rsidRPr="004F7549">
        <w:rPr>
          <w:rFonts w:ascii="Book Antiqua" w:hAnsi="Book Antiqua"/>
        </w:rPr>
        <w:t xml:space="preserve"> Departamento de Estado, </w:t>
      </w:r>
      <w:r w:rsidR="00CD5CFE">
        <w:rPr>
          <w:rFonts w:ascii="Book Antiqua" w:hAnsi="Book Antiqua"/>
        </w:rPr>
        <w:t xml:space="preserve">presentó un </w:t>
      </w:r>
      <w:r w:rsidR="00CD5CFE" w:rsidRPr="00CD5CFE">
        <w:rPr>
          <w:rFonts w:ascii="Book Antiqua" w:hAnsi="Book Antiqua"/>
          <w:i/>
          <w:iCs/>
        </w:rPr>
        <w:t>M</w:t>
      </w:r>
      <w:r w:rsidRPr="00CD5CFE">
        <w:rPr>
          <w:rFonts w:ascii="Book Antiqua" w:hAnsi="Book Antiqua"/>
          <w:i/>
          <w:iCs/>
        </w:rPr>
        <w:t xml:space="preserve">emorial </w:t>
      </w:r>
      <w:r w:rsidR="00CD5CFE" w:rsidRPr="00CD5CFE">
        <w:rPr>
          <w:rFonts w:ascii="Book Antiqua" w:hAnsi="Book Antiqua"/>
          <w:i/>
          <w:iCs/>
        </w:rPr>
        <w:t>E</w:t>
      </w:r>
      <w:r w:rsidRPr="00CD5CFE">
        <w:rPr>
          <w:rFonts w:ascii="Book Antiqua" w:hAnsi="Book Antiqua"/>
          <w:i/>
          <w:iCs/>
        </w:rPr>
        <w:t>xplicativo</w:t>
      </w:r>
      <w:r w:rsidRPr="004F7549">
        <w:rPr>
          <w:rFonts w:ascii="Book Antiqua" w:hAnsi="Book Antiqua"/>
        </w:rPr>
        <w:t xml:space="preserve"> </w:t>
      </w:r>
      <w:r w:rsidR="00CD5CFE">
        <w:rPr>
          <w:rFonts w:ascii="Book Antiqua" w:hAnsi="Book Antiqua"/>
        </w:rPr>
        <w:t xml:space="preserve">el cual suplementó posteriormente, en el que </w:t>
      </w:r>
      <w:r w:rsidR="00CD5CFE" w:rsidRPr="004F7549">
        <w:rPr>
          <w:rFonts w:ascii="Book Antiqua" w:hAnsi="Book Antiqua"/>
        </w:rPr>
        <w:t>expresó</w:t>
      </w:r>
      <w:r w:rsidRPr="004F7549">
        <w:rPr>
          <w:rFonts w:ascii="Book Antiqua" w:hAnsi="Book Antiqua"/>
        </w:rPr>
        <w:t xml:space="preserve"> su apoyo a la medida</w:t>
      </w:r>
      <w:r w:rsidR="00824BFE">
        <w:rPr>
          <w:rFonts w:ascii="Book Antiqua" w:hAnsi="Book Antiqua"/>
        </w:rPr>
        <w:t>.</w:t>
      </w:r>
      <w:r w:rsidR="00824BFE">
        <w:rPr>
          <w:rStyle w:val="FootnoteReference"/>
          <w:rFonts w:ascii="Book Antiqua" w:hAnsi="Book Antiqua"/>
        </w:rPr>
        <w:footnoteReference w:id="1"/>
      </w:r>
      <w:r w:rsidR="00824BFE">
        <w:rPr>
          <w:rFonts w:ascii="Book Antiqua" w:hAnsi="Book Antiqua"/>
        </w:rPr>
        <w:t xml:space="preserve"> Reconoció que el P. de la C. 1080 </w:t>
      </w:r>
      <w:r w:rsidRPr="004F7549">
        <w:rPr>
          <w:rFonts w:ascii="Book Antiqua" w:hAnsi="Book Antiqua"/>
        </w:rPr>
        <w:t>constituye un avance significativo en el derecho administrativo al adoptar las mejores prácticas nacionales en materia de revisión periódica de reglamentos, transparencia regulatoria y declaraciones de costos estimados.</w:t>
      </w:r>
      <w:r w:rsidR="00824BFE">
        <w:rPr>
          <w:rStyle w:val="FootnoteReference"/>
          <w:rFonts w:ascii="Book Antiqua" w:hAnsi="Book Antiqua"/>
        </w:rPr>
        <w:footnoteReference w:id="2"/>
      </w:r>
    </w:p>
    <w:p w14:paraId="161B00D8" w14:textId="75F156C6" w:rsidR="004F7549" w:rsidRPr="004F7549" w:rsidRDefault="00824BFE" w:rsidP="00707D89">
      <w:pPr>
        <w:spacing w:after="200" w:line="360" w:lineRule="auto"/>
        <w:ind w:firstLine="720"/>
        <w:jc w:val="both"/>
        <w:rPr>
          <w:rFonts w:ascii="Book Antiqua" w:hAnsi="Book Antiqua"/>
        </w:rPr>
      </w:pPr>
      <w:r>
        <w:rPr>
          <w:rFonts w:ascii="Book Antiqua" w:hAnsi="Book Antiqua"/>
        </w:rPr>
        <w:t>Por otra parte, el Departamento de estado sugirió tres</w:t>
      </w:r>
      <w:r w:rsidR="00465CE2">
        <w:rPr>
          <w:rFonts w:ascii="Book Antiqua" w:hAnsi="Book Antiqua"/>
        </w:rPr>
        <w:t xml:space="preserve"> (3)</w:t>
      </w:r>
      <w:r>
        <w:rPr>
          <w:rFonts w:ascii="Book Antiqua" w:hAnsi="Book Antiqua"/>
        </w:rPr>
        <w:t xml:space="preserve"> cursos de acción a considerar por esta Comisión al evaluar el proyecto.</w:t>
      </w:r>
      <w:r w:rsidR="004F7549" w:rsidRPr="004F7549">
        <w:rPr>
          <w:rFonts w:ascii="Book Antiqua" w:hAnsi="Book Antiqua"/>
        </w:rPr>
        <w:t xml:space="preserve"> La primera fue la conveniencia de que esta Comisión pondere las recomendaciones del Departamento de Justicia y de la Oficina de Gerencia y Presupuesto sobre el impacto fiscal de la medida.</w:t>
      </w:r>
      <w:r>
        <w:rPr>
          <w:rStyle w:val="FootnoteReference"/>
          <w:rFonts w:ascii="Book Antiqua" w:hAnsi="Book Antiqua"/>
        </w:rPr>
        <w:footnoteReference w:id="3"/>
      </w:r>
      <w:r w:rsidR="004F7549" w:rsidRPr="004F7549">
        <w:rPr>
          <w:rFonts w:ascii="Book Antiqua" w:hAnsi="Book Antiqua"/>
        </w:rPr>
        <w:t xml:space="preserve"> </w:t>
      </w:r>
      <w:r w:rsidR="004F7549" w:rsidRPr="00A81978">
        <w:rPr>
          <w:rFonts w:ascii="Book Antiqua" w:hAnsi="Book Antiqua"/>
        </w:rPr>
        <w:t>La segunda fue la necesidad de considerar la asignación presupuestaria adecuada para honrar las obligaciones que el Proyecto encomendaría al Departamento, particularmente en lo relativo a la creación y mantenimiento del Código de Reglamentos.</w:t>
      </w:r>
      <w:r w:rsidRPr="00A81978">
        <w:rPr>
          <w:rStyle w:val="FootnoteReference"/>
          <w:rFonts w:ascii="Book Antiqua" w:hAnsi="Book Antiqua"/>
        </w:rPr>
        <w:footnoteReference w:id="4"/>
      </w:r>
      <w:r w:rsidR="004F7549" w:rsidRPr="004F7549">
        <w:rPr>
          <w:rFonts w:ascii="Book Antiqua" w:hAnsi="Book Antiqua"/>
        </w:rPr>
        <w:t xml:space="preserve"> La tercera fue la </w:t>
      </w:r>
      <w:r w:rsidR="004F7549" w:rsidRPr="004F7549">
        <w:rPr>
          <w:rFonts w:ascii="Book Antiqua" w:hAnsi="Book Antiqua"/>
        </w:rPr>
        <w:lastRenderedPageBreak/>
        <w:t xml:space="preserve">deseabilidad de incluir disposiciones expresas que ordenen al </w:t>
      </w:r>
      <w:r w:rsidR="004F7549" w:rsidRPr="004F7549">
        <w:rPr>
          <w:rFonts w:ascii="Book Antiqua" w:hAnsi="Book Antiqua"/>
          <w:i/>
          <w:iCs/>
        </w:rPr>
        <w:t>Puerto Rico Innovation and Technology Service</w:t>
      </w:r>
      <w:r w:rsidR="004F7549" w:rsidRPr="004F7549">
        <w:rPr>
          <w:rFonts w:ascii="Book Antiqua" w:hAnsi="Book Antiqua"/>
        </w:rPr>
        <w:t xml:space="preserve"> asistir al Departamento</w:t>
      </w:r>
      <w:r w:rsidR="004F7549">
        <w:rPr>
          <w:rFonts w:ascii="Book Antiqua" w:hAnsi="Book Antiqua"/>
        </w:rPr>
        <w:t xml:space="preserve"> de Estado</w:t>
      </w:r>
      <w:r w:rsidR="004F7549" w:rsidRPr="004F7549">
        <w:rPr>
          <w:rFonts w:ascii="Book Antiqua" w:hAnsi="Book Antiqua"/>
        </w:rPr>
        <w:t xml:space="preserve"> y a las agencias en la ejecución de las disposiciones de la Ley, así como un mandato a las agencias para que adopten, enmienden o sustituyan la reglamentación necesaria dentro de un término de ciento ochenta (180) días contados desde la aprobación de la medida.</w:t>
      </w:r>
      <w:r>
        <w:rPr>
          <w:rStyle w:val="FootnoteReference"/>
          <w:rFonts w:ascii="Book Antiqua" w:hAnsi="Book Antiqua"/>
        </w:rPr>
        <w:footnoteReference w:id="5"/>
      </w:r>
    </w:p>
    <w:p w14:paraId="263E5AF5" w14:textId="4CDA5C4B" w:rsidR="005F1042" w:rsidRPr="004F7549" w:rsidRDefault="004F7549" w:rsidP="00A81978">
      <w:pPr>
        <w:spacing w:after="200" w:line="360" w:lineRule="auto"/>
        <w:ind w:firstLine="720"/>
        <w:jc w:val="both"/>
        <w:rPr>
          <w:rFonts w:ascii="Book Antiqua" w:hAnsi="Book Antiqua"/>
        </w:rPr>
      </w:pPr>
      <w:r w:rsidRPr="004F7549">
        <w:rPr>
          <w:rFonts w:ascii="Book Antiqua" w:hAnsi="Book Antiqua"/>
        </w:rPr>
        <w:t>El Departamento informó, además, que mediante transferencia interagencial aprobada por la Junta de Supervisión Fiscal, se removió de su presupuesto una partida de un millón doscientos setenta y seis mil ochocientos dólares ($1,276,800</w:t>
      </w:r>
      <w:r w:rsidR="00824BFE">
        <w:rPr>
          <w:rFonts w:ascii="Book Antiqua" w:hAnsi="Book Antiqua"/>
        </w:rPr>
        <w:t>.00</w:t>
      </w:r>
      <w:r w:rsidRPr="004F7549">
        <w:rPr>
          <w:rFonts w:ascii="Book Antiqua" w:hAnsi="Book Antiqua"/>
        </w:rPr>
        <w:t>) que fue reasignada a la Autoridad del Distrito de Convenciones, dejando reducida a cero ($0) la partida de gastos de capital.</w:t>
      </w:r>
      <w:r w:rsidR="00824BFE">
        <w:rPr>
          <w:rStyle w:val="FootnoteReference"/>
          <w:rFonts w:ascii="Book Antiqua" w:hAnsi="Book Antiqua"/>
        </w:rPr>
        <w:footnoteReference w:id="6"/>
      </w:r>
      <w:r w:rsidRPr="004F7549">
        <w:rPr>
          <w:rFonts w:ascii="Book Antiqua" w:hAnsi="Book Antiqua"/>
        </w:rPr>
        <w:t xml:space="preserve"> </w:t>
      </w:r>
    </w:p>
    <w:p w14:paraId="3B676B1C" w14:textId="4062DDF9" w:rsidR="00433876" w:rsidRPr="00E26E8C" w:rsidRDefault="009D441B"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sidRPr="00E26E8C">
        <w:rPr>
          <w:rFonts w:ascii="Book Antiqua" w:eastAsia="Times New Roman" w:hAnsi="Book Antiqua" w:cs="Times New Roman"/>
          <w:kern w:val="0"/>
          <w:u w:val="single"/>
          <w14:ligatures w14:val="none"/>
        </w:rPr>
        <w:t>Departamento de Justicia</w:t>
      </w:r>
      <w:r w:rsidR="00CD5CFE" w:rsidRPr="00E26E8C">
        <w:rPr>
          <w:rFonts w:ascii="Book Antiqua" w:eastAsia="Times New Roman" w:hAnsi="Book Antiqua" w:cs="Times New Roman"/>
          <w:kern w:val="0"/>
          <w:u w:val="single"/>
          <w14:ligatures w14:val="none"/>
        </w:rPr>
        <w:t>,</w:t>
      </w:r>
      <w:r w:rsidR="004A4385" w:rsidRPr="00E26E8C">
        <w:rPr>
          <w:rFonts w:ascii="Book Antiqua" w:eastAsia="Times New Roman" w:hAnsi="Book Antiqua" w:cs="Times New Roman"/>
          <w:kern w:val="0"/>
          <w:u w:val="single"/>
          <w14:ligatures w14:val="none"/>
        </w:rPr>
        <w:t xml:space="preserve"> </w:t>
      </w:r>
      <w:r w:rsidR="00CD5CFE" w:rsidRPr="00E26E8C">
        <w:rPr>
          <w:rFonts w:ascii="Book Antiqua" w:eastAsia="Times New Roman" w:hAnsi="Book Antiqua" w:cs="Times New Roman"/>
          <w:kern w:val="0"/>
          <w:u w:val="single"/>
          <w14:ligatures w14:val="none"/>
        </w:rPr>
        <w:t>e</w:t>
      </w:r>
      <w:r w:rsidR="004A4385" w:rsidRPr="00E26E8C">
        <w:rPr>
          <w:rFonts w:ascii="Book Antiqua" w:eastAsia="Times New Roman" w:hAnsi="Book Antiqua" w:cs="Times New Roman"/>
          <w:kern w:val="0"/>
          <w:u w:val="single"/>
          <w14:ligatures w14:val="none"/>
        </w:rPr>
        <w:t xml:space="preserve"> </w:t>
      </w:r>
      <w:r w:rsidR="00AB0F36" w:rsidRPr="00E26E8C">
        <w:rPr>
          <w:rFonts w:ascii="Book Antiqua" w:eastAsia="Times New Roman" w:hAnsi="Book Antiqua" w:cs="Times New Roman"/>
          <w:kern w:val="0"/>
          <w:u w:val="single"/>
          <w14:ligatures w14:val="none"/>
        </w:rPr>
        <w:t>Iniciativa de Desregulación y Eficiencia Administrativa (IDEA)</w:t>
      </w:r>
    </w:p>
    <w:p w14:paraId="34886DC1" w14:textId="46019363" w:rsidR="00D619D1" w:rsidRPr="00D619D1" w:rsidRDefault="00D619D1" w:rsidP="00E26E8C">
      <w:pPr>
        <w:pStyle w:val="NormalWeb"/>
        <w:spacing w:after="0" w:afterAutospacing="0" w:line="360" w:lineRule="auto"/>
        <w:ind w:firstLine="720"/>
        <w:jc w:val="both"/>
        <w:rPr>
          <w:rFonts w:ascii="Book Antiqua" w:hAnsi="Book Antiqua"/>
          <w:lang w:val="es-PR"/>
        </w:rPr>
      </w:pPr>
      <w:r w:rsidRPr="00D619D1">
        <w:rPr>
          <w:rFonts w:ascii="Book Antiqua" w:hAnsi="Book Antiqua"/>
          <w:lang w:val="es-PR"/>
        </w:rPr>
        <w:t xml:space="preserve">El </w:t>
      </w:r>
      <w:r w:rsidRPr="00D619D1">
        <w:rPr>
          <w:rFonts w:ascii="Book Antiqua" w:hAnsi="Book Antiqua"/>
          <w:i/>
          <w:iCs/>
          <w:lang w:val="es-PR"/>
        </w:rPr>
        <w:t>Memorial Explicativo</w:t>
      </w:r>
      <w:r w:rsidRPr="00D619D1">
        <w:rPr>
          <w:rFonts w:ascii="Book Antiqua" w:hAnsi="Book Antiqua"/>
          <w:lang w:val="es-PR"/>
        </w:rPr>
        <w:t xml:space="preserve"> presentado por el Departamento de Justicia y la Iniciativa para la Desreglamentación y Eficiencia Administrativa (IDEA) expresa apoyo al Proyecto de la Cámara 1080.</w:t>
      </w:r>
      <w:r w:rsidRPr="00D619D1">
        <w:rPr>
          <w:rStyle w:val="FootnoteReference"/>
          <w:rFonts w:ascii="Book Antiqua" w:hAnsi="Book Antiqua"/>
          <w:lang w:val="es-PR"/>
        </w:rPr>
        <w:footnoteReference w:id="7"/>
      </w:r>
      <w:r w:rsidRPr="00D619D1">
        <w:rPr>
          <w:rFonts w:ascii="Book Antiqua" w:hAnsi="Book Antiqua"/>
          <w:lang w:val="es-PR"/>
        </w:rPr>
        <w:t xml:space="preserve"> </w:t>
      </w:r>
      <w:r w:rsidR="00EC4DB4">
        <w:rPr>
          <w:rFonts w:ascii="Book Antiqua" w:hAnsi="Book Antiqua"/>
          <w:lang w:val="es-PR"/>
        </w:rPr>
        <w:t>Ello, en atención a que moderniza el proceso sin vulnerar las protecciones del debido proceso de ley.</w:t>
      </w:r>
      <w:r w:rsidR="00EC4DB4">
        <w:rPr>
          <w:rStyle w:val="FootnoteReference"/>
          <w:rFonts w:ascii="Book Antiqua" w:hAnsi="Book Antiqua"/>
          <w:lang w:val="es-PR"/>
        </w:rPr>
        <w:footnoteReference w:id="8"/>
      </w:r>
      <w:r w:rsidR="00EC4DB4">
        <w:rPr>
          <w:rFonts w:ascii="Book Antiqua" w:hAnsi="Book Antiqua"/>
          <w:lang w:val="es-PR"/>
        </w:rPr>
        <w:t xml:space="preserve"> </w:t>
      </w:r>
      <w:r w:rsidRPr="00D619D1">
        <w:rPr>
          <w:rFonts w:ascii="Book Antiqua" w:hAnsi="Book Antiqua"/>
          <w:lang w:val="es-PR"/>
        </w:rPr>
        <w:t>Explica que la reglamentación administrativa constituye un componente esencial del funcionamiento gubernamental porque permite a las agencias implementar leyes, organizar servicios y establecer obligaciones y estándares regulatorios.</w:t>
      </w:r>
      <w:r w:rsidRPr="00D619D1">
        <w:rPr>
          <w:rStyle w:val="FootnoteReference"/>
          <w:rFonts w:ascii="Book Antiqua" w:hAnsi="Book Antiqua"/>
          <w:lang w:val="es-PR"/>
        </w:rPr>
        <w:footnoteReference w:id="9"/>
      </w:r>
      <w:r w:rsidRPr="00D619D1">
        <w:rPr>
          <w:rFonts w:ascii="Book Antiqua" w:hAnsi="Book Antiqua"/>
          <w:lang w:val="es-PR"/>
        </w:rPr>
        <w:t xml:space="preserve"> Señala que cuando el sistema funciona adecuadamente genera claridad y eficiencia, pero cuando funciona deficientemente produce fragmentación, duplicidad y costos innecesarios.</w:t>
      </w:r>
      <w:r w:rsidRPr="00D619D1">
        <w:rPr>
          <w:rStyle w:val="FootnoteReference"/>
          <w:rFonts w:ascii="Book Antiqua" w:hAnsi="Book Antiqua"/>
          <w:lang w:val="es-PR"/>
        </w:rPr>
        <w:footnoteReference w:id="10"/>
      </w:r>
    </w:p>
    <w:p w14:paraId="70E74506" w14:textId="5DB57380" w:rsidR="00D619D1" w:rsidRPr="00D619D1" w:rsidRDefault="00E26E8C" w:rsidP="00CD09BE">
      <w:pPr>
        <w:pStyle w:val="NormalWeb"/>
        <w:spacing w:before="0" w:beforeAutospacing="0" w:after="0" w:afterAutospacing="0" w:line="360" w:lineRule="auto"/>
        <w:ind w:firstLine="720"/>
        <w:jc w:val="both"/>
        <w:rPr>
          <w:rFonts w:ascii="Book Antiqua" w:hAnsi="Book Antiqua"/>
          <w:lang w:val="es-PR"/>
        </w:rPr>
      </w:pPr>
      <w:r>
        <w:rPr>
          <w:rFonts w:ascii="Book Antiqua" w:hAnsi="Book Antiqua"/>
          <w:lang w:val="es-PR"/>
        </w:rPr>
        <w:t>De igual modo,</w:t>
      </w:r>
      <w:r w:rsidR="00D619D1" w:rsidRPr="00D619D1">
        <w:rPr>
          <w:rFonts w:ascii="Book Antiqua" w:hAnsi="Book Antiqua"/>
          <w:lang w:val="es-PR"/>
        </w:rPr>
        <w:t xml:space="preserve"> destacan que, aunque la LPAU ha sido enmendada múltiples veces desde 2017, al momento no se realiza una revisión estructural del sistema </w:t>
      </w:r>
      <w:r w:rsidR="00D619D1" w:rsidRPr="00D619D1">
        <w:rPr>
          <w:rFonts w:ascii="Book Antiqua" w:hAnsi="Book Antiqua"/>
          <w:lang w:val="es-PR"/>
        </w:rPr>
        <w:lastRenderedPageBreak/>
        <w:t>reglamentario.</w:t>
      </w:r>
      <w:r w:rsidR="00D619D1" w:rsidRPr="00D619D1">
        <w:rPr>
          <w:rStyle w:val="FootnoteReference"/>
          <w:rFonts w:ascii="Book Antiqua" w:hAnsi="Book Antiqua"/>
          <w:lang w:val="es-PR"/>
        </w:rPr>
        <w:footnoteReference w:id="11"/>
      </w:r>
      <w:r w:rsidR="00D619D1" w:rsidRPr="00D619D1">
        <w:rPr>
          <w:rFonts w:ascii="Book Antiqua" w:hAnsi="Book Antiqua"/>
          <w:lang w:val="es-PR"/>
        </w:rPr>
        <w:t xml:space="preserve"> Como resultado, IDEA identificó un sistema excesivamente fragmentado y tecnológicamente rezagado, con</w:t>
      </w:r>
      <w:r>
        <w:rPr>
          <w:rFonts w:ascii="Book Antiqua" w:hAnsi="Book Antiqua"/>
          <w:lang w:val="es-PR"/>
        </w:rPr>
        <w:t xml:space="preserve"> cuatro mil ciento sesenta</w:t>
      </w:r>
      <w:r w:rsidR="00D619D1" w:rsidRPr="00D619D1">
        <w:rPr>
          <w:rFonts w:ascii="Book Antiqua" w:hAnsi="Book Antiqua"/>
          <w:lang w:val="es-PR"/>
        </w:rPr>
        <w:t xml:space="preserve">  </w:t>
      </w:r>
      <w:r>
        <w:rPr>
          <w:rFonts w:ascii="Book Antiqua" w:hAnsi="Book Antiqua"/>
          <w:lang w:val="es-PR"/>
        </w:rPr>
        <w:t>(</w:t>
      </w:r>
      <w:r w:rsidR="00D619D1" w:rsidRPr="00D619D1">
        <w:rPr>
          <w:rFonts w:ascii="Book Antiqua" w:hAnsi="Book Antiqua"/>
          <w:lang w:val="es-PR"/>
        </w:rPr>
        <w:t>4,160</w:t>
      </w:r>
      <w:r>
        <w:rPr>
          <w:rFonts w:ascii="Book Antiqua" w:hAnsi="Book Antiqua"/>
          <w:lang w:val="es-PR"/>
        </w:rPr>
        <w:t xml:space="preserve">) </w:t>
      </w:r>
      <w:r w:rsidR="00D619D1" w:rsidRPr="00D619D1">
        <w:rPr>
          <w:rFonts w:ascii="Book Antiqua" w:hAnsi="Book Antiqua"/>
          <w:lang w:val="es-PR"/>
        </w:rPr>
        <w:t>reglamentos y enmiendas activas, de los cuales aproximadamente el</w:t>
      </w:r>
      <w:r>
        <w:rPr>
          <w:rFonts w:ascii="Book Antiqua" w:hAnsi="Book Antiqua"/>
          <w:lang w:val="es-PR"/>
        </w:rPr>
        <w:t xml:space="preserve"> noventa por ciento</w:t>
      </w:r>
      <w:r w:rsidR="00D619D1" w:rsidRPr="00D619D1">
        <w:rPr>
          <w:rFonts w:ascii="Book Antiqua" w:hAnsi="Book Antiqua"/>
          <w:lang w:val="es-PR"/>
        </w:rPr>
        <w:t xml:space="preserve"> </w:t>
      </w:r>
      <w:r>
        <w:rPr>
          <w:rFonts w:ascii="Book Antiqua" w:hAnsi="Book Antiqua"/>
          <w:lang w:val="es-PR"/>
        </w:rPr>
        <w:t>(</w:t>
      </w:r>
      <w:r w:rsidR="00D619D1" w:rsidRPr="00D619D1">
        <w:rPr>
          <w:rFonts w:ascii="Book Antiqua" w:hAnsi="Book Antiqua"/>
          <w:lang w:val="es-PR"/>
        </w:rPr>
        <w:t>90%</w:t>
      </w:r>
      <w:r>
        <w:rPr>
          <w:rFonts w:ascii="Book Antiqua" w:hAnsi="Book Antiqua"/>
          <w:lang w:val="es-PR"/>
        </w:rPr>
        <w:t>)</w:t>
      </w:r>
      <w:r w:rsidR="00D619D1" w:rsidRPr="00D619D1">
        <w:rPr>
          <w:rFonts w:ascii="Book Antiqua" w:hAnsi="Book Antiqua"/>
          <w:lang w:val="es-PR"/>
        </w:rPr>
        <w:t xml:space="preserve"> no habían sido revisados en los últimos cinco</w:t>
      </w:r>
      <w:r w:rsidR="008D76FB">
        <w:rPr>
          <w:rFonts w:ascii="Book Antiqua" w:hAnsi="Book Antiqua"/>
          <w:lang w:val="es-PR"/>
        </w:rPr>
        <w:t xml:space="preserve"> (5)</w:t>
      </w:r>
      <w:r w:rsidR="00D619D1" w:rsidRPr="00D619D1">
        <w:rPr>
          <w:rFonts w:ascii="Book Antiqua" w:hAnsi="Book Antiqua"/>
          <w:lang w:val="es-PR"/>
        </w:rPr>
        <w:t xml:space="preserve"> años.</w:t>
      </w:r>
      <w:r w:rsidR="00D619D1" w:rsidRPr="00D619D1">
        <w:rPr>
          <w:rStyle w:val="FootnoteReference"/>
          <w:rFonts w:ascii="Book Antiqua" w:hAnsi="Book Antiqua"/>
          <w:lang w:val="es-PR"/>
        </w:rPr>
        <w:footnoteReference w:id="12"/>
      </w:r>
      <w:r w:rsidR="00D619D1" w:rsidRPr="00D619D1">
        <w:rPr>
          <w:rFonts w:ascii="Book Antiqua" w:hAnsi="Book Antiqua"/>
          <w:lang w:val="es-PR"/>
        </w:rPr>
        <w:t xml:space="preserve"> Además, bajo el sistema de catalogación vigente los reglamentos contienen múltiples enmiendas dispersas, lo cual dificulta identificar el texto vigente.</w:t>
      </w:r>
      <w:r w:rsidR="00D619D1" w:rsidRPr="00D619D1">
        <w:rPr>
          <w:rStyle w:val="FootnoteReference"/>
          <w:rFonts w:ascii="Book Antiqua" w:hAnsi="Book Antiqua"/>
          <w:lang w:val="es-PR"/>
        </w:rPr>
        <w:footnoteReference w:id="13"/>
      </w:r>
      <w:r w:rsidR="00D619D1" w:rsidRPr="00D619D1">
        <w:rPr>
          <w:rFonts w:ascii="Book Antiqua" w:hAnsi="Book Antiqua"/>
          <w:lang w:val="es-PR"/>
        </w:rPr>
        <w:t xml:space="preserve"> </w:t>
      </w:r>
    </w:p>
    <w:p w14:paraId="0D08B4D0" w14:textId="61AFEE42" w:rsidR="00CD09BE" w:rsidRDefault="008D76FB" w:rsidP="00CD09BE">
      <w:pPr>
        <w:pStyle w:val="NormalWeb"/>
        <w:spacing w:before="0" w:beforeAutospacing="0" w:after="0" w:afterAutospacing="0" w:line="360" w:lineRule="auto"/>
        <w:ind w:firstLine="720"/>
        <w:jc w:val="both"/>
        <w:rPr>
          <w:rFonts w:ascii="Book Antiqua" w:hAnsi="Book Antiqua"/>
          <w:lang w:val="es-PR"/>
        </w:rPr>
      </w:pPr>
      <w:r>
        <w:rPr>
          <w:rFonts w:ascii="Book Antiqua" w:hAnsi="Book Antiqua"/>
          <w:lang w:val="es-PR"/>
        </w:rPr>
        <w:t>Considerando lo anterior, expresan que el P. de la C. 1080 busca</w:t>
      </w:r>
      <w:r w:rsidR="00D619D1" w:rsidRPr="00D619D1">
        <w:rPr>
          <w:rFonts w:ascii="Book Antiqua" w:hAnsi="Book Antiqua"/>
          <w:lang w:val="es-PR"/>
        </w:rPr>
        <w:t xml:space="preserve"> </w:t>
      </w:r>
      <w:r>
        <w:rPr>
          <w:rFonts w:ascii="Book Antiqua" w:hAnsi="Book Antiqua"/>
          <w:lang w:val="es-PR"/>
        </w:rPr>
        <w:t xml:space="preserve">(1) </w:t>
      </w:r>
      <w:r w:rsidR="00D619D1" w:rsidRPr="00D619D1">
        <w:rPr>
          <w:rFonts w:ascii="Book Antiqua" w:hAnsi="Book Antiqua"/>
          <w:lang w:val="es-PR"/>
        </w:rPr>
        <w:t>simplificar la tramitación reglamentaria</w:t>
      </w:r>
      <w:r>
        <w:rPr>
          <w:rFonts w:ascii="Book Antiqua" w:hAnsi="Book Antiqua"/>
          <w:lang w:val="es-PR"/>
        </w:rPr>
        <w:t>;</w:t>
      </w:r>
      <w:r w:rsidR="00D619D1" w:rsidRPr="00D619D1">
        <w:rPr>
          <w:rFonts w:ascii="Book Antiqua" w:hAnsi="Book Antiqua"/>
          <w:lang w:val="es-PR"/>
        </w:rPr>
        <w:t xml:space="preserve"> </w:t>
      </w:r>
      <w:r>
        <w:rPr>
          <w:rFonts w:ascii="Book Antiqua" w:hAnsi="Book Antiqua"/>
          <w:lang w:val="es-PR"/>
        </w:rPr>
        <w:t xml:space="preserve">(2) </w:t>
      </w:r>
      <w:r w:rsidR="00D619D1" w:rsidRPr="00D619D1">
        <w:rPr>
          <w:rFonts w:ascii="Book Antiqua" w:hAnsi="Book Antiqua"/>
          <w:lang w:val="es-PR"/>
        </w:rPr>
        <w:t>modernizar los mecanismos digitales de publicación y consulta</w:t>
      </w:r>
      <w:r>
        <w:rPr>
          <w:rFonts w:ascii="Book Antiqua" w:hAnsi="Book Antiqua"/>
          <w:lang w:val="es-PR"/>
        </w:rPr>
        <w:t xml:space="preserve">, (3) </w:t>
      </w:r>
      <w:r w:rsidR="00D619D1" w:rsidRPr="00D619D1">
        <w:rPr>
          <w:rFonts w:ascii="Book Antiqua" w:hAnsi="Book Antiqua"/>
          <w:lang w:val="es-PR"/>
        </w:rPr>
        <w:t>mejorar la calidad de los reglamentos mediante análisis de impacto</w:t>
      </w:r>
      <w:r>
        <w:rPr>
          <w:rFonts w:ascii="Book Antiqua" w:hAnsi="Book Antiqua"/>
          <w:lang w:val="es-PR"/>
        </w:rPr>
        <w:t>,</w:t>
      </w:r>
      <w:r w:rsidR="00D619D1" w:rsidRPr="00D619D1">
        <w:rPr>
          <w:rFonts w:ascii="Book Antiqua" w:hAnsi="Book Antiqua"/>
          <w:lang w:val="es-PR"/>
        </w:rPr>
        <w:t xml:space="preserve"> y </w:t>
      </w:r>
      <w:r>
        <w:rPr>
          <w:rFonts w:ascii="Book Antiqua" w:hAnsi="Book Antiqua"/>
          <w:lang w:val="es-PR"/>
        </w:rPr>
        <w:t xml:space="preserve">(4) </w:t>
      </w:r>
      <w:r w:rsidR="00D619D1" w:rsidRPr="00D619D1">
        <w:rPr>
          <w:rFonts w:ascii="Book Antiqua" w:hAnsi="Book Antiqua"/>
          <w:lang w:val="es-PR"/>
        </w:rPr>
        <w:t>fortalecer la rendición de cuentas mediante revisiones periódicas.</w:t>
      </w:r>
      <w:r>
        <w:rPr>
          <w:rStyle w:val="FootnoteReference"/>
          <w:rFonts w:ascii="Book Antiqua" w:hAnsi="Book Antiqua"/>
          <w:lang w:val="es-PR"/>
        </w:rPr>
        <w:footnoteReference w:id="14"/>
      </w:r>
      <w:r w:rsidR="00D619D1" w:rsidRPr="00D619D1">
        <w:rPr>
          <w:rFonts w:ascii="Book Antiqua" w:hAnsi="Book Antiqua"/>
          <w:lang w:val="es-PR"/>
        </w:rPr>
        <w:t xml:space="preserve"> </w:t>
      </w:r>
      <w:r w:rsidR="00CD09BE">
        <w:rPr>
          <w:rFonts w:ascii="Book Antiqua" w:hAnsi="Book Antiqua"/>
          <w:lang w:val="es-PR"/>
        </w:rPr>
        <w:t xml:space="preserve"> Asimismo, indican que entre</w:t>
      </w:r>
      <w:r w:rsidR="00D619D1" w:rsidRPr="00D619D1">
        <w:rPr>
          <w:rFonts w:ascii="Book Antiqua" w:hAnsi="Book Antiqua"/>
          <w:lang w:val="es-PR"/>
        </w:rPr>
        <w:t xml:space="preserve"> las principales reformas propuestas se encuentra la creación del </w:t>
      </w:r>
      <w:r w:rsidR="00D619D1" w:rsidRPr="00CD09BE">
        <w:rPr>
          <w:rFonts w:ascii="Book Antiqua" w:hAnsi="Book Antiqua"/>
          <w:i/>
          <w:iCs/>
          <w:lang w:val="es-PR"/>
        </w:rPr>
        <w:t>Boletín de Reglamentos de Puerto Rico</w:t>
      </w:r>
      <w:r w:rsidR="00D619D1" w:rsidRPr="00D619D1">
        <w:rPr>
          <w:rFonts w:ascii="Book Antiqua" w:hAnsi="Book Antiqua"/>
          <w:lang w:val="es-PR"/>
        </w:rPr>
        <w:t xml:space="preserve"> y del </w:t>
      </w:r>
      <w:r w:rsidR="00D619D1" w:rsidRPr="00CD09BE">
        <w:rPr>
          <w:rFonts w:ascii="Book Antiqua" w:hAnsi="Book Antiqua"/>
          <w:i/>
          <w:iCs/>
          <w:lang w:val="es-PR"/>
        </w:rPr>
        <w:t>Código de Reglamentos de Puerto Rico</w:t>
      </w:r>
      <w:r w:rsidR="00D619D1" w:rsidRPr="00D619D1">
        <w:rPr>
          <w:rFonts w:ascii="Book Antiqua" w:hAnsi="Book Antiqua"/>
          <w:lang w:val="es-PR"/>
        </w:rPr>
        <w:t>.</w:t>
      </w:r>
      <w:r w:rsidR="00CD09BE">
        <w:rPr>
          <w:rStyle w:val="FootnoteReference"/>
          <w:rFonts w:ascii="Book Antiqua" w:hAnsi="Book Antiqua"/>
          <w:lang w:val="es-PR"/>
        </w:rPr>
        <w:footnoteReference w:id="15"/>
      </w:r>
      <w:r w:rsidR="00D619D1" w:rsidRPr="00D619D1">
        <w:rPr>
          <w:rFonts w:ascii="Book Antiqua" w:hAnsi="Book Antiqua"/>
          <w:lang w:val="es-PR"/>
        </w:rPr>
        <w:t xml:space="preserve"> El </w:t>
      </w:r>
      <w:r w:rsidR="00D619D1" w:rsidRPr="00CD09BE">
        <w:rPr>
          <w:rFonts w:ascii="Book Antiqua" w:hAnsi="Book Antiqua"/>
          <w:i/>
          <w:iCs/>
          <w:lang w:val="es-PR"/>
        </w:rPr>
        <w:t>Boletín</w:t>
      </w:r>
      <w:r w:rsidR="00D619D1" w:rsidRPr="00D619D1">
        <w:rPr>
          <w:rFonts w:ascii="Book Antiqua" w:hAnsi="Book Antiqua"/>
          <w:lang w:val="es-PR"/>
        </w:rPr>
        <w:t xml:space="preserve"> serviría como plataforma digital centralizada para publicar avisos y acciones reglamentarias, </w:t>
      </w:r>
      <w:r w:rsidR="00CC4656">
        <w:rPr>
          <w:rFonts w:ascii="Book Antiqua" w:hAnsi="Book Antiqua"/>
          <w:lang w:val="es-PR"/>
        </w:rPr>
        <w:t>así como un modo de reducir los costos asociados a medios tradicionales de publicación.</w:t>
      </w:r>
      <w:r w:rsidR="000503BF">
        <w:rPr>
          <w:rStyle w:val="FootnoteReference"/>
          <w:rFonts w:ascii="Book Antiqua" w:hAnsi="Book Antiqua"/>
          <w:lang w:val="es-PR"/>
        </w:rPr>
        <w:footnoteReference w:id="16"/>
      </w:r>
      <w:r w:rsidR="00CC4656">
        <w:rPr>
          <w:rFonts w:ascii="Book Antiqua" w:hAnsi="Book Antiqua"/>
          <w:lang w:val="es-PR"/>
        </w:rPr>
        <w:t xml:space="preserve"> El </w:t>
      </w:r>
      <w:r w:rsidR="00D619D1" w:rsidRPr="00CD09BE">
        <w:rPr>
          <w:rFonts w:ascii="Book Antiqua" w:hAnsi="Book Antiqua"/>
          <w:i/>
          <w:iCs/>
          <w:lang w:val="es-PR"/>
        </w:rPr>
        <w:t>Código</w:t>
      </w:r>
      <w:r w:rsidR="00CC4656">
        <w:rPr>
          <w:rFonts w:ascii="Book Antiqua" w:hAnsi="Book Antiqua"/>
          <w:lang w:val="es-PR"/>
        </w:rPr>
        <w:t xml:space="preserve">, por su parte, </w:t>
      </w:r>
      <w:r w:rsidR="00D619D1" w:rsidRPr="00D619D1">
        <w:rPr>
          <w:rFonts w:ascii="Book Antiqua" w:hAnsi="Book Antiqua"/>
          <w:lang w:val="es-PR"/>
        </w:rPr>
        <w:t>consolidaría en un solo cuerpo organizado todos los reglamentos vigentes</w:t>
      </w:r>
      <w:r w:rsidR="00CC4656">
        <w:rPr>
          <w:rFonts w:ascii="Book Antiqua" w:hAnsi="Book Antiqua"/>
          <w:lang w:val="es-PR"/>
        </w:rPr>
        <w:t xml:space="preserve">, de un modo similar a publicaciones existentes en otras jurisdicciones, tales como </w:t>
      </w:r>
      <w:r w:rsidR="00D619D1" w:rsidRPr="00D619D1">
        <w:rPr>
          <w:rFonts w:ascii="Book Antiqua" w:hAnsi="Book Antiqua"/>
          <w:lang w:val="es-PR"/>
        </w:rPr>
        <w:t xml:space="preserve"> el </w:t>
      </w:r>
      <w:r w:rsidR="00D619D1" w:rsidRPr="009442AB">
        <w:rPr>
          <w:rFonts w:ascii="Book Antiqua" w:hAnsi="Book Antiqua"/>
          <w:i/>
          <w:iCs/>
          <w:lang w:val="es-PR"/>
        </w:rPr>
        <w:t>Federal Register</w:t>
      </w:r>
      <w:r w:rsidR="00D619D1" w:rsidRPr="00D619D1">
        <w:rPr>
          <w:rFonts w:ascii="Book Antiqua" w:hAnsi="Book Antiqua"/>
          <w:lang w:val="es-PR"/>
        </w:rPr>
        <w:t xml:space="preserve"> y el </w:t>
      </w:r>
      <w:r w:rsidR="00D619D1" w:rsidRPr="009442AB">
        <w:rPr>
          <w:rFonts w:ascii="Book Antiqua" w:hAnsi="Book Antiqua"/>
          <w:i/>
          <w:iCs/>
          <w:lang w:val="es-PR"/>
        </w:rPr>
        <w:t>Code of Federal Regulations</w:t>
      </w:r>
      <w:r w:rsidR="009442AB">
        <w:rPr>
          <w:rFonts w:ascii="Book Antiqua" w:hAnsi="Book Antiqua"/>
          <w:lang w:val="es-PR"/>
        </w:rPr>
        <w:t>.</w:t>
      </w:r>
      <w:r w:rsidR="00CD09BE">
        <w:rPr>
          <w:rStyle w:val="FootnoteReference"/>
          <w:rFonts w:ascii="Book Antiqua" w:hAnsi="Book Antiqua"/>
          <w:lang w:val="es-PR"/>
        </w:rPr>
        <w:footnoteReference w:id="17"/>
      </w:r>
      <w:r w:rsidR="009442AB">
        <w:rPr>
          <w:rFonts w:ascii="Book Antiqua" w:hAnsi="Book Antiqua"/>
          <w:lang w:val="es-PR"/>
        </w:rPr>
        <w:t xml:space="preserve"> </w:t>
      </w:r>
    </w:p>
    <w:p w14:paraId="1E705884" w14:textId="77777777" w:rsidR="009D593E" w:rsidRDefault="00CD09BE" w:rsidP="00CD09BE">
      <w:pPr>
        <w:pStyle w:val="NormalWeb"/>
        <w:spacing w:before="0" w:beforeAutospacing="0" w:after="0" w:afterAutospacing="0" w:line="360" w:lineRule="auto"/>
        <w:ind w:firstLine="720"/>
        <w:jc w:val="both"/>
        <w:rPr>
          <w:rFonts w:ascii="Book Antiqua" w:hAnsi="Book Antiqua"/>
          <w:lang w:val="es-PR"/>
        </w:rPr>
      </w:pPr>
      <w:r>
        <w:rPr>
          <w:rFonts w:ascii="Book Antiqua" w:hAnsi="Book Antiqua"/>
          <w:lang w:val="es-PR"/>
        </w:rPr>
        <w:t xml:space="preserve">Además, expresan que el </w:t>
      </w:r>
      <w:r w:rsidR="00D619D1" w:rsidRPr="00D619D1">
        <w:rPr>
          <w:rFonts w:ascii="Book Antiqua" w:hAnsi="Book Antiqua"/>
          <w:lang w:val="es-PR"/>
        </w:rPr>
        <w:t>proyecto propone fortalecer los mecanismos de notificación y participación ciudadana.</w:t>
      </w:r>
      <w:r>
        <w:rPr>
          <w:rStyle w:val="FootnoteReference"/>
          <w:rFonts w:ascii="Book Antiqua" w:hAnsi="Book Antiqua"/>
          <w:lang w:val="es-PR"/>
        </w:rPr>
        <w:footnoteReference w:id="18"/>
      </w:r>
      <w:r w:rsidR="00D619D1" w:rsidRPr="00D619D1">
        <w:rPr>
          <w:rFonts w:ascii="Book Antiqua" w:hAnsi="Book Antiqua"/>
          <w:lang w:val="es-PR"/>
        </w:rPr>
        <w:t xml:space="preserve"> El aviso de reglamentación tendría que incluir información detallada sobre la base legal, propósito, impacto y mecanismos de participación pública. Además, se permitirían vistas públicas presenciales, virtuales o híbridas y se institucionalizarían mecanismos permanentes para recibir comentarios ciudadanos aun después de aprobado el reglamento.</w:t>
      </w:r>
      <w:r>
        <w:rPr>
          <w:rStyle w:val="FootnoteReference"/>
          <w:rFonts w:ascii="Book Antiqua" w:hAnsi="Book Antiqua"/>
          <w:lang w:val="es-PR"/>
        </w:rPr>
        <w:footnoteReference w:id="19"/>
      </w:r>
      <w:r w:rsidR="00D619D1" w:rsidRPr="00D619D1">
        <w:rPr>
          <w:rFonts w:ascii="Book Antiqua" w:hAnsi="Book Antiqua"/>
          <w:lang w:val="es-PR"/>
        </w:rPr>
        <w:t xml:space="preserve"> </w:t>
      </w:r>
    </w:p>
    <w:p w14:paraId="5F320928" w14:textId="175F020E" w:rsidR="00D619D1" w:rsidRPr="00D619D1" w:rsidRDefault="00CD09BE" w:rsidP="004A2D24">
      <w:pPr>
        <w:pStyle w:val="NormalWeb"/>
        <w:spacing w:before="0" w:beforeAutospacing="0" w:after="0" w:afterAutospacing="0" w:line="360" w:lineRule="auto"/>
        <w:ind w:firstLine="720"/>
        <w:jc w:val="both"/>
        <w:rPr>
          <w:rFonts w:ascii="Book Antiqua" w:hAnsi="Book Antiqua"/>
          <w:lang w:val="es-PR"/>
        </w:rPr>
      </w:pPr>
      <w:r>
        <w:rPr>
          <w:rFonts w:ascii="Book Antiqua" w:hAnsi="Book Antiqua"/>
          <w:lang w:val="es-PR"/>
        </w:rPr>
        <w:lastRenderedPageBreak/>
        <w:t xml:space="preserve">De igual modo, el P. de la C. 1080 propone la </w:t>
      </w:r>
      <w:r w:rsidR="00D619D1" w:rsidRPr="00D619D1">
        <w:rPr>
          <w:rFonts w:ascii="Book Antiqua" w:hAnsi="Book Antiqua"/>
          <w:lang w:val="es-PR"/>
        </w:rPr>
        <w:t xml:space="preserve">figura de la </w:t>
      </w:r>
      <w:r w:rsidR="00D619D1" w:rsidRPr="00CD09BE">
        <w:rPr>
          <w:rFonts w:ascii="Book Antiqua" w:hAnsi="Book Antiqua"/>
          <w:i/>
          <w:iCs/>
          <w:lang w:val="es-PR"/>
        </w:rPr>
        <w:t>Declaración de Costos Estimados (DCE)</w:t>
      </w:r>
      <w:r w:rsidR="00D619D1" w:rsidRPr="00D619D1">
        <w:rPr>
          <w:rFonts w:ascii="Book Antiqua" w:hAnsi="Book Antiqua"/>
          <w:lang w:val="es-PR"/>
        </w:rPr>
        <w:t>, inspirada en modelos de otros estados y dirigida a evaluar previamente el impacto económico de reglamentos propuestos sobre el sector privado, organizaciones sin fines de lucro y costos de cumplimiento.</w:t>
      </w:r>
      <w:r>
        <w:rPr>
          <w:rStyle w:val="FootnoteReference"/>
          <w:rFonts w:ascii="Book Antiqua" w:hAnsi="Book Antiqua"/>
          <w:lang w:val="es-PR"/>
        </w:rPr>
        <w:footnoteReference w:id="20"/>
      </w:r>
      <w:r w:rsidR="00D619D1" w:rsidRPr="00D619D1">
        <w:rPr>
          <w:rFonts w:ascii="Book Antiqua" w:hAnsi="Book Antiqua"/>
          <w:lang w:val="es-PR"/>
        </w:rPr>
        <w:t xml:space="preserve"> </w:t>
      </w:r>
      <w:r>
        <w:rPr>
          <w:rFonts w:ascii="Book Antiqua" w:hAnsi="Book Antiqua"/>
          <w:lang w:val="es-PR"/>
        </w:rPr>
        <w:t>Ello persigue -según expresan- un</w:t>
      </w:r>
      <w:r w:rsidR="00D619D1" w:rsidRPr="00D619D1">
        <w:rPr>
          <w:rFonts w:ascii="Book Antiqua" w:hAnsi="Book Antiqua"/>
          <w:lang w:val="es-PR"/>
        </w:rPr>
        <w:t xml:space="preserve"> mecanismo</w:t>
      </w:r>
      <w:r w:rsidR="00ED0791">
        <w:rPr>
          <w:rFonts w:ascii="Book Antiqua" w:hAnsi="Book Antiqua"/>
          <w:lang w:val="es-PR"/>
        </w:rPr>
        <w:t xml:space="preserve"> que</w:t>
      </w:r>
      <w:r w:rsidR="00D619D1" w:rsidRPr="00D619D1">
        <w:rPr>
          <w:rFonts w:ascii="Book Antiqua" w:hAnsi="Book Antiqua"/>
          <w:lang w:val="es-PR"/>
        </w:rPr>
        <w:t xml:space="preserve"> busca mejorar la calidad regulatoria y detectar cargas innecesarias desde etapas tempranas del proceso.</w:t>
      </w:r>
      <w:r>
        <w:rPr>
          <w:rStyle w:val="FootnoteReference"/>
          <w:rFonts w:ascii="Book Antiqua" w:hAnsi="Book Antiqua"/>
          <w:lang w:val="es-PR"/>
        </w:rPr>
        <w:footnoteReference w:id="21"/>
      </w:r>
      <w:r w:rsidR="00D619D1" w:rsidRPr="00D619D1">
        <w:rPr>
          <w:rFonts w:ascii="Book Antiqua" w:hAnsi="Book Antiqua"/>
          <w:lang w:val="es-PR"/>
        </w:rPr>
        <w:t xml:space="preserve"> </w:t>
      </w:r>
      <w:r w:rsidR="004A2D24">
        <w:rPr>
          <w:rFonts w:ascii="Book Antiqua" w:hAnsi="Book Antiqua"/>
          <w:lang w:val="es-PR"/>
        </w:rPr>
        <w:t xml:space="preserve">Otra </w:t>
      </w:r>
      <w:r w:rsidR="00D619D1" w:rsidRPr="00D619D1">
        <w:rPr>
          <w:rFonts w:ascii="Book Antiqua" w:hAnsi="Book Antiqua"/>
          <w:lang w:val="es-PR"/>
        </w:rPr>
        <w:t xml:space="preserve">innovación </w:t>
      </w:r>
      <w:r w:rsidR="004A2D24">
        <w:rPr>
          <w:rFonts w:ascii="Book Antiqua" w:hAnsi="Book Antiqua"/>
          <w:lang w:val="es-PR"/>
        </w:rPr>
        <w:t>que identifican es</w:t>
      </w:r>
      <w:r w:rsidR="00D619D1" w:rsidRPr="00D619D1">
        <w:rPr>
          <w:rFonts w:ascii="Book Antiqua" w:hAnsi="Book Antiqua"/>
          <w:lang w:val="es-PR"/>
        </w:rPr>
        <w:t xml:space="preserve"> la </w:t>
      </w:r>
      <w:r w:rsidR="00D619D1" w:rsidRPr="008C5FE7">
        <w:rPr>
          <w:rFonts w:ascii="Book Antiqua" w:hAnsi="Book Antiqua"/>
          <w:i/>
          <w:iCs/>
          <w:lang w:val="es-PR"/>
        </w:rPr>
        <w:t>Reglamentación Negociada</w:t>
      </w:r>
      <w:r w:rsidR="00D619D1" w:rsidRPr="00D619D1">
        <w:rPr>
          <w:rFonts w:ascii="Book Antiqua" w:hAnsi="Book Antiqua"/>
          <w:lang w:val="es-PR"/>
        </w:rPr>
        <w:t>, mediante la cual las agencias podrían reunir a sectores afectados antes de adoptar reglamentos complejos o controversiales para alcanzar consensos y reducir conflictos posteriores.</w:t>
      </w:r>
      <w:r w:rsidR="00EF5C83">
        <w:rPr>
          <w:rStyle w:val="FootnoteReference"/>
          <w:rFonts w:ascii="Book Antiqua" w:hAnsi="Book Antiqua"/>
          <w:lang w:val="es-PR"/>
        </w:rPr>
        <w:footnoteReference w:id="22"/>
      </w:r>
      <w:r w:rsidR="00D619D1" w:rsidRPr="00D619D1">
        <w:rPr>
          <w:rFonts w:ascii="Book Antiqua" w:hAnsi="Book Antiqua"/>
          <w:lang w:val="es-PR"/>
        </w:rPr>
        <w:t xml:space="preserve"> </w:t>
      </w:r>
      <w:r w:rsidR="009D593E">
        <w:rPr>
          <w:rFonts w:ascii="Book Antiqua" w:hAnsi="Book Antiqua"/>
          <w:lang w:val="es-PR"/>
        </w:rPr>
        <w:t>Según sostienen,</w:t>
      </w:r>
      <w:r w:rsidR="00B20943">
        <w:rPr>
          <w:rFonts w:ascii="Book Antiqua" w:hAnsi="Book Antiqua"/>
          <w:lang w:val="es-PR"/>
        </w:rPr>
        <w:t xml:space="preserve"> este enfoque “permite detectar cargas innecesarias, anticipar dificultades de implantación y justificar mejor el reglamento final”</w:t>
      </w:r>
      <w:r w:rsidR="00B20943">
        <w:rPr>
          <w:rStyle w:val="FootnoteReference"/>
          <w:rFonts w:ascii="Book Antiqua" w:hAnsi="Book Antiqua"/>
          <w:lang w:val="es-PR"/>
        </w:rPr>
        <w:footnoteReference w:id="23"/>
      </w:r>
      <w:r w:rsidR="00B20943">
        <w:rPr>
          <w:rFonts w:ascii="Book Antiqua" w:hAnsi="Book Antiqua"/>
          <w:lang w:val="es-PR"/>
        </w:rPr>
        <w:t xml:space="preserve"> resultando el producto final más sólido, defendible y fácil de implementar.</w:t>
      </w:r>
      <w:r w:rsidR="00B20943">
        <w:rPr>
          <w:rStyle w:val="FootnoteReference"/>
          <w:rFonts w:ascii="Book Antiqua" w:hAnsi="Book Antiqua"/>
          <w:lang w:val="es-PR"/>
        </w:rPr>
        <w:footnoteReference w:id="24"/>
      </w:r>
    </w:p>
    <w:p w14:paraId="3D23807F" w14:textId="2ACDE209" w:rsidR="004A2D24" w:rsidRPr="00B20943" w:rsidRDefault="00775DC3" w:rsidP="004A2D24">
      <w:pPr>
        <w:pStyle w:val="NormalWeb"/>
        <w:spacing w:before="0" w:beforeAutospacing="0" w:after="0" w:afterAutospacing="0" w:line="360" w:lineRule="auto"/>
        <w:ind w:firstLine="720"/>
        <w:jc w:val="both"/>
        <w:rPr>
          <w:rFonts w:ascii="Book Antiqua" w:hAnsi="Book Antiqua"/>
          <w:lang w:val="es-PR"/>
        </w:rPr>
      </w:pPr>
      <w:r>
        <w:rPr>
          <w:rFonts w:ascii="Book Antiqua" w:hAnsi="Book Antiqua"/>
          <w:lang w:val="es-PR"/>
        </w:rPr>
        <w:t xml:space="preserve">Por otra parte, </w:t>
      </w:r>
      <w:r w:rsidR="008C5FE7">
        <w:rPr>
          <w:rFonts w:ascii="Book Antiqua" w:hAnsi="Book Antiqua"/>
          <w:lang w:val="es-PR"/>
        </w:rPr>
        <w:t>indican como otro asunto tratado en la P. de la C. 1080 la</w:t>
      </w:r>
      <w:r w:rsidR="00D619D1" w:rsidRPr="00D619D1">
        <w:rPr>
          <w:rFonts w:ascii="Book Antiqua" w:hAnsi="Book Antiqua"/>
          <w:lang w:val="es-PR"/>
        </w:rPr>
        <w:t xml:space="preserve"> delimitación de la autoridad reglamentaria de las agencias.</w:t>
      </w:r>
      <w:r w:rsidR="008C5FE7">
        <w:rPr>
          <w:rStyle w:val="FootnoteReference"/>
          <w:rFonts w:ascii="Book Antiqua" w:hAnsi="Book Antiqua"/>
          <w:lang w:val="es-PR"/>
        </w:rPr>
        <w:footnoteReference w:id="25"/>
      </w:r>
      <w:r w:rsidR="00D619D1" w:rsidRPr="00D619D1">
        <w:rPr>
          <w:rFonts w:ascii="Book Antiqua" w:hAnsi="Book Antiqua"/>
          <w:lang w:val="es-PR"/>
        </w:rPr>
        <w:t xml:space="preserve"> La nueva Sección 2.1 establecería que las agencias solo pueden reglamentar dentro de los poderes expresamente delegados por ley y que las delegaciones generales deben interpretarse restrictivamente.</w:t>
      </w:r>
      <w:r w:rsidR="008C5FE7">
        <w:rPr>
          <w:rStyle w:val="FootnoteReference"/>
          <w:rFonts w:ascii="Book Antiqua" w:hAnsi="Book Antiqua"/>
          <w:lang w:val="es-PR"/>
        </w:rPr>
        <w:footnoteReference w:id="26"/>
      </w:r>
      <w:r w:rsidR="00D619D1" w:rsidRPr="00D619D1">
        <w:rPr>
          <w:rFonts w:ascii="Book Antiqua" w:hAnsi="Book Antiqua"/>
          <w:lang w:val="es-PR"/>
        </w:rPr>
        <w:t xml:space="preserve"> El memorial vincula esta reforma </w:t>
      </w:r>
      <w:r w:rsidR="004A2D24">
        <w:rPr>
          <w:rFonts w:ascii="Book Antiqua" w:hAnsi="Book Antiqua"/>
          <w:lang w:val="es-PR"/>
        </w:rPr>
        <w:t xml:space="preserve">a lo decidido por el Tribunal Supremo de los Estados Unidos de América en </w:t>
      </w:r>
      <w:r w:rsidR="004A2D24" w:rsidRPr="004A2D24">
        <w:rPr>
          <w:rFonts w:ascii="Book Antiqua" w:hAnsi="Book Antiqua"/>
          <w:i/>
          <w:iCs/>
          <w:lang w:val="es-PR"/>
        </w:rPr>
        <w:t>Loper Bright Sneter. v. Raimondo</w:t>
      </w:r>
      <w:r w:rsidR="004A2D24">
        <w:rPr>
          <w:rStyle w:val="FootnoteReference"/>
          <w:rFonts w:ascii="Book Antiqua" w:hAnsi="Book Antiqua"/>
          <w:i/>
          <w:iCs/>
          <w:lang w:val="es-PR"/>
        </w:rPr>
        <w:footnoteReference w:id="27"/>
      </w:r>
      <w:r w:rsidR="004A2D24">
        <w:rPr>
          <w:rFonts w:ascii="Book Antiqua" w:hAnsi="Book Antiqua"/>
          <w:lang w:val="es-PR"/>
        </w:rPr>
        <w:t xml:space="preserve">, y ratificado por el Tribunal Supremo de Puerto Rico en </w:t>
      </w:r>
      <w:r w:rsidR="004A2D24" w:rsidRPr="004A2D24">
        <w:rPr>
          <w:rFonts w:ascii="Book Antiqua" w:hAnsi="Book Antiqua"/>
          <w:i/>
          <w:iCs/>
          <w:lang w:val="es-PR"/>
        </w:rPr>
        <w:t>Vázquez v. Consejo de Titulares</w:t>
      </w:r>
      <w:r w:rsidR="004A2D24">
        <w:rPr>
          <w:rStyle w:val="FootnoteReference"/>
          <w:rFonts w:ascii="Book Antiqua" w:hAnsi="Book Antiqua"/>
          <w:i/>
          <w:iCs/>
          <w:lang w:val="es-PR"/>
        </w:rPr>
        <w:footnoteReference w:id="28"/>
      </w:r>
      <w:r w:rsidR="004A2D24">
        <w:rPr>
          <w:rFonts w:ascii="Book Antiqua" w:hAnsi="Book Antiqua"/>
          <w:lang w:val="es-PR"/>
        </w:rPr>
        <w:t xml:space="preserve">, donde se rechazó judicialmente la llamada deferencia Chevron, antes reconocida a la luz de lo resuelto por el TSEUA en </w:t>
      </w:r>
      <w:r w:rsidR="004A2D24" w:rsidRPr="004A2D24">
        <w:rPr>
          <w:rFonts w:ascii="Book Antiqua" w:hAnsi="Book Antiqua"/>
          <w:i/>
          <w:iCs/>
          <w:lang w:val="es-PR"/>
        </w:rPr>
        <w:t>Chevron U.S.A., Inc. v. Nar. Res. Def. Council, Inc.</w:t>
      </w:r>
      <w:r w:rsidR="00B20943">
        <w:rPr>
          <w:rStyle w:val="FootnoteReference"/>
          <w:rFonts w:ascii="Book Antiqua" w:hAnsi="Book Antiqua"/>
          <w:i/>
          <w:iCs/>
          <w:lang w:val="es-PR"/>
        </w:rPr>
        <w:footnoteReference w:id="29"/>
      </w:r>
      <w:r w:rsidR="00B20943">
        <w:rPr>
          <w:rFonts w:ascii="Book Antiqua" w:hAnsi="Book Antiqua"/>
          <w:lang w:val="es-PR"/>
        </w:rPr>
        <w:t>.</w:t>
      </w:r>
      <w:r w:rsidR="00B20943">
        <w:rPr>
          <w:rStyle w:val="FootnoteReference"/>
          <w:rFonts w:ascii="Book Antiqua" w:hAnsi="Book Antiqua"/>
          <w:lang w:val="es-PR"/>
        </w:rPr>
        <w:footnoteReference w:id="30"/>
      </w:r>
    </w:p>
    <w:p w14:paraId="58603F0D" w14:textId="5C5D4D13" w:rsidR="004A2D24" w:rsidRDefault="00D619D1" w:rsidP="00AC4A07">
      <w:pPr>
        <w:pStyle w:val="NormalWeb"/>
        <w:spacing w:before="0" w:beforeAutospacing="0" w:after="0" w:afterAutospacing="0" w:line="360" w:lineRule="auto"/>
        <w:ind w:firstLine="720"/>
        <w:jc w:val="both"/>
        <w:rPr>
          <w:rFonts w:ascii="Book Antiqua" w:hAnsi="Book Antiqua"/>
          <w:lang w:val="es-PR"/>
        </w:rPr>
      </w:pPr>
      <w:r w:rsidRPr="00D619D1">
        <w:rPr>
          <w:rFonts w:ascii="Book Antiqua" w:hAnsi="Book Antiqua"/>
          <w:lang w:val="es-PR"/>
        </w:rPr>
        <w:t xml:space="preserve">En cuanto a la derogación de reglamentos, el proyecto propone un procedimiento expedito con términos reducidos y trámites simplificados para facilitar la eliminación de </w:t>
      </w:r>
      <w:r w:rsidRPr="00D619D1">
        <w:rPr>
          <w:rFonts w:ascii="Book Antiqua" w:hAnsi="Book Antiqua"/>
          <w:lang w:val="es-PR"/>
        </w:rPr>
        <w:lastRenderedPageBreak/>
        <w:t>reglamentos obsoletos.</w:t>
      </w:r>
      <w:r w:rsidR="00C34B97">
        <w:rPr>
          <w:rStyle w:val="FootnoteReference"/>
          <w:rFonts w:ascii="Book Antiqua" w:hAnsi="Book Antiqua"/>
          <w:lang w:val="es-PR"/>
        </w:rPr>
        <w:footnoteReference w:id="31"/>
      </w:r>
      <w:r w:rsidRPr="00D619D1">
        <w:rPr>
          <w:rFonts w:ascii="Book Antiqua" w:hAnsi="Book Antiqua"/>
          <w:lang w:val="es-PR"/>
        </w:rPr>
        <w:t xml:space="preserve"> Además, permitiría incorporar por referencia reglamentos y estándares federales ya existentes, evitando duplicidad normativa y facilitando la armonización con programas federales.</w:t>
      </w:r>
      <w:r w:rsidR="00C34B97">
        <w:rPr>
          <w:rStyle w:val="FootnoteReference"/>
          <w:rFonts w:ascii="Book Antiqua" w:hAnsi="Book Antiqua"/>
          <w:lang w:val="es-PR"/>
        </w:rPr>
        <w:footnoteReference w:id="32"/>
      </w:r>
      <w:r w:rsidRPr="00D619D1">
        <w:rPr>
          <w:rFonts w:ascii="Book Antiqua" w:hAnsi="Book Antiqua"/>
          <w:lang w:val="es-PR"/>
        </w:rPr>
        <w:t xml:space="preserve"> </w:t>
      </w:r>
      <w:r w:rsidR="00AC4A07">
        <w:rPr>
          <w:rFonts w:ascii="Book Antiqua" w:hAnsi="Book Antiqua"/>
          <w:lang w:val="es-PR"/>
        </w:rPr>
        <w:t>Por otra parte, las entidades</w:t>
      </w:r>
      <w:r w:rsidRPr="00D619D1">
        <w:rPr>
          <w:rFonts w:ascii="Book Antiqua" w:hAnsi="Book Antiqua"/>
          <w:lang w:val="es-PR"/>
        </w:rPr>
        <w:t xml:space="preserve"> </w:t>
      </w:r>
      <w:r w:rsidR="00AC4A07">
        <w:rPr>
          <w:rFonts w:ascii="Book Antiqua" w:hAnsi="Book Antiqua"/>
          <w:lang w:val="es-PR"/>
        </w:rPr>
        <w:t xml:space="preserve">reiteran la obligación de revisión periódica de reglamentos, pero con enmiendas dirigidas a </w:t>
      </w:r>
      <w:r w:rsidRPr="00D619D1">
        <w:rPr>
          <w:rFonts w:ascii="Book Antiqua" w:hAnsi="Book Antiqua"/>
          <w:lang w:val="es-PR"/>
        </w:rPr>
        <w:t>fortalecer</w:t>
      </w:r>
      <w:r w:rsidR="00AC4A07">
        <w:rPr>
          <w:rFonts w:ascii="Book Antiqua" w:hAnsi="Book Antiqua"/>
          <w:lang w:val="es-PR"/>
        </w:rPr>
        <w:t xml:space="preserve">la </w:t>
      </w:r>
      <w:r w:rsidRPr="00D619D1">
        <w:rPr>
          <w:rFonts w:ascii="Book Antiqua" w:hAnsi="Book Antiqua"/>
          <w:lang w:val="es-PR"/>
        </w:rPr>
        <w:t>mediante informes obligatorios con métricas específicas sobre efectividad, claridad, costos y vigencia legal.</w:t>
      </w:r>
      <w:r w:rsidR="00AC4A07">
        <w:rPr>
          <w:rStyle w:val="FootnoteReference"/>
          <w:rFonts w:ascii="Book Antiqua" w:hAnsi="Book Antiqua"/>
          <w:lang w:val="es-PR"/>
        </w:rPr>
        <w:footnoteReference w:id="33"/>
      </w:r>
      <w:r w:rsidRPr="00D619D1">
        <w:rPr>
          <w:rFonts w:ascii="Book Antiqua" w:hAnsi="Book Antiqua"/>
          <w:lang w:val="es-PR"/>
        </w:rPr>
        <w:t xml:space="preserve">  </w:t>
      </w:r>
    </w:p>
    <w:p w14:paraId="0979B28B" w14:textId="05A7A9CD" w:rsidR="004A2D24" w:rsidRDefault="00D619D1" w:rsidP="00C34B97">
      <w:pPr>
        <w:pStyle w:val="NormalWeb"/>
        <w:spacing w:before="0" w:beforeAutospacing="0" w:after="0" w:afterAutospacing="0" w:line="360" w:lineRule="auto"/>
        <w:ind w:firstLine="720"/>
        <w:jc w:val="both"/>
        <w:rPr>
          <w:rFonts w:ascii="Book Antiqua" w:hAnsi="Book Antiqua"/>
          <w:lang w:val="es-PR"/>
        </w:rPr>
      </w:pPr>
      <w:r w:rsidRPr="00D619D1">
        <w:rPr>
          <w:rFonts w:ascii="Book Antiqua" w:hAnsi="Book Antiqua"/>
          <w:lang w:val="es-PR"/>
        </w:rPr>
        <w:t xml:space="preserve">Finalmente, el documento recomienda derogar la Ley Núm. 454-2000 sobre flexibilidad administrativa para pequeños negocios, argumentando que sus objetivos quedarían integrados en la nueva estructura propuesta mediante la </w:t>
      </w:r>
      <w:r w:rsidRPr="004A2D24">
        <w:rPr>
          <w:rFonts w:ascii="Book Antiqua" w:hAnsi="Book Antiqua"/>
          <w:i/>
          <w:iCs/>
          <w:lang w:val="es-PR"/>
        </w:rPr>
        <w:t>Declaración de Costos Estimados</w:t>
      </w:r>
      <w:r w:rsidRPr="00D619D1">
        <w:rPr>
          <w:rFonts w:ascii="Book Antiqua" w:hAnsi="Book Antiqua"/>
          <w:lang w:val="es-PR"/>
        </w:rPr>
        <w:t xml:space="preserve"> y otros mecanismos modernos de evaluación regulatoria.</w:t>
      </w:r>
      <w:r w:rsidR="004A2D24">
        <w:rPr>
          <w:rStyle w:val="FootnoteReference"/>
          <w:rFonts w:ascii="Book Antiqua" w:hAnsi="Book Antiqua"/>
          <w:lang w:val="es-PR"/>
        </w:rPr>
        <w:footnoteReference w:id="34"/>
      </w:r>
    </w:p>
    <w:p w14:paraId="4100DF46" w14:textId="64DBA52B" w:rsidR="00F30A44" w:rsidRDefault="00F30A44"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bCs/>
          <w:kern w:val="0"/>
          <w:u w:val="single"/>
          <w14:ligatures w14:val="none"/>
        </w:rPr>
        <w:t>Oficina del Contralor Electoral (OCE)</w:t>
      </w:r>
    </w:p>
    <w:p w14:paraId="627A1065" w14:textId="77777777" w:rsidR="00196B89" w:rsidRPr="00196B89" w:rsidRDefault="00196B89" w:rsidP="00196B89">
      <w:pPr>
        <w:spacing w:after="200" w:line="276" w:lineRule="auto"/>
        <w:contextualSpacing/>
        <w:rPr>
          <w:rFonts w:ascii="Book Antiqua" w:eastAsia="Times New Roman" w:hAnsi="Book Antiqua" w:cs="Times New Roman"/>
          <w:bCs/>
          <w:kern w:val="0"/>
          <w14:ligatures w14:val="none"/>
        </w:rPr>
      </w:pPr>
    </w:p>
    <w:p w14:paraId="7002D93D" w14:textId="59EBA6CF" w:rsidR="001F404E" w:rsidRPr="005449BC" w:rsidRDefault="00196B89" w:rsidP="00843617">
      <w:pPr>
        <w:spacing w:before="240" w:line="360" w:lineRule="auto"/>
        <w:ind w:firstLine="720"/>
        <w:contextualSpacing/>
        <w:jc w:val="both"/>
        <w:rPr>
          <w:rFonts w:ascii="Book Antiqua" w:eastAsia="Times New Roman" w:hAnsi="Book Antiqua" w:cs="Times New Roman"/>
          <w:bCs/>
          <w:kern w:val="0"/>
          <w14:ligatures w14:val="none"/>
        </w:rPr>
      </w:pPr>
      <w:r w:rsidRPr="00196B89">
        <w:rPr>
          <w:rFonts w:ascii="Book Antiqua" w:eastAsia="Times New Roman" w:hAnsi="Book Antiqua" w:cs="Times New Roman"/>
          <w:bCs/>
          <w:kern w:val="0"/>
          <w14:ligatures w14:val="none"/>
        </w:rPr>
        <w:t>La Oficina del Contralor Electoral (OCE) acogió favorablemente la política pública perseguida por el Proyecto de Ley.</w:t>
      </w:r>
      <w:r>
        <w:rPr>
          <w:rStyle w:val="FootnoteReference"/>
          <w:rFonts w:ascii="Book Antiqua" w:eastAsia="Times New Roman" w:hAnsi="Book Antiqua"/>
          <w:bCs/>
          <w:kern w:val="0"/>
          <w14:ligatures w14:val="none"/>
        </w:rPr>
        <w:footnoteReference w:id="35"/>
      </w:r>
      <w:r w:rsidRPr="00196B89">
        <w:rPr>
          <w:rFonts w:ascii="Book Antiqua" w:eastAsia="Times New Roman" w:hAnsi="Book Antiqua" w:cs="Times New Roman"/>
          <w:bCs/>
          <w:kern w:val="0"/>
          <w14:ligatures w14:val="none"/>
        </w:rPr>
        <w:t xml:space="preserve"> </w:t>
      </w:r>
      <w:r>
        <w:rPr>
          <w:rFonts w:ascii="Book Antiqua" w:eastAsia="Times New Roman" w:hAnsi="Book Antiqua" w:cs="Times New Roman"/>
          <w:bCs/>
          <w:kern w:val="0"/>
          <w14:ligatures w14:val="none"/>
        </w:rPr>
        <w:t>Sin embargo, expresó que “a tenor con los Artículo</w:t>
      </w:r>
      <w:r w:rsidR="00ED0791">
        <w:rPr>
          <w:rFonts w:ascii="Book Antiqua" w:eastAsia="Times New Roman" w:hAnsi="Book Antiqua" w:cs="Times New Roman"/>
          <w:bCs/>
          <w:kern w:val="0"/>
          <w14:ligatures w14:val="none"/>
        </w:rPr>
        <w:t>s</w:t>
      </w:r>
      <w:r>
        <w:rPr>
          <w:rFonts w:ascii="Book Antiqua" w:eastAsia="Times New Roman" w:hAnsi="Book Antiqua" w:cs="Times New Roman"/>
          <w:bCs/>
          <w:kern w:val="0"/>
          <w14:ligatures w14:val="none"/>
        </w:rPr>
        <w:t xml:space="preserve"> 3.003</w:t>
      </w:r>
      <w:r w:rsidR="005449BC">
        <w:rPr>
          <w:rFonts w:ascii="Book Antiqua" w:eastAsia="Times New Roman" w:hAnsi="Book Antiqua" w:cs="Times New Roman"/>
          <w:bCs/>
          <w:kern w:val="0"/>
          <w14:ligatures w14:val="none"/>
        </w:rPr>
        <w:t xml:space="preserve">A </w:t>
      </w:r>
      <w:r>
        <w:rPr>
          <w:rFonts w:ascii="Book Antiqua" w:eastAsia="Times New Roman" w:hAnsi="Book Antiqua" w:cs="Times New Roman"/>
          <w:bCs/>
          <w:kern w:val="0"/>
          <w14:ligatures w14:val="none"/>
        </w:rPr>
        <w:t>(dd) y 12.004 de la Ley 222-2011, según enmendada</w:t>
      </w:r>
      <w:r w:rsidR="005449BC">
        <w:rPr>
          <w:rFonts w:ascii="Book Antiqua" w:eastAsia="Times New Roman" w:hAnsi="Book Antiqua" w:cs="Times New Roman"/>
          <w:bCs/>
          <w:kern w:val="0"/>
          <w14:ligatures w14:val="none"/>
        </w:rPr>
        <w:t>, [</w:t>
      </w:r>
      <w:r w:rsidR="005449BC" w:rsidRPr="005449BC">
        <w:rPr>
          <w:rFonts w:ascii="Book Antiqua" w:eastAsia="Times New Roman" w:hAnsi="Book Antiqua" w:cs="Times New Roman"/>
          <w:bCs/>
          <w:i/>
          <w:iCs/>
          <w:kern w:val="0"/>
          <w14:ligatures w14:val="none"/>
        </w:rPr>
        <w:t xml:space="preserve">conocida como Ley para la fiscalización del financiamiento de campañas políticas en </w:t>
      </w:r>
      <w:r w:rsidR="004A3C82">
        <w:rPr>
          <w:rFonts w:ascii="Book Antiqua" w:eastAsia="Times New Roman" w:hAnsi="Book Antiqua" w:cs="Times New Roman"/>
          <w:bCs/>
          <w:i/>
          <w:iCs/>
          <w:kern w:val="0"/>
          <w14:ligatures w14:val="none"/>
        </w:rPr>
        <w:t>P</w:t>
      </w:r>
      <w:r w:rsidR="005449BC" w:rsidRPr="005449BC">
        <w:rPr>
          <w:rFonts w:ascii="Book Antiqua" w:eastAsia="Times New Roman" w:hAnsi="Book Antiqua" w:cs="Times New Roman"/>
          <w:bCs/>
          <w:i/>
          <w:iCs/>
          <w:kern w:val="0"/>
          <w14:ligatures w14:val="none"/>
        </w:rPr>
        <w:t>uerto Rico</w:t>
      </w:r>
      <w:r w:rsidR="005449BC">
        <w:rPr>
          <w:rFonts w:ascii="Book Antiqua" w:eastAsia="Times New Roman" w:hAnsi="Book Antiqua" w:cs="Times New Roman"/>
          <w:bCs/>
          <w:kern w:val="0"/>
          <w14:ligatures w14:val="none"/>
        </w:rPr>
        <w:t>,] a la Oficina del Contralor Electoral […] no le aplica la Ley de Procedimiento Uniforme, Ley [Núm.] 38-2017, según enmendada.”</w:t>
      </w:r>
      <w:r w:rsidR="005449BC">
        <w:rPr>
          <w:rStyle w:val="FootnoteReference"/>
          <w:rFonts w:ascii="Book Antiqua" w:eastAsia="Times New Roman" w:hAnsi="Book Antiqua"/>
          <w:bCs/>
          <w:kern w:val="0"/>
          <w14:ligatures w14:val="none"/>
        </w:rPr>
        <w:footnoteReference w:id="36"/>
      </w:r>
      <w:r w:rsidR="005449BC">
        <w:rPr>
          <w:rFonts w:ascii="Book Antiqua" w:eastAsia="Times New Roman" w:hAnsi="Book Antiqua" w:cs="Times New Roman"/>
          <w:bCs/>
          <w:kern w:val="0"/>
          <w14:ligatures w14:val="none"/>
        </w:rPr>
        <w:t xml:space="preserve"> Añadió que le correspondía “a las agencias regidas por la Ley [Núm.] 38-2017 exponer su posición sobre la viabilidad o deseabilidad de los nuevos</w:t>
      </w:r>
      <w:r w:rsidR="00ED0791">
        <w:rPr>
          <w:rFonts w:ascii="Book Antiqua" w:eastAsia="Times New Roman" w:hAnsi="Book Antiqua" w:cs="Times New Roman"/>
          <w:bCs/>
          <w:kern w:val="0"/>
          <w14:ligatures w14:val="none"/>
        </w:rPr>
        <w:t xml:space="preserve"> procesos</w:t>
      </w:r>
      <w:r w:rsidR="005449BC">
        <w:rPr>
          <w:rFonts w:ascii="Book Antiqua" w:eastAsia="Times New Roman" w:hAnsi="Book Antiqua" w:cs="Times New Roman"/>
          <w:bCs/>
          <w:kern w:val="0"/>
          <w14:ligatures w14:val="none"/>
        </w:rPr>
        <w:t xml:space="preserve"> de reglamentación que</w:t>
      </w:r>
      <w:r w:rsidR="00ED0791">
        <w:rPr>
          <w:rFonts w:ascii="Book Antiqua" w:eastAsia="Times New Roman" w:hAnsi="Book Antiqua" w:cs="Times New Roman"/>
          <w:bCs/>
          <w:kern w:val="0"/>
          <w14:ligatures w14:val="none"/>
        </w:rPr>
        <w:t xml:space="preserve"> el</w:t>
      </w:r>
      <w:r w:rsidR="005449BC">
        <w:rPr>
          <w:rFonts w:ascii="Book Antiqua" w:eastAsia="Times New Roman" w:hAnsi="Book Antiqua" w:cs="Times New Roman"/>
          <w:bCs/>
          <w:kern w:val="0"/>
          <w14:ligatures w14:val="none"/>
        </w:rPr>
        <w:t xml:space="preserve"> Proyecto propone.”</w:t>
      </w:r>
      <w:r w:rsidR="005449BC">
        <w:rPr>
          <w:rStyle w:val="FootnoteReference"/>
          <w:rFonts w:ascii="Book Antiqua" w:eastAsia="Times New Roman" w:hAnsi="Book Antiqua"/>
          <w:bCs/>
          <w:kern w:val="0"/>
          <w14:ligatures w14:val="none"/>
        </w:rPr>
        <w:footnoteReference w:id="37"/>
      </w:r>
    </w:p>
    <w:p w14:paraId="0A7A6E25" w14:textId="323E7411" w:rsidR="00D66489" w:rsidRPr="00F30A44" w:rsidRDefault="00D66489"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t>Oficina de Gerencia y Presupuesto</w:t>
      </w:r>
    </w:p>
    <w:p w14:paraId="36BA77A4" w14:textId="77777777" w:rsidR="00F30A44" w:rsidRDefault="00F30A44" w:rsidP="00F30A44">
      <w:pPr>
        <w:spacing w:after="200" w:line="276" w:lineRule="auto"/>
        <w:contextualSpacing/>
        <w:rPr>
          <w:rFonts w:ascii="Book Antiqua" w:eastAsia="Times New Roman" w:hAnsi="Book Antiqua" w:cs="Times New Roman"/>
          <w:kern w:val="0"/>
          <w:u w:val="single"/>
          <w14:ligatures w14:val="none"/>
        </w:rPr>
      </w:pPr>
    </w:p>
    <w:p w14:paraId="38B2E411" w14:textId="25AFD63E" w:rsidR="004F7549" w:rsidRDefault="00F30A44" w:rsidP="00A94C23">
      <w:pPr>
        <w:spacing w:after="200" w:line="360" w:lineRule="auto"/>
        <w:ind w:firstLine="720"/>
        <w:contextualSpacing/>
        <w:jc w:val="both"/>
        <w:rPr>
          <w:rFonts w:ascii="Book Antiqua" w:eastAsia="Times New Roman" w:hAnsi="Book Antiqua" w:cs="Times New Roman"/>
          <w:kern w:val="0"/>
          <w14:ligatures w14:val="none"/>
        </w:rPr>
      </w:pPr>
      <w:r w:rsidRPr="00DD1EBD">
        <w:rPr>
          <w:rFonts w:ascii="Book Antiqua" w:eastAsia="Times New Roman" w:hAnsi="Book Antiqua" w:cs="Times New Roman"/>
          <w:kern w:val="0"/>
          <w14:ligatures w14:val="none"/>
        </w:rPr>
        <w:t xml:space="preserve">Al momento de evaluarse el presente informe, la </w:t>
      </w:r>
      <w:r>
        <w:rPr>
          <w:rFonts w:ascii="Book Antiqua" w:eastAsia="Times New Roman" w:hAnsi="Book Antiqua" w:cs="Times New Roman"/>
          <w:b/>
          <w:bCs/>
          <w:kern w:val="0"/>
          <w14:ligatures w14:val="none"/>
        </w:rPr>
        <w:t>Oficina de Gerencia y Presupuesto (OGP)</w:t>
      </w:r>
      <w:r w:rsidRPr="00F30A44">
        <w:rPr>
          <w:rFonts w:ascii="Book Antiqua" w:eastAsia="Times New Roman" w:hAnsi="Book Antiqua" w:cs="Times New Roman"/>
          <w:b/>
          <w:bCs/>
          <w:kern w:val="0"/>
          <w14:ligatures w14:val="none"/>
        </w:rPr>
        <w:t xml:space="preserve"> </w:t>
      </w:r>
      <w:r w:rsidRPr="00DD1EBD">
        <w:rPr>
          <w:rFonts w:ascii="Book Antiqua" w:eastAsia="Times New Roman" w:hAnsi="Book Antiqua" w:cs="Times New Roman"/>
          <w:kern w:val="0"/>
          <w14:ligatures w14:val="none"/>
        </w:rPr>
        <w:t xml:space="preserve">no presentó el </w:t>
      </w:r>
      <w:r w:rsidRPr="00F30A44">
        <w:rPr>
          <w:rFonts w:ascii="Book Antiqua" w:eastAsia="Times New Roman" w:hAnsi="Book Antiqua" w:cs="Times New Roman"/>
          <w:i/>
          <w:iCs/>
          <w:kern w:val="0"/>
          <w14:ligatures w14:val="none"/>
        </w:rPr>
        <w:t>Memorial Explicativo</w:t>
      </w:r>
      <w:r w:rsidRPr="00DD1EBD">
        <w:rPr>
          <w:rFonts w:ascii="Book Antiqua" w:eastAsia="Times New Roman" w:hAnsi="Book Antiqua" w:cs="Times New Roman"/>
          <w:kern w:val="0"/>
          <w14:ligatures w14:val="none"/>
        </w:rPr>
        <w:t xml:space="preserve"> que le fue solicitado.</w:t>
      </w:r>
    </w:p>
    <w:p w14:paraId="7BAE1CF1" w14:textId="77777777" w:rsidR="00C03D6C" w:rsidRPr="00F30A44" w:rsidRDefault="00C03D6C" w:rsidP="00A94C23">
      <w:pPr>
        <w:spacing w:after="200" w:line="360" w:lineRule="auto"/>
        <w:ind w:firstLine="720"/>
        <w:contextualSpacing/>
        <w:jc w:val="both"/>
        <w:rPr>
          <w:rFonts w:ascii="Book Antiqua" w:eastAsia="Times New Roman" w:hAnsi="Book Antiqua" w:cs="Times New Roman"/>
          <w:bCs/>
          <w:kern w:val="0"/>
          <w:u w:val="single"/>
          <w14:ligatures w14:val="none"/>
        </w:rPr>
      </w:pPr>
    </w:p>
    <w:p w14:paraId="3ACBB2AF" w14:textId="58E77852" w:rsidR="00F30A44" w:rsidRPr="00F30A44" w:rsidRDefault="00F30A44"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lastRenderedPageBreak/>
        <w:t>Oficina de Servicios Legislativos (OSL)</w:t>
      </w:r>
    </w:p>
    <w:p w14:paraId="73394F11" w14:textId="77777777" w:rsidR="00F30A44" w:rsidRDefault="00F30A44" w:rsidP="00CA60FD">
      <w:pPr>
        <w:spacing w:after="0" w:line="276" w:lineRule="auto"/>
        <w:contextualSpacing/>
        <w:rPr>
          <w:rFonts w:ascii="Book Antiqua" w:eastAsia="Times New Roman" w:hAnsi="Book Antiqua" w:cs="Times New Roman"/>
          <w:kern w:val="0"/>
          <w:u w:val="single"/>
          <w14:ligatures w14:val="none"/>
        </w:rPr>
      </w:pPr>
    </w:p>
    <w:p w14:paraId="744BDB78" w14:textId="7B313A18" w:rsidR="00F30A44" w:rsidRPr="005F1042" w:rsidRDefault="00F30A44" w:rsidP="00CA60FD">
      <w:pPr>
        <w:spacing w:before="240" w:after="200" w:line="360" w:lineRule="auto"/>
        <w:ind w:firstLine="720"/>
        <w:contextualSpacing/>
        <w:jc w:val="both"/>
        <w:rPr>
          <w:rFonts w:ascii="Book Antiqua" w:eastAsia="Times New Roman" w:hAnsi="Book Antiqua" w:cs="Times New Roman"/>
          <w:bCs/>
          <w:kern w:val="0"/>
          <w:u w:val="single"/>
          <w14:ligatures w14:val="none"/>
        </w:rPr>
      </w:pPr>
      <w:r w:rsidRPr="00DD1EBD">
        <w:rPr>
          <w:rFonts w:ascii="Book Antiqua" w:eastAsia="Times New Roman" w:hAnsi="Book Antiqua" w:cs="Times New Roman"/>
          <w:kern w:val="0"/>
          <w14:ligatures w14:val="none"/>
        </w:rPr>
        <w:t xml:space="preserve">Al momento de evaluarse el presente informe, la </w:t>
      </w:r>
      <w:r w:rsidRPr="00F30A44">
        <w:rPr>
          <w:rFonts w:ascii="Book Antiqua" w:eastAsia="Times New Roman" w:hAnsi="Book Antiqua" w:cs="Times New Roman"/>
          <w:b/>
          <w:bCs/>
          <w:kern w:val="0"/>
          <w14:ligatures w14:val="none"/>
        </w:rPr>
        <w:t xml:space="preserve">Oficina de Servicios Legislativos (OSL) </w:t>
      </w:r>
      <w:r w:rsidRPr="00DD1EBD">
        <w:rPr>
          <w:rFonts w:ascii="Book Antiqua" w:eastAsia="Times New Roman" w:hAnsi="Book Antiqua" w:cs="Times New Roman"/>
          <w:kern w:val="0"/>
          <w14:ligatures w14:val="none"/>
        </w:rPr>
        <w:t xml:space="preserve">no presentó el </w:t>
      </w:r>
      <w:r w:rsidRPr="00F30A44">
        <w:rPr>
          <w:rFonts w:ascii="Book Antiqua" w:eastAsia="Times New Roman" w:hAnsi="Book Antiqua" w:cs="Times New Roman"/>
          <w:i/>
          <w:iCs/>
          <w:kern w:val="0"/>
          <w14:ligatures w14:val="none"/>
        </w:rPr>
        <w:t>Memorial Explicativo</w:t>
      </w:r>
      <w:r w:rsidRPr="00DD1EBD">
        <w:rPr>
          <w:rFonts w:ascii="Book Antiqua" w:eastAsia="Times New Roman" w:hAnsi="Book Antiqua" w:cs="Times New Roman"/>
          <w:kern w:val="0"/>
          <w14:ligatures w14:val="none"/>
        </w:rPr>
        <w:t xml:space="preserve"> que le fue solicitado.</w:t>
      </w:r>
    </w:p>
    <w:p w14:paraId="35E13974" w14:textId="35886CAD" w:rsidR="008F7986" w:rsidRPr="009D441B" w:rsidRDefault="008F7986" w:rsidP="00D66489">
      <w:pPr>
        <w:spacing w:after="200" w:line="276" w:lineRule="auto"/>
        <w:contextualSpacing/>
        <w:rPr>
          <w:rFonts w:ascii="Book Antiqua" w:eastAsia="Times New Roman" w:hAnsi="Book Antiqua" w:cs="Times New Roman"/>
          <w:bCs/>
          <w:kern w:val="0"/>
          <w:u w:val="single"/>
          <w14:ligatures w14:val="none"/>
        </w:rPr>
      </w:pPr>
    </w:p>
    <w:p w14:paraId="28E7DA9F" w14:textId="17515D09" w:rsidR="00CD5CFE" w:rsidRPr="00C03D6C" w:rsidRDefault="009D441B" w:rsidP="00C03D6C">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bCs/>
          <w:kern w:val="0"/>
          <w:u w:val="single"/>
          <w14:ligatures w14:val="none"/>
        </w:rPr>
        <w:t>Escuela de Derecho de la Universidad de Puerto Rico</w:t>
      </w:r>
    </w:p>
    <w:p w14:paraId="7BBED679" w14:textId="406B3A00" w:rsidR="00CD5CFE" w:rsidRPr="00CD5CFE" w:rsidRDefault="00C03D6C" w:rsidP="00C03D6C">
      <w:pPr>
        <w:pStyle w:val="NormalWeb"/>
        <w:spacing w:after="0" w:afterAutospacing="0" w:line="360" w:lineRule="auto"/>
        <w:ind w:firstLine="720"/>
        <w:jc w:val="both"/>
        <w:rPr>
          <w:rFonts w:ascii="Book Antiqua" w:hAnsi="Book Antiqua"/>
          <w:lang w:val="es-PR"/>
        </w:rPr>
      </w:pPr>
      <w:r>
        <w:rPr>
          <w:rFonts w:ascii="Book Antiqua" w:hAnsi="Book Antiqua"/>
          <w:lang w:val="es-PR"/>
        </w:rPr>
        <w:t>La</w:t>
      </w:r>
      <w:r w:rsidR="00CD5CFE" w:rsidRPr="00CD5CFE">
        <w:rPr>
          <w:rFonts w:ascii="Book Antiqua" w:hAnsi="Book Antiqua"/>
          <w:lang w:val="es-PR"/>
        </w:rPr>
        <w:t xml:space="preserve"> Escuela de Derecho de la Universidad de Puerto </w:t>
      </w:r>
      <w:r w:rsidR="007F113F">
        <w:rPr>
          <w:rFonts w:ascii="Book Antiqua" w:hAnsi="Book Antiqua"/>
          <w:lang w:val="es-PR"/>
        </w:rPr>
        <w:t xml:space="preserve">consideró que </w:t>
      </w:r>
      <w:r w:rsidR="00CD5CFE" w:rsidRPr="00CD5CFE">
        <w:rPr>
          <w:rFonts w:ascii="Book Antiqua" w:hAnsi="Book Antiqua"/>
          <w:lang w:val="es-PR"/>
        </w:rPr>
        <w:t>el Proyecto de la Cámara 1080</w:t>
      </w:r>
      <w:r w:rsidR="007F113F">
        <w:rPr>
          <w:rFonts w:ascii="Book Antiqua" w:hAnsi="Book Antiqua"/>
          <w:lang w:val="es-PR"/>
        </w:rPr>
        <w:t xml:space="preserve"> era, en términos generales, suponía “adelanto</w:t>
      </w:r>
      <w:r w:rsidR="00ED0791">
        <w:rPr>
          <w:rFonts w:ascii="Book Antiqua" w:hAnsi="Book Antiqua"/>
          <w:lang w:val="es-PR"/>
        </w:rPr>
        <w:t>s</w:t>
      </w:r>
      <w:r w:rsidR="007F113F">
        <w:rPr>
          <w:rFonts w:ascii="Book Antiqua" w:hAnsi="Book Antiqua"/>
          <w:lang w:val="es-PR"/>
        </w:rPr>
        <w:t xml:space="preserve"> significativos respecto a la normativa vigente.”</w:t>
      </w:r>
      <w:r w:rsidR="007F113F">
        <w:rPr>
          <w:rStyle w:val="FootnoteReference"/>
          <w:rFonts w:ascii="Book Antiqua" w:hAnsi="Book Antiqua"/>
          <w:lang w:val="es-PR"/>
        </w:rPr>
        <w:footnoteReference w:id="38"/>
      </w:r>
      <w:r>
        <w:rPr>
          <w:rFonts w:ascii="Book Antiqua" w:hAnsi="Book Antiqua"/>
          <w:lang w:val="es-PR"/>
        </w:rPr>
        <w:t xml:space="preserve"> Comenzó explicando </w:t>
      </w:r>
      <w:r w:rsidR="00CD5CFE" w:rsidRPr="00CD5CFE">
        <w:rPr>
          <w:rFonts w:ascii="Book Antiqua" w:hAnsi="Book Antiqua"/>
          <w:lang w:val="es-PR"/>
        </w:rPr>
        <w:t>que la nueva Sección 2.1 codifica expresamente el principio de que las agencias administrativas únicamente pueden actuar dentro de los poderes delegados por la Asamblea Legislativa.</w:t>
      </w:r>
      <w:r>
        <w:rPr>
          <w:rStyle w:val="FootnoteReference"/>
          <w:rFonts w:ascii="Book Antiqua" w:hAnsi="Book Antiqua"/>
          <w:lang w:val="es-PR"/>
        </w:rPr>
        <w:footnoteReference w:id="39"/>
      </w:r>
      <w:r w:rsidR="00CD5CFE" w:rsidRPr="00CD5CFE">
        <w:rPr>
          <w:rFonts w:ascii="Book Antiqua" w:hAnsi="Book Antiqua"/>
          <w:lang w:val="es-PR"/>
        </w:rPr>
        <w:t xml:space="preserve"> Además, </w:t>
      </w:r>
      <w:r w:rsidRPr="00CD5CFE">
        <w:rPr>
          <w:rFonts w:ascii="Book Antiqua" w:hAnsi="Book Antiqua"/>
          <w:lang w:val="es-PR"/>
        </w:rPr>
        <w:t>advirti</w:t>
      </w:r>
      <w:r>
        <w:rPr>
          <w:rFonts w:ascii="Book Antiqua" w:hAnsi="Book Antiqua"/>
          <w:lang w:val="es-PR"/>
        </w:rPr>
        <w:t>ó</w:t>
      </w:r>
      <w:r w:rsidR="00CD5CFE" w:rsidRPr="00CD5CFE">
        <w:rPr>
          <w:rFonts w:ascii="Book Antiqua" w:hAnsi="Book Antiqua"/>
          <w:lang w:val="es-PR"/>
        </w:rPr>
        <w:t xml:space="preserve"> que esta incorporación podría tener un efecto procesal importante, ya que permitiría que planteamientos sustantivos sobre falta de autoridad legal puedan impugnarse directamente ante el Tribunal de Apelaciones bajo la nueva Sec. 2.13.</w:t>
      </w:r>
      <w:r>
        <w:rPr>
          <w:rStyle w:val="FootnoteReference"/>
          <w:rFonts w:ascii="Book Antiqua" w:hAnsi="Book Antiqua"/>
          <w:lang w:val="es-PR"/>
        </w:rPr>
        <w:footnoteReference w:id="40"/>
      </w:r>
    </w:p>
    <w:p w14:paraId="63DB6BA8" w14:textId="64C4B40F" w:rsidR="00122A92" w:rsidRPr="00CD5CFE" w:rsidRDefault="00C03D6C" w:rsidP="00546B8D">
      <w:pPr>
        <w:pStyle w:val="NormalWeb"/>
        <w:spacing w:before="0" w:beforeAutospacing="0" w:after="0" w:afterAutospacing="0" w:line="360" w:lineRule="auto"/>
        <w:ind w:firstLine="720"/>
        <w:jc w:val="both"/>
        <w:rPr>
          <w:rFonts w:ascii="Book Antiqua" w:hAnsi="Book Antiqua"/>
          <w:lang w:val="es-PR"/>
        </w:rPr>
      </w:pPr>
      <w:r>
        <w:rPr>
          <w:rFonts w:ascii="Book Antiqua" w:hAnsi="Book Antiqua"/>
          <w:lang w:val="es-PR"/>
        </w:rPr>
        <w:t xml:space="preserve">Por otra parte, favoreció </w:t>
      </w:r>
      <w:r w:rsidR="00126B2D">
        <w:rPr>
          <w:rFonts w:ascii="Book Antiqua" w:hAnsi="Book Antiqua"/>
          <w:lang w:val="es-PR"/>
        </w:rPr>
        <w:t>la creación del</w:t>
      </w:r>
      <w:r w:rsidR="00CD5CFE" w:rsidRPr="00CD5CFE">
        <w:rPr>
          <w:rFonts w:ascii="Book Antiqua" w:hAnsi="Book Antiqua"/>
          <w:lang w:val="es-PR"/>
        </w:rPr>
        <w:t xml:space="preserve"> </w:t>
      </w:r>
      <w:r w:rsidR="00CD5CFE" w:rsidRPr="00C03D6C">
        <w:rPr>
          <w:rFonts w:ascii="Book Antiqua" w:hAnsi="Book Antiqua"/>
          <w:i/>
          <w:iCs/>
          <w:lang w:val="es-PR"/>
        </w:rPr>
        <w:t>Boletín de Reglamentos de Puerto Rico</w:t>
      </w:r>
      <w:r w:rsidR="00CD5CFE" w:rsidRPr="00CD5CFE">
        <w:rPr>
          <w:rFonts w:ascii="Book Antiqua" w:hAnsi="Book Antiqua"/>
          <w:lang w:val="es-PR"/>
        </w:rPr>
        <w:t xml:space="preserve"> como</w:t>
      </w:r>
      <w:r w:rsidR="00126B2D">
        <w:rPr>
          <w:rFonts w:ascii="Book Antiqua" w:hAnsi="Book Antiqua"/>
          <w:lang w:val="es-PR"/>
        </w:rPr>
        <w:t xml:space="preserve"> un</w:t>
      </w:r>
      <w:r w:rsidR="00CD5CFE" w:rsidRPr="00CD5CFE">
        <w:rPr>
          <w:rFonts w:ascii="Book Antiqua" w:hAnsi="Book Antiqua"/>
          <w:lang w:val="es-PR"/>
        </w:rPr>
        <w:t xml:space="preserve"> mecanismo superior a los avisos tradicionales en periódicos impresos, pero </w:t>
      </w:r>
      <w:r w:rsidR="00126B2D">
        <w:rPr>
          <w:rFonts w:ascii="Book Antiqua" w:hAnsi="Book Antiqua"/>
          <w:lang w:val="es-PR"/>
        </w:rPr>
        <w:t>recomendó</w:t>
      </w:r>
      <w:r w:rsidR="00CD5CFE" w:rsidRPr="00CD5CFE">
        <w:rPr>
          <w:rFonts w:ascii="Book Antiqua" w:hAnsi="Book Antiqua"/>
          <w:lang w:val="es-PR"/>
        </w:rPr>
        <w:t xml:space="preserve"> ampliar sus mecanismos de difusión mediante redes sociales y sistemas de notificaciones electrónicas (</w:t>
      </w:r>
      <w:r w:rsidR="00CD5CFE" w:rsidRPr="00126B2D">
        <w:rPr>
          <w:rFonts w:ascii="Book Antiqua" w:hAnsi="Book Antiqua"/>
          <w:i/>
          <w:iCs/>
          <w:lang w:val="es-PR"/>
        </w:rPr>
        <w:t>email blasts</w:t>
      </w:r>
      <w:r w:rsidR="00CD5CFE" w:rsidRPr="00CD5CFE">
        <w:rPr>
          <w:rFonts w:ascii="Book Antiqua" w:hAnsi="Book Antiqua"/>
          <w:lang w:val="es-PR"/>
        </w:rPr>
        <w:t>).</w:t>
      </w:r>
      <w:r w:rsidR="00122A92">
        <w:rPr>
          <w:rStyle w:val="FootnoteReference"/>
          <w:rFonts w:ascii="Book Antiqua" w:hAnsi="Book Antiqua"/>
          <w:lang w:val="es-PR"/>
        </w:rPr>
        <w:footnoteReference w:id="41"/>
      </w:r>
      <w:r w:rsidR="00CD5CFE" w:rsidRPr="00CD5CFE">
        <w:rPr>
          <w:rFonts w:ascii="Book Antiqua" w:hAnsi="Book Antiqua"/>
          <w:lang w:val="es-PR"/>
        </w:rPr>
        <w:t xml:space="preserve"> También </w:t>
      </w:r>
      <w:r w:rsidR="00126B2D">
        <w:rPr>
          <w:rFonts w:ascii="Book Antiqua" w:hAnsi="Book Antiqua"/>
          <w:lang w:val="es-PR"/>
        </w:rPr>
        <w:t>propuso</w:t>
      </w:r>
      <w:r w:rsidR="00CD5CFE" w:rsidRPr="00CD5CFE">
        <w:rPr>
          <w:rFonts w:ascii="Book Antiqua" w:hAnsi="Book Antiqua"/>
          <w:lang w:val="es-PR"/>
        </w:rPr>
        <w:t xml:space="preserve"> que el </w:t>
      </w:r>
      <w:r w:rsidR="00CD5CFE" w:rsidRPr="00122A92">
        <w:rPr>
          <w:rFonts w:ascii="Book Antiqua" w:hAnsi="Book Antiqua"/>
          <w:i/>
          <w:iCs/>
          <w:lang w:val="es-PR"/>
        </w:rPr>
        <w:t>Boletín</w:t>
      </w:r>
      <w:r w:rsidR="00CD5CFE" w:rsidRPr="00CD5CFE">
        <w:rPr>
          <w:rFonts w:ascii="Book Antiqua" w:hAnsi="Book Antiqua"/>
          <w:lang w:val="es-PR"/>
        </w:rPr>
        <w:t xml:space="preserve"> incluya documentos completos del expediente administrativo y los comentarios sometidos por la ciudadanía, </w:t>
      </w:r>
      <w:r>
        <w:rPr>
          <w:rFonts w:ascii="Book Antiqua" w:hAnsi="Book Antiqua"/>
          <w:lang w:val="es-PR"/>
        </w:rPr>
        <w:t xml:space="preserve">siguiendo el modelo de gobierno estatales y federales de los Estados </w:t>
      </w:r>
      <w:r w:rsidR="00126B2D">
        <w:rPr>
          <w:rFonts w:ascii="Book Antiqua" w:hAnsi="Book Antiqua"/>
          <w:lang w:val="es-PR"/>
        </w:rPr>
        <w:t>U</w:t>
      </w:r>
      <w:r>
        <w:rPr>
          <w:rFonts w:ascii="Book Antiqua" w:hAnsi="Book Antiqua"/>
          <w:lang w:val="es-PR"/>
        </w:rPr>
        <w:t>nidos de América.</w:t>
      </w:r>
      <w:r w:rsidR="00126B2D">
        <w:rPr>
          <w:rStyle w:val="FootnoteReference"/>
          <w:rFonts w:ascii="Book Antiqua" w:hAnsi="Book Antiqua"/>
          <w:lang w:val="es-PR"/>
        </w:rPr>
        <w:footnoteReference w:id="42"/>
      </w:r>
      <w:r w:rsidR="00122A92">
        <w:rPr>
          <w:rFonts w:ascii="Book Antiqua" w:hAnsi="Book Antiqua"/>
          <w:lang w:val="es-PR"/>
        </w:rPr>
        <w:t xml:space="preserve"> Con respecto al actual Registro de Reglamentos distingui</w:t>
      </w:r>
      <w:r w:rsidR="00546B8D">
        <w:rPr>
          <w:rFonts w:ascii="Book Antiqua" w:hAnsi="Book Antiqua"/>
          <w:lang w:val="es-PR"/>
        </w:rPr>
        <w:t>ó que éste puede ser “un listado parecido al existente hoy mientras que el Código tiene organización sectorial y temática, más allá de la identificación por agencias.”</w:t>
      </w:r>
      <w:r w:rsidR="00546B8D">
        <w:rPr>
          <w:rStyle w:val="FootnoteReference"/>
          <w:rFonts w:ascii="Book Antiqua" w:hAnsi="Book Antiqua"/>
          <w:lang w:val="es-PR"/>
        </w:rPr>
        <w:footnoteReference w:id="43"/>
      </w:r>
    </w:p>
    <w:p w14:paraId="4CDA8447" w14:textId="441CC829" w:rsidR="00CD5CFE" w:rsidRPr="00CD5CFE" w:rsidRDefault="00CD5CFE" w:rsidP="00C03D6C">
      <w:pPr>
        <w:pStyle w:val="NormalWeb"/>
        <w:spacing w:before="0" w:beforeAutospacing="0" w:after="0" w:afterAutospacing="0" w:line="360" w:lineRule="auto"/>
        <w:ind w:firstLine="720"/>
        <w:jc w:val="both"/>
        <w:rPr>
          <w:rFonts w:ascii="Book Antiqua" w:hAnsi="Book Antiqua"/>
          <w:lang w:val="es-PR"/>
        </w:rPr>
      </w:pPr>
      <w:r w:rsidRPr="00CD5CFE">
        <w:rPr>
          <w:rFonts w:ascii="Book Antiqua" w:hAnsi="Book Antiqua"/>
          <w:lang w:val="es-PR"/>
        </w:rPr>
        <w:lastRenderedPageBreak/>
        <w:t xml:space="preserve">En cuanto a las disposiciones sobre notificación pública, </w:t>
      </w:r>
      <w:r w:rsidR="00126B2D">
        <w:rPr>
          <w:rFonts w:ascii="Book Antiqua" w:hAnsi="Book Antiqua"/>
          <w:lang w:val="es-PR"/>
        </w:rPr>
        <w:t>criticó que el</w:t>
      </w:r>
      <w:r w:rsidRPr="00CD5CFE">
        <w:rPr>
          <w:rFonts w:ascii="Book Antiqua" w:hAnsi="Book Antiqua"/>
          <w:lang w:val="es-PR"/>
        </w:rPr>
        <w:t xml:space="preserve"> proyecto no requiera expresamente informar en el aviso el derecho de solicitar vistas públicas.</w:t>
      </w:r>
      <w:r w:rsidR="00126B2D">
        <w:rPr>
          <w:rStyle w:val="FootnoteReference"/>
          <w:rFonts w:ascii="Book Antiqua" w:hAnsi="Book Antiqua"/>
          <w:lang w:val="es-PR"/>
        </w:rPr>
        <w:footnoteReference w:id="44"/>
      </w:r>
      <w:r w:rsidR="00126B2D">
        <w:rPr>
          <w:rFonts w:ascii="Book Antiqua" w:hAnsi="Book Antiqua"/>
          <w:lang w:val="es-PR"/>
        </w:rPr>
        <w:t xml:space="preserve"> </w:t>
      </w:r>
      <w:r w:rsidRPr="00CD5CFE">
        <w:rPr>
          <w:rFonts w:ascii="Book Antiqua" w:hAnsi="Book Antiqua"/>
          <w:lang w:val="es-PR"/>
        </w:rPr>
        <w:t xml:space="preserve">También </w:t>
      </w:r>
      <w:r w:rsidR="00126B2D">
        <w:rPr>
          <w:rFonts w:ascii="Book Antiqua" w:hAnsi="Book Antiqua"/>
          <w:lang w:val="es-PR"/>
        </w:rPr>
        <w:t>advirtió</w:t>
      </w:r>
      <w:r w:rsidRPr="00CD5CFE">
        <w:rPr>
          <w:rFonts w:ascii="Book Antiqua" w:hAnsi="Book Antiqua"/>
          <w:lang w:val="es-PR"/>
        </w:rPr>
        <w:t xml:space="preserve"> que la propuesta reduce la importancia de medios regionales y radiales en comunidades afectadas por reglamentación específica.</w:t>
      </w:r>
      <w:r w:rsidR="00126B2D">
        <w:rPr>
          <w:rStyle w:val="FootnoteReference"/>
          <w:rFonts w:ascii="Book Antiqua" w:hAnsi="Book Antiqua"/>
          <w:lang w:val="es-PR"/>
        </w:rPr>
        <w:footnoteReference w:id="45"/>
      </w:r>
      <w:r w:rsidRPr="00CD5CFE">
        <w:rPr>
          <w:rFonts w:ascii="Book Antiqua" w:hAnsi="Book Antiqua"/>
          <w:lang w:val="es-PR"/>
        </w:rPr>
        <w:t xml:space="preserve"> Además, </w:t>
      </w:r>
      <w:r w:rsidR="00126B2D">
        <w:rPr>
          <w:rFonts w:ascii="Book Antiqua" w:hAnsi="Book Antiqua"/>
          <w:lang w:val="es-PR"/>
        </w:rPr>
        <w:t>recomendó</w:t>
      </w:r>
      <w:r w:rsidRPr="00CD5CFE">
        <w:rPr>
          <w:rFonts w:ascii="Book Antiqua" w:hAnsi="Book Antiqua"/>
          <w:lang w:val="es-PR"/>
        </w:rPr>
        <w:t xml:space="preserve"> sustituir referencias genéricas a “direcciones electrónicas” por enlaces directos al texto del reglamento propuesto.</w:t>
      </w:r>
      <w:r w:rsidR="00126B2D">
        <w:rPr>
          <w:rStyle w:val="FootnoteReference"/>
          <w:rFonts w:ascii="Book Antiqua" w:hAnsi="Book Antiqua"/>
          <w:lang w:val="es-PR"/>
        </w:rPr>
        <w:footnoteReference w:id="46"/>
      </w:r>
    </w:p>
    <w:p w14:paraId="76116E68" w14:textId="0E432E14" w:rsidR="00CD5CFE" w:rsidRPr="00CD5CFE" w:rsidRDefault="00CD5CFE" w:rsidP="00546B8D">
      <w:pPr>
        <w:pStyle w:val="NormalWeb"/>
        <w:spacing w:before="0" w:beforeAutospacing="0" w:after="0" w:afterAutospacing="0" w:line="360" w:lineRule="auto"/>
        <w:ind w:firstLine="720"/>
        <w:jc w:val="both"/>
        <w:rPr>
          <w:rFonts w:ascii="Book Antiqua" w:hAnsi="Book Antiqua"/>
          <w:lang w:val="es-PR"/>
        </w:rPr>
      </w:pPr>
      <w:r w:rsidRPr="00CD5CFE">
        <w:rPr>
          <w:rFonts w:ascii="Book Antiqua" w:hAnsi="Book Antiqua"/>
          <w:lang w:val="es-PR"/>
        </w:rPr>
        <w:t>Sobre participación ciudadana, el documento favorece mecanismos permanentes de participación, pero cuestiona que el proyecto condicione la solicitud de vistas públicas a que se haga “de buena fe”.</w:t>
      </w:r>
      <w:r w:rsidR="00546B8D">
        <w:rPr>
          <w:rStyle w:val="FootnoteReference"/>
          <w:rFonts w:ascii="Book Antiqua" w:hAnsi="Book Antiqua"/>
          <w:lang w:val="es-PR"/>
        </w:rPr>
        <w:footnoteReference w:id="47"/>
      </w:r>
      <w:r w:rsidRPr="00CD5CFE">
        <w:rPr>
          <w:rFonts w:ascii="Book Antiqua" w:hAnsi="Book Antiqua"/>
          <w:lang w:val="es-PR"/>
        </w:rPr>
        <w:t xml:space="preserve"> Según el memorial, dicho requisito puede desalentar la participación y generar controversias innecesarias sobre las motivaciones de quienes solicitan vistas.</w:t>
      </w:r>
      <w:r w:rsidR="00546B8D">
        <w:rPr>
          <w:rStyle w:val="FootnoteReference"/>
          <w:rFonts w:ascii="Book Antiqua" w:hAnsi="Book Antiqua"/>
          <w:lang w:val="es-PR"/>
        </w:rPr>
        <w:footnoteReference w:id="48"/>
      </w:r>
      <w:r w:rsidRPr="00CD5CFE">
        <w:rPr>
          <w:rFonts w:ascii="Book Antiqua" w:hAnsi="Book Antiqua"/>
          <w:lang w:val="es-PR"/>
        </w:rPr>
        <w:t xml:space="preserve"> También recomienda que las agencias preparen informes anuales sobre comentarios ciudadanos y que diseñen procesos de convocatoria que maximicen la participación pública.</w:t>
      </w:r>
      <w:r w:rsidR="00546B8D">
        <w:rPr>
          <w:rStyle w:val="FootnoteReference"/>
          <w:rFonts w:ascii="Book Antiqua" w:hAnsi="Book Antiqua"/>
          <w:lang w:val="es-PR"/>
        </w:rPr>
        <w:footnoteReference w:id="49"/>
      </w:r>
      <w:r w:rsidRPr="00CD5CFE">
        <w:rPr>
          <w:rFonts w:ascii="Book Antiqua" w:hAnsi="Book Antiqua"/>
          <w:lang w:val="es-PR"/>
        </w:rPr>
        <w:t xml:space="preserve"> Además, propone que el sistema permita no solo críticas a reglamentos existentes, sino también propuestas afirmativas de cambios regulatorios.</w:t>
      </w:r>
      <w:r w:rsidR="00546B8D">
        <w:rPr>
          <w:rStyle w:val="FootnoteReference"/>
          <w:rFonts w:ascii="Book Antiqua" w:hAnsi="Book Antiqua"/>
          <w:lang w:val="es-PR"/>
        </w:rPr>
        <w:footnoteReference w:id="50"/>
      </w:r>
      <w:r w:rsidRPr="00CD5CFE">
        <w:rPr>
          <w:rFonts w:ascii="Book Antiqua" w:hAnsi="Book Antiqua"/>
          <w:lang w:val="es-PR"/>
        </w:rPr>
        <w:t xml:space="preserve"> </w:t>
      </w:r>
    </w:p>
    <w:p w14:paraId="618F40D0" w14:textId="7009E7D1" w:rsidR="00E47DF1" w:rsidRPr="002E46F2" w:rsidRDefault="00010D4B" w:rsidP="004A0AC6">
      <w:pPr>
        <w:pStyle w:val="NormalWeb"/>
        <w:spacing w:before="0" w:beforeAutospacing="0" w:after="0" w:afterAutospacing="0" w:line="360" w:lineRule="auto"/>
        <w:ind w:firstLine="720"/>
        <w:jc w:val="both"/>
        <w:rPr>
          <w:rFonts w:ascii="Book Antiqua" w:hAnsi="Book Antiqua"/>
          <w:lang w:val="es-PR"/>
        </w:rPr>
      </w:pPr>
      <w:r w:rsidRPr="002E46F2">
        <w:rPr>
          <w:rFonts w:ascii="Book Antiqua" w:hAnsi="Book Antiqua"/>
          <w:lang w:val="es-PR"/>
        </w:rPr>
        <w:t>Con relación a la</w:t>
      </w:r>
      <w:r w:rsidR="00CD5CFE" w:rsidRPr="002E46F2">
        <w:rPr>
          <w:rFonts w:ascii="Book Antiqua" w:hAnsi="Book Antiqua"/>
          <w:lang w:val="es-PR"/>
        </w:rPr>
        <w:t xml:space="preserve"> </w:t>
      </w:r>
      <w:r w:rsidR="00CD5CFE" w:rsidRPr="002E46F2">
        <w:rPr>
          <w:rFonts w:ascii="Book Antiqua" w:hAnsi="Book Antiqua"/>
          <w:i/>
          <w:iCs/>
          <w:lang w:val="es-PR"/>
        </w:rPr>
        <w:t>Declaración de Costos Estimados (DCE)</w:t>
      </w:r>
      <w:r w:rsidRPr="002E46F2">
        <w:rPr>
          <w:rFonts w:ascii="Book Antiqua" w:hAnsi="Book Antiqua"/>
          <w:lang w:val="es-PR"/>
        </w:rPr>
        <w:t xml:space="preserve">, lo identifica como un mecanismo similar </w:t>
      </w:r>
      <w:r w:rsidR="00CD5CFE" w:rsidRPr="002E46F2">
        <w:rPr>
          <w:rFonts w:ascii="Book Antiqua" w:hAnsi="Book Antiqua"/>
          <w:lang w:val="es-PR"/>
        </w:rPr>
        <w:t>al análisis federal de costo-beneficio (</w:t>
      </w:r>
      <w:r w:rsidR="00CD5CFE" w:rsidRPr="002E46F2">
        <w:rPr>
          <w:rFonts w:ascii="Book Antiqua" w:hAnsi="Book Antiqua"/>
          <w:i/>
          <w:iCs/>
          <w:lang w:val="es-PR"/>
        </w:rPr>
        <w:t>cost-benefit analysis</w:t>
      </w:r>
      <w:r w:rsidR="00CD5CFE" w:rsidRPr="002E46F2">
        <w:rPr>
          <w:rFonts w:ascii="Book Antiqua" w:hAnsi="Book Antiqua"/>
          <w:lang w:val="es-PR"/>
        </w:rPr>
        <w:t>)</w:t>
      </w:r>
      <w:r w:rsidR="00E47DF1" w:rsidRPr="002E46F2">
        <w:rPr>
          <w:rFonts w:ascii="Book Antiqua" w:hAnsi="Book Antiqua"/>
          <w:lang w:val="es-PR"/>
        </w:rPr>
        <w:t xml:space="preserve">, mas efectúa la siguiente distinción: </w:t>
      </w:r>
    </w:p>
    <w:p w14:paraId="1F4669F2" w14:textId="3EB2908F" w:rsidR="00E47DF1" w:rsidRPr="002E46F2" w:rsidRDefault="002E46F2" w:rsidP="002E46F2">
      <w:pPr>
        <w:pStyle w:val="NormalWeb"/>
        <w:spacing w:before="0" w:beforeAutospacing="0" w:after="0" w:afterAutospacing="0" w:line="276" w:lineRule="auto"/>
        <w:ind w:left="720" w:right="720"/>
        <w:jc w:val="both"/>
        <w:rPr>
          <w:rFonts w:ascii="Book Antiqua" w:hAnsi="Book Antiqua"/>
          <w:lang w:val="es-PR"/>
        </w:rPr>
      </w:pPr>
      <w:r w:rsidRPr="002E46F2">
        <w:rPr>
          <w:rFonts w:ascii="Book Antiqua" w:hAnsi="Book Antiqua"/>
          <w:lang w:val="es-PR"/>
        </w:rPr>
        <w:t xml:space="preserve">Conviene aclarar que </w:t>
      </w:r>
      <w:r w:rsidRPr="002E46F2">
        <w:rPr>
          <w:rFonts w:ascii="Book Antiqua" w:hAnsi="Book Antiqua"/>
          <w:b/>
          <w:bCs/>
          <w:lang w:val="es-PR"/>
        </w:rPr>
        <w:t>no se trata de un requisito</w:t>
      </w:r>
      <w:r w:rsidRPr="002E46F2">
        <w:rPr>
          <w:rFonts w:ascii="Book Antiqua" w:hAnsi="Book Antiqua"/>
          <w:lang w:val="es-PR"/>
        </w:rPr>
        <w:t xml:space="preserve"> que encontremos en la Ley de Procedimiento Administrativo federal (“Administrative Procedure Act”), como fue incorporado en nuestra LPAU. Si a nivel federal es necesario que las agencias realicen análisis de costo y beneficio, </w:t>
      </w:r>
      <w:r w:rsidRPr="002E46F2">
        <w:rPr>
          <w:rFonts w:ascii="Book Antiqua" w:hAnsi="Book Antiqua"/>
          <w:b/>
          <w:bCs/>
          <w:lang w:val="es-PR"/>
        </w:rPr>
        <w:t xml:space="preserve">es porque se les requiere mediante órdenes ejecutivas presidenciales </w:t>
      </w:r>
      <w:r w:rsidRPr="002E46F2">
        <w:rPr>
          <w:rFonts w:ascii="Book Antiqua" w:hAnsi="Book Antiqua"/>
          <w:lang w:val="es-PR"/>
        </w:rPr>
        <w:t xml:space="preserve">emitidas a partir de la década de los 80s, </w:t>
      </w:r>
      <w:r w:rsidRPr="002E46F2">
        <w:rPr>
          <w:rFonts w:ascii="Book Antiqua" w:hAnsi="Book Antiqua"/>
          <w:b/>
          <w:bCs/>
          <w:lang w:val="es-PR"/>
        </w:rPr>
        <w:t>o bien por que el Congreso lo exija en casos particulares</w:t>
      </w:r>
      <w:r w:rsidRPr="002E46F2">
        <w:rPr>
          <w:rFonts w:ascii="Book Antiqua" w:hAnsi="Book Antiqua"/>
          <w:lang w:val="es-PR"/>
        </w:rPr>
        <w:t>.</w:t>
      </w:r>
      <w:r w:rsidRPr="002E46F2">
        <w:rPr>
          <w:rStyle w:val="FootnoteReference"/>
          <w:rFonts w:ascii="Book Antiqua" w:hAnsi="Book Antiqua"/>
          <w:lang w:val="es-PR"/>
        </w:rPr>
        <w:footnoteReference w:id="51"/>
      </w:r>
    </w:p>
    <w:p w14:paraId="6139CB9F" w14:textId="77777777" w:rsidR="002E46F2" w:rsidRDefault="002E46F2" w:rsidP="002E46F2">
      <w:pPr>
        <w:pStyle w:val="NormalWeb"/>
        <w:spacing w:before="0" w:beforeAutospacing="0" w:after="0" w:afterAutospacing="0" w:line="276" w:lineRule="auto"/>
        <w:ind w:left="720" w:right="720"/>
        <w:jc w:val="both"/>
        <w:rPr>
          <w:rFonts w:ascii="Book Antiqua" w:hAnsi="Book Antiqua"/>
          <w:lang w:val="es-PR"/>
        </w:rPr>
      </w:pPr>
    </w:p>
    <w:p w14:paraId="567595D8" w14:textId="1C7BA23D" w:rsidR="00CD5CFE" w:rsidRPr="00CD5CFE" w:rsidRDefault="00C267AE" w:rsidP="00C267AE">
      <w:pPr>
        <w:pStyle w:val="NormalWeb"/>
        <w:spacing w:before="0" w:beforeAutospacing="0" w:after="0" w:afterAutospacing="0" w:line="360" w:lineRule="auto"/>
        <w:jc w:val="both"/>
        <w:rPr>
          <w:rFonts w:ascii="Book Antiqua" w:hAnsi="Book Antiqua"/>
          <w:lang w:val="es-PR"/>
        </w:rPr>
      </w:pPr>
      <w:r>
        <w:rPr>
          <w:rFonts w:ascii="Book Antiqua" w:hAnsi="Book Antiqua"/>
          <w:lang w:val="es-PR"/>
        </w:rPr>
        <w:lastRenderedPageBreak/>
        <w:t xml:space="preserve">Asimismo, </w:t>
      </w:r>
      <w:r w:rsidR="00CD5CFE" w:rsidRPr="00CD5CFE">
        <w:rPr>
          <w:rFonts w:ascii="Book Antiqua" w:hAnsi="Book Antiqua"/>
          <w:lang w:val="es-PR"/>
        </w:rPr>
        <w:t>critic</w:t>
      </w:r>
      <w:r>
        <w:rPr>
          <w:rFonts w:ascii="Book Antiqua" w:hAnsi="Book Antiqua"/>
          <w:lang w:val="es-PR"/>
        </w:rPr>
        <w:t>ó</w:t>
      </w:r>
      <w:r w:rsidR="00CD5CFE" w:rsidRPr="00CD5CFE">
        <w:rPr>
          <w:rFonts w:ascii="Book Antiqua" w:hAnsi="Book Antiqua"/>
          <w:lang w:val="es-PR"/>
        </w:rPr>
        <w:t xml:space="preserve"> que el proyecto enfatice exclusivamente los costos regulatorios sin exigir una ponderación equivalente de los beneficios públicos que puede generar una regulación.</w:t>
      </w:r>
      <w:r w:rsidR="00010D4B">
        <w:rPr>
          <w:rStyle w:val="FootnoteReference"/>
          <w:rFonts w:ascii="Book Antiqua" w:hAnsi="Book Antiqua"/>
          <w:lang w:val="es-PR"/>
        </w:rPr>
        <w:footnoteReference w:id="52"/>
      </w:r>
      <w:r w:rsidR="00CD5CFE" w:rsidRPr="00CD5CFE">
        <w:rPr>
          <w:rFonts w:ascii="Book Antiqua" w:hAnsi="Book Antiqua"/>
          <w:lang w:val="es-PR"/>
        </w:rPr>
        <w:t xml:space="preserve"> Según </w:t>
      </w:r>
      <w:r w:rsidR="004A0AC6">
        <w:rPr>
          <w:rFonts w:ascii="Book Antiqua" w:hAnsi="Book Antiqua"/>
          <w:lang w:val="es-PR"/>
        </w:rPr>
        <w:t>expresó la institución educativa</w:t>
      </w:r>
      <w:r w:rsidR="00CD5CFE" w:rsidRPr="00CD5CFE">
        <w:rPr>
          <w:rFonts w:ascii="Book Antiqua" w:hAnsi="Book Antiqua"/>
          <w:lang w:val="es-PR"/>
        </w:rPr>
        <w:t xml:space="preserve"> ello podría producir un sesgo anti-regulatorio incompatible con análisis regulatorios rigurosos.</w:t>
      </w:r>
      <w:r w:rsidR="004A0AC6">
        <w:rPr>
          <w:rStyle w:val="FootnoteReference"/>
          <w:rFonts w:ascii="Book Antiqua" w:hAnsi="Book Antiqua"/>
          <w:lang w:val="es-PR"/>
        </w:rPr>
        <w:footnoteReference w:id="53"/>
      </w:r>
      <w:r w:rsidR="00CD5CFE" w:rsidRPr="00CD5CFE">
        <w:rPr>
          <w:rFonts w:ascii="Book Antiqua" w:hAnsi="Book Antiqua"/>
          <w:lang w:val="es-PR"/>
        </w:rPr>
        <w:t xml:space="preserve"> También señal</w:t>
      </w:r>
      <w:r w:rsidR="004A0AC6">
        <w:rPr>
          <w:rFonts w:ascii="Book Antiqua" w:hAnsi="Book Antiqua"/>
          <w:lang w:val="es-PR"/>
        </w:rPr>
        <w:t>ó</w:t>
      </w:r>
      <w:r w:rsidR="00CD5CFE" w:rsidRPr="00CD5CFE">
        <w:rPr>
          <w:rFonts w:ascii="Book Antiqua" w:hAnsi="Book Antiqua"/>
          <w:lang w:val="es-PR"/>
        </w:rPr>
        <w:t xml:space="preserve"> que</w:t>
      </w:r>
      <w:r>
        <w:rPr>
          <w:rFonts w:ascii="Book Antiqua" w:hAnsi="Book Antiqua"/>
          <w:lang w:val="es-PR"/>
        </w:rPr>
        <w:t xml:space="preserve"> la imposición de análisis económicos para la creación de todo tipo de reglamentos podría resultar oneroso, mas tampoco favorecía que esto no debía resultar en una absolución del esfuerzo.</w:t>
      </w:r>
      <w:r>
        <w:rPr>
          <w:rStyle w:val="FootnoteReference"/>
          <w:rFonts w:ascii="Book Antiqua" w:hAnsi="Book Antiqua"/>
          <w:lang w:val="es-PR"/>
        </w:rPr>
        <w:footnoteReference w:id="54"/>
      </w:r>
      <w:r w:rsidR="00294733">
        <w:rPr>
          <w:rFonts w:ascii="Book Antiqua" w:hAnsi="Book Antiqua"/>
          <w:lang w:val="es-PR"/>
        </w:rPr>
        <w:t xml:space="preserve"> C</w:t>
      </w:r>
      <w:r w:rsidR="00CD5CFE" w:rsidRPr="00CD5CFE">
        <w:rPr>
          <w:rFonts w:ascii="Book Antiqua" w:hAnsi="Book Antiqua"/>
          <w:lang w:val="es-PR"/>
        </w:rPr>
        <w:t>iertos reglamentos complejos sí requieren análisis económicos especializados y recom</w:t>
      </w:r>
      <w:r w:rsidR="004A0AC6">
        <w:rPr>
          <w:rFonts w:ascii="Book Antiqua" w:hAnsi="Book Antiqua"/>
          <w:lang w:val="es-PR"/>
        </w:rPr>
        <w:t>endó</w:t>
      </w:r>
      <w:r w:rsidR="00CD5CFE" w:rsidRPr="00CD5CFE">
        <w:rPr>
          <w:rFonts w:ascii="Book Antiqua" w:hAnsi="Book Antiqua"/>
          <w:lang w:val="es-PR"/>
        </w:rPr>
        <w:t xml:space="preserve"> la creación de guías técnicas oficiales para realizar dichos análisis.</w:t>
      </w:r>
      <w:r w:rsidR="004A0AC6">
        <w:rPr>
          <w:rStyle w:val="FootnoteReference"/>
          <w:rFonts w:ascii="Book Antiqua" w:hAnsi="Book Antiqua"/>
          <w:lang w:val="es-PR"/>
        </w:rPr>
        <w:footnoteReference w:id="55"/>
      </w:r>
      <w:r w:rsidR="00CD5CFE" w:rsidRPr="00CD5CFE">
        <w:rPr>
          <w:rFonts w:ascii="Book Antiqua" w:hAnsi="Book Antiqua"/>
          <w:lang w:val="es-PR"/>
        </w:rPr>
        <w:t xml:space="preserve"> </w:t>
      </w:r>
      <w:r w:rsidR="004A0AC6">
        <w:rPr>
          <w:rFonts w:ascii="Book Antiqua" w:hAnsi="Book Antiqua"/>
          <w:lang w:val="es-PR"/>
        </w:rPr>
        <w:t xml:space="preserve">Asimismo, recomendó que la CRED </w:t>
      </w:r>
      <w:r w:rsidR="00CD5CFE" w:rsidRPr="00CD5CFE">
        <w:rPr>
          <w:rFonts w:ascii="Book Antiqua" w:hAnsi="Book Antiqua"/>
          <w:lang w:val="es-PR"/>
        </w:rPr>
        <w:t>consult</w:t>
      </w:r>
      <w:r w:rsidR="004A0AC6">
        <w:rPr>
          <w:rFonts w:ascii="Book Antiqua" w:hAnsi="Book Antiqua"/>
          <w:lang w:val="es-PR"/>
        </w:rPr>
        <w:t>ase a</w:t>
      </w:r>
      <w:r w:rsidR="00CD5CFE" w:rsidRPr="00CD5CFE">
        <w:rPr>
          <w:rFonts w:ascii="Book Antiqua" w:hAnsi="Book Antiqua"/>
          <w:lang w:val="es-PR"/>
        </w:rPr>
        <w:t xml:space="preserve"> expertos en economía, departamentos universitarios, la Asociación de Economistas, la Oficina de Gerencia y Presupuesto</w:t>
      </w:r>
      <w:r w:rsidR="004A0AC6">
        <w:rPr>
          <w:rFonts w:ascii="Book Antiqua" w:hAnsi="Book Antiqua"/>
          <w:lang w:val="es-PR"/>
        </w:rPr>
        <w:t>,</w:t>
      </w:r>
      <w:r w:rsidR="00CD5CFE" w:rsidRPr="00CD5CFE">
        <w:rPr>
          <w:rFonts w:ascii="Book Antiqua" w:hAnsi="Book Antiqua"/>
          <w:lang w:val="es-PR"/>
        </w:rPr>
        <w:t xml:space="preserve"> y el Departamento de Desarrollo Económico y Comercio para evaluar adecuadamente el componente económico de la medida.</w:t>
      </w:r>
      <w:r w:rsidR="004A0AC6">
        <w:rPr>
          <w:rStyle w:val="FootnoteReference"/>
          <w:rFonts w:ascii="Book Antiqua" w:hAnsi="Book Antiqua"/>
          <w:lang w:val="es-PR"/>
        </w:rPr>
        <w:footnoteReference w:id="56"/>
      </w:r>
    </w:p>
    <w:p w14:paraId="78026AEA" w14:textId="1E3E2A3F" w:rsidR="00CD5CFE" w:rsidRPr="00CD5CFE" w:rsidRDefault="00CD5CFE" w:rsidP="00010D4B">
      <w:pPr>
        <w:pStyle w:val="NormalWeb"/>
        <w:spacing w:before="0" w:beforeAutospacing="0" w:after="0" w:afterAutospacing="0" w:line="360" w:lineRule="auto"/>
        <w:ind w:firstLine="720"/>
        <w:jc w:val="both"/>
        <w:rPr>
          <w:rFonts w:ascii="Book Antiqua" w:hAnsi="Book Antiqua"/>
          <w:lang w:val="es-PR"/>
        </w:rPr>
      </w:pPr>
      <w:r w:rsidRPr="00CD5CFE">
        <w:rPr>
          <w:rFonts w:ascii="Book Antiqua" w:hAnsi="Book Antiqua"/>
          <w:lang w:val="es-PR"/>
        </w:rPr>
        <w:t>En torno a la reglamentación negociada (</w:t>
      </w:r>
      <w:r w:rsidRPr="004A0AC6">
        <w:rPr>
          <w:rFonts w:ascii="Book Antiqua" w:hAnsi="Book Antiqua"/>
          <w:i/>
          <w:iCs/>
          <w:lang w:val="es-PR"/>
        </w:rPr>
        <w:t>negotiated rulemaking</w:t>
      </w:r>
      <w:r w:rsidRPr="00CD5CFE">
        <w:rPr>
          <w:rFonts w:ascii="Book Antiqua" w:hAnsi="Book Antiqua"/>
          <w:lang w:val="es-PR"/>
        </w:rPr>
        <w:t xml:space="preserve">), el documento advierte que el modelo federal de reglamentación negociada no </w:t>
      </w:r>
      <w:r w:rsidR="004A0AC6">
        <w:rPr>
          <w:rFonts w:ascii="Book Antiqua" w:hAnsi="Book Antiqua"/>
          <w:lang w:val="es-PR"/>
        </w:rPr>
        <w:t xml:space="preserve">tuvo </w:t>
      </w:r>
      <w:r w:rsidRPr="00CD5CFE">
        <w:rPr>
          <w:rFonts w:ascii="Book Antiqua" w:hAnsi="Book Antiqua"/>
          <w:lang w:val="es-PR"/>
        </w:rPr>
        <w:t xml:space="preserve">gran éxito histórico y que sus resultados prácticos </w:t>
      </w:r>
      <w:r w:rsidR="004A0AC6">
        <w:rPr>
          <w:rFonts w:ascii="Book Antiqua" w:hAnsi="Book Antiqua"/>
          <w:lang w:val="es-PR"/>
        </w:rPr>
        <w:t>fueron</w:t>
      </w:r>
      <w:r w:rsidRPr="00CD5CFE">
        <w:rPr>
          <w:rFonts w:ascii="Book Antiqua" w:hAnsi="Book Antiqua"/>
          <w:lang w:val="es-PR"/>
        </w:rPr>
        <w:t xml:space="preserve"> limitados.</w:t>
      </w:r>
      <w:r w:rsidR="004A0AC6">
        <w:rPr>
          <w:rStyle w:val="FootnoteReference"/>
          <w:rFonts w:ascii="Book Antiqua" w:hAnsi="Book Antiqua"/>
          <w:lang w:val="es-PR"/>
        </w:rPr>
        <w:footnoteReference w:id="57"/>
      </w:r>
      <w:r w:rsidRPr="00CD5CFE">
        <w:rPr>
          <w:rFonts w:ascii="Book Antiqua" w:hAnsi="Book Antiqua"/>
          <w:lang w:val="es-PR"/>
        </w:rPr>
        <w:t xml:space="preserve"> </w:t>
      </w:r>
      <w:r w:rsidR="0082185F">
        <w:rPr>
          <w:rFonts w:ascii="Book Antiqua" w:hAnsi="Book Antiqua"/>
          <w:lang w:val="es-PR"/>
        </w:rPr>
        <w:t>Recomendó que al inciso “(c)” se incluyese un lenguaje “disponiendo como lenguaje que los miembros del Comité representen diferentes visiones.”</w:t>
      </w:r>
      <w:r w:rsidR="0082185F">
        <w:rPr>
          <w:rStyle w:val="FootnoteReference"/>
          <w:rFonts w:ascii="Book Antiqua" w:hAnsi="Book Antiqua"/>
          <w:lang w:val="es-PR"/>
        </w:rPr>
        <w:footnoteReference w:id="58"/>
      </w:r>
      <w:r w:rsidR="0082185F">
        <w:rPr>
          <w:rFonts w:ascii="Book Antiqua" w:hAnsi="Book Antiqua"/>
          <w:lang w:val="es-PR"/>
        </w:rPr>
        <w:t xml:space="preserve"> Ello, </w:t>
      </w:r>
      <w:r w:rsidRPr="00CD5CFE">
        <w:rPr>
          <w:rFonts w:ascii="Book Antiqua" w:hAnsi="Book Antiqua"/>
          <w:lang w:val="es-PR"/>
        </w:rPr>
        <w:t>particularmente porque el proyecto reduce de treinta</w:t>
      </w:r>
      <w:r w:rsidR="004A0AC6">
        <w:rPr>
          <w:rFonts w:ascii="Book Antiqua" w:hAnsi="Book Antiqua"/>
          <w:lang w:val="es-PR"/>
        </w:rPr>
        <w:t xml:space="preserve"> (30)</w:t>
      </w:r>
      <w:r w:rsidRPr="00CD5CFE">
        <w:rPr>
          <w:rFonts w:ascii="Book Antiqua" w:hAnsi="Book Antiqua"/>
          <w:lang w:val="es-PR"/>
        </w:rPr>
        <w:t xml:space="preserve"> a quince</w:t>
      </w:r>
      <w:r w:rsidR="004A0AC6">
        <w:rPr>
          <w:rFonts w:ascii="Book Antiqua" w:hAnsi="Book Antiqua"/>
          <w:lang w:val="es-PR"/>
        </w:rPr>
        <w:t xml:space="preserve"> (15)</w:t>
      </w:r>
      <w:r w:rsidRPr="00CD5CFE">
        <w:rPr>
          <w:rFonts w:ascii="Book Antiqua" w:hAnsi="Book Antiqua"/>
          <w:lang w:val="es-PR"/>
        </w:rPr>
        <w:t xml:space="preserve"> días el periodo de comentarios públicos en estos casos.</w:t>
      </w:r>
      <w:r w:rsidR="004A0AC6">
        <w:rPr>
          <w:rStyle w:val="FootnoteReference"/>
          <w:rFonts w:ascii="Book Antiqua" w:hAnsi="Book Antiqua"/>
          <w:lang w:val="es-PR"/>
        </w:rPr>
        <w:footnoteReference w:id="59"/>
      </w:r>
      <w:r w:rsidRPr="00CD5CFE">
        <w:rPr>
          <w:rFonts w:ascii="Book Antiqua" w:hAnsi="Book Antiqua"/>
          <w:lang w:val="es-PR"/>
        </w:rPr>
        <w:t xml:space="preserve"> </w:t>
      </w:r>
    </w:p>
    <w:p w14:paraId="0FCC7EFC" w14:textId="3E450874" w:rsidR="00CD5CFE" w:rsidRDefault="004A0AC6" w:rsidP="00010D4B">
      <w:pPr>
        <w:pStyle w:val="NormalWeb"/>
        <w:spacing w:before="0" w:beforeAutospacing="0" w:after="0" w:afterAutospacing="0" w:line="360" w:lineRule="auto"/>
        <w:ind w:firstLine="720"/>
        <w:jc w:val="both"/>
        <w:rPr>
          <w:rFonts w:ascii="Book Antiqua" w:hAnsi="Book Antiqua"/>
          <w:lang w:val="es-PR"/>
        </w:rPr>
      </w:pPr>
      <w:r>
        <w:rPr>
          <w:rFonts w:ascii="Book Antiqua" w:hAnsi="Book Antiqua"/>
          <w:lang w:val="es-PR"/>
        </w:rPr>
        <w:t>La Escuela de Derecho de la Universidad de Puerto Rico</w:t>
      </w:r>
      <w:r w:rsidR="00CD5CFE" w:rsidRPr="00CD5CFE">
        <w:rPr>
          <w:rFonts w:ascii="Book Antiqua" w:hAnsi="Book Antiqua"/>
          <w:lang w:val="es-PR"/>
        </w:rPr>
        <w:t xml:space="preserve"> discut</w:t>
      </w:r>
      <w:r>
        <w:rPr>
          <w:rFonts w:ascii="Book Antiqua" w:hAnsi="Book Antiqua"/>
          <w:lang w:val="es-PR"/>
        </w:rPr>
        <w:t>ió</w:t>
      </w:r>
      <w:r w:rsidR="00CD5CFE" w:rsidRPr="00CD5CFE">
        <w:rPr>
          <w:rFonts w:ascii="Book Antiqua" w:hAnsi="Book Antiqua"/>
          <w:lang w:val="es-PR"/>
        </w:rPr>
        <w:t xml:space="preserve"> las nuevas facultades del </w:t>
      </w:r>
      <w:proofErr w:type="gramStart"/>
      <w:r w:rsidR="00CD5CFE" w:rsidRPr="00CD5CFE">
        <w:rPr>
          <w:rFonts w:ascii="Book Antiqua" w:hAnsi="Book Antiqua"/>
          <w:lang w:val="es-PR"/>
        </w:rPr>
        <w:t>Secretario</w:t>
      </w:r>
      <w:proofErr w:type="gramEnd"/>
      <w:r w:rsidR="00CD5CFE" w:rsidRPr="00CD5CFE">
        <w:rPr>
          <w:rFonts w:ascii="Book Antiqua" w:hAnsi="Book Antiqua"/>
          <w:lang w:val="es-PR"/>
        </w:rPr>
        <w:t xml:space="preserve"> de Estado para crear reglamentos modelo aplicables a múltiples agencias.</w:t>
      </w:r>
      <w:r>
        <w:rPr>
          <w:rStyle w:val="FootnoteReference"/>
          <w:rFonts w:ascii="Book Antiqua" w:hAnsi="Book Antiqua"/>
          <w:lang w:val="es-PR"/>
        </w:rPr>
        <w:footnoteReference w:id="60"/>
      </w:r>
      <w:r w:rsidR="00CD5CFE" w:rsidRPr="00CD5CFE">
        <w:rPr>
          <w:rFonts w:ascii="Book Antiqua" w:hAnsi="Book Antiqua"/>
          <w:lang w:val="es-PR"/>
        </w:rPr>
        <w:t xml:space="preserve"> Aunque favorec</w:t>
      </w:r>
      <w:r>
        <w:rPr>
          <w:rFonts w:ascii="Book Antiqua" w:hAnsi="Book Antiqua"/>
          <w:lang w:val="es-PR"/>
        </w:rPr>
        <w:t>ió</w:t>
      </w:r>
      <w:r w:rsidR="00CD5CFE" w:rsidRPr="00CD5CFE">
        <w:rPr>
          <w:rFonts w:ascii="Book Antiqua" w:hAnsi="Book Antiqua"/>
          <w:lang w:val="es-PR"/>
        </w:rPr>
        <w:t xml:space="preserve"> la idea de modelos uniformes, advi</w:t>
      </w:r>
      <w:r>
        <w:rPr>
          <w:rFonts w:ascii="Book Antiqua" w:hAnsi="Book Antiqua"/>
          <w:lang w:val="es-PR"/>
        </w:rPr>
        <w:t>rtió</w:t>
      </w:r>
      <w:r w:rsidR="00CD5CFE" w:rsidRPr="00CD5CFE">
        <w:rPr>
          <w:rFonts w:ascii="Book Antiqua" w:hAnsi="Book Antiqua"/>
          <w:lang w:val="es-PR"/>
        </w:rPr>
        <w:t xml:space="preserve"> que el proyecto debe permitir que las agencias adopten reglamentos propios posteriormente y que el rol del </w:t>
      </w:r>
      <w:r w:rsidR="00CD5CFE" w:rsidRPr="00CD5CFE">
        <w:rPr>
          <w:rFonts w:ascii="Book Antiqua" w:hAnsi="Book Antiqua"/>
          <w:lang w:val="es-PR"/>
        </w:rPr>
        <w:lastRenderedPageBreak/>
        <w:t>Departamento de Estado no debe convertirse en uno de imposición permanente de contenido reglamentario.</w:t>
      </w:r>
      <w:r>
        <w:rPr>
          <w:rStyle w:val="FootnoteReference"/>
          <w:rFonts w:ascii="Book Antiqua" w:hAnsi="Book Antiqua"/>
          <w:lang w:val="es-PR"/>
        </w:rPr>
        <w:footnoteReference w:id="61"/>
      </w:r>
      <w:r w:rsidR="00CD5CFE" w:rsidRPr="00CD5CFE">
        <w:rPr>
          <w:rFonts w:ascii="Book Antiqua" w:hAnsi="Book Antiqua"/>
          <w:lang w:val="es-PR"/>
        </w:rPr>
        <w:t xml:space="preserve"> </w:t>
      </w:r>
    </w:p>
    <w:p w14:paraId="68092240" w14:textId="76469F7A" w:rsidR="0082185F" w:rsidRPr="00CD5CFE" w:rsidRDefault="0082185F" w:rsidP="00504A43">
      <w:pPr>
        <w:pStyle w:val="NormalWeb"/>
        <w:spacing w:before="0" w:beforeAutospacing="0" w:after="240" w:afterAutospacing="0" w:line="360" w:lineRule="auto"/>
        <w:ind w:firstLine="720"/>
        <w:jc w:val="both"/>
        <w:rPr>
          <w:rFonts w:ascii="Book Antiqua" w:hAnsi="Book Antiqua"/>
          <w:lang w:val="es-PR"/>
        </w:rPr>
      </w:pPr>
      <w:r>
        <w:rPr>
          <w:rFonts w:ascii="Book Antiqua" w:hAnsi="Book Antiqua"/>
          <w:lang w:val="es-PR"/>
        </w:rPr>
        <w:t>Con relación a los reglamentos de emergencia</w:t>
      </w:r>
      <w:r w:rsidR="00504A43">
        <w:rPr>
          <w:rFonts w:ascii="Book Antiqua" w:hAnsi="Book Antiqua"/>
          <w:lang w:val="es-PR"/>
        </w:rPr>
        <w:t>, expresó que el lenguaje actual no impone términos para que la agencia complete el proceso ordinario. Añadió que “la duración de un reglamento de emergencia no depende, como algún[o]s piensan, del tiempo que dure una declaración de emergencia</w:t>
      </w:r>
      <w:r w:rsidR="00ED0791">
        <w:rPr>
          <w:rFonts w:ascii="Book Antiqua" w:hAnsi="Book Antiqua"/>
          <w:lang w:val="es-PR"/>
        </w:rPr>
        <w:t>.</w:t>
      </w:r>
      <w:r w:rsidR="00504A43">
        <w:rPr>
          <w:rFonts w:ascii="Book Antiqua" w:hAnsi="Book Antiqua"/>
          <w:lang w:val="es-PR"/>
        </w:rPr>
        <w:t>”</w:t>
      </w:r>
      <w:r w:rsidR="00504A43">
        <w:rPr>
          <w:rStyle w:val="FootnoteReference"/>
          <w:rFonts w:ascii="Book Antiqua" w:hAnsi="Book Antiqua"/>
          <w:lang w:val="es-PR"/>
        </w:rPr>
        <w:footnoteReference w:id="62"/>
      </w:r>
      <w:r w:rsidR="00504A43">
        <w:rPr>
          <w:rFonts w:ascii="Book Antiqua" w:hAnsi="Book Antiqua"/>
          <w:lang w:val="es-PR"/>
        </w:rPr>
        <w:t xml:space="preserve"> </w:t>
      </w:r>
      <w:r w:rsidR="00ED0791">
        <w:rPr>
          <w:rFonts w:ascii="Book Antiqua" w:hAnsi="Book Antiqua"/>
          <w:lang w:val="es-PR"/>
        </w:rPr>
        <w:t>La vigencia dependería más del</w:t>
      </w:r>
      <w:r w:rsidR="00504A43">
        <w:rPr>
          <w:rFonts w:ascii="Book Antiqua" w:hAnsi="Book Antiqua"/>
          <w:lang w:val="es-PR"/>
        </w:rPr>
        <w:t xml:space="preserve"> </w:t>
      </w:r>
      <w:r w:rsidR="00ED0791">
        <w:rPr>
          <w:rFonts w:ascii="Book Antiqua" w:hAnsi="Book Antiqua"/>
          <w:lang w:val="es-PR"/>
        </w:rPr>
        <w:t>“</w:t>
      </w:r>
      <w:r w:rsidR="00504A43">
        <w:rPr>
          <w:rFonts w:ascii="Book Antiqua" w:hAnsi="Book Antiqua"/>
          <w:lang w:val="es-PR"/>
        </w:rPr>
        <w:t>tiempo que tarde la agencia en actuar […]”</w:t>
      </w:r>
      <w:r w:rsidR="00504A43">
        <w:rPr>
          <w:rStyle w:val="FootnoteReference"/>
          <w:rFonts w:ascii="Book Antiqua" w:hAnsi="Book Antiqua"/>
          <w:lang w:val="es-PR"/>
        </w:rPr>
        <w:footnoteReference w:id="63"/>
      </w:r>
      <w:r w:rsidR="00504A43">
        <w:rPr>
          <w:rFonts w:ascii="Book Antiqua" w:hAnsi="Book Antiqua"/>
          <w:lang w:val="es-PR"/>
        </w:rPr>
        <w:t xml:space="preserve">. </w:t>
      </w:r>
    </w:p>
    <w:p w14:paraId="0165DE6E" w14:textId="46C5FECF" w:rsidR="00B67C4D" w:rsidRPr="004F7549" w:rsidRDefault="009D441B"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t>Escuela de Derecho de la Pontificia Universidad Católica de Puerto Rico</w:t>
      </w:r>
    </w:p>
    <w:p w14:paraId="4D6C89D1" w14:textId="77777777" w:rsidR="004F7549" w:rsidRPr="00D96323" w:rsidRDefault="004F7549" w:rsidP="004F7549">
      <w:pPr>
        <w:spacing w:after="200" w:line="276" w:lineRule="auto"/>
        <w:ind w:left="360"/>
        <w:contextualSpacing/>
        <w:rPr>
          <w:rFonts w:ascii="Book Antiqua" w:eastAsia="Times New Roman" w:hAnsi="Book Antiqua" w:cs="Times New Roman"/>
          <w:bCs/>
          <w:kern w:val="0"/>
          <w:u w:val="single"/>
          <w14:ligatures w14:val="none"/>
        </w:rPr>
      </w:pPr>
    </w:p>
    <w:p w14:paraId="68911263" w14:textId="399CC11A" w:rsidR="004F7549" w:rsidRPr="00A94D6C" w:rsidRDefault="00D96323" w:rsidP="004F7549">
      <w:pPr>
        <w:numPr>
          <w:ilvl w:val="1"/>
          <w:numId w:val="1"/>
        </w:numPr>
        <w:spacing w:after="200" w:line="276" w:lineRule="auto"/>
        <w:ind w:left="720"/>
        <w:contextualSpacing/>
        <w:jc w:val="center"/>
        <w:rPr>
          <w:rFonts w:ascii="Book Antiqua" w:eastAsia="Times New Roman" w:hAnsi="Book Antiqua" w:cs="Times New Roman"/>
          <w:bCs/>
          <w:kern w:val="0"/>
          <w14:ligatures w14:val="none"/>
        </w:rPr>
      </w:pPr>
      <w:r w:rsidRPr="00D96323">
        <w:rPr>
          <w:rFonts w:ascii="Book Antiqua" w:eastAsia="Times New Roman" w:hAnsi="Book Antiqua" w:cs="Times New Roman"/>
          <w:kern w:val="0"/>
          <w14:ligatures w14:val="none"/>
        </w:rPr>
        <w:t>Pro</w:t>
      </w:r>
      <w:r w:rsidR="00D66489">
        <w:rPr>
          <w:rFonts w:ascii="Book Antiqua" w:eastAsia="Times New Roman" w:hAnsi="Book Antiqua" w:cs="Times New Roman"/>
          <w:kern w:val="0"/>
          <w14:ligatures w14:val="none"/>
        </w:rPr>
        <w:t>f.</w:t>
      </w:r>
      <w:r w:rsidRPr="00D96323">
        <w:rPr>
          <w:rFonts w:ascii="Book Antiqua" w:eastAsia="Times New Roman" w:hAnsi="Book Antiqua" w:cs="Times New Roman"/>
          <w:kern w:val="0"/>
          <w14:ligatures w14:val="none"/>
        </w:rPr>
        <w:t xml:space="preserve"> Manuel Izquierdo </w:t>
      </w:r>
      <w:r w:rsidR="00ED0791">
        <w:rPr>
          <w:rFonts w:ascii="Book Antiqua" w:eastAsia="Times New Roman" w:hAnsi="Book Antiqua" w:cs="Times New Roman"/>
          <w:kern w:val="0"/>
          <w14:ligatures w14:val="none"/>
        </w:rPr>
        <w:t>E</w:t>
      </w:r>
      <w:r w:rsidRPr="00D96323">
        <w:rPr>
          <w:rFonts w:ascii="Book Antiqua" w:eastAsia="Times New Roman" w:hAnsi="Book Antiqua" w:cs="Times New Roman"/>
          <w:kern w:val="0"/>
          <w14:ligatures w14:val="none"/>
        </w:rPr>
        <w:t>ncarnación</w:t>
      </w:r>
    </w:p>
    <w:p w14:paraId="6F5ADFA2" w14:textId="77777777" w:rsidR="00A94D6C" w:rsidRPr="004F7549" w:rsidRDefault="00A94D6C" w:rsidP="00A94D6C">
      <w:pPr>
        <w:spacing w:after="200" w:line="276" w:lineRule="auto"/>
        <w:ind w:left="720"/>
        <w:contextualSpacing/>
        <w:rPr>
          <w:rFonts w:ascii="Book Antiqua" w:eastAsia="Times New Roman" w:hAnsi="Book Antiqua" w:cs="Times New Roman"/>
          <w:bCs/>
          <w:kern w:val="0"/>
          <w14:ligatures w14:val="none"/>
        </w:rPr>
      </w:pPr>
    </w:p>
    <w:p w14:paraId="572A4AFF" w14:textId="35CC1BE8" w:rsidR="004F7549" w:rsidRDefault="004F7549" w:rsidP="00A94D6C">
      <w:pPr>
        <w:spacing w:after="200" w:line="360" w:lineRule="auto"/>
        <w:ind w:firstLine="720"/>
        <w:jc w:val="both"/>
        <w:rPr>
          <w:rFonts w:ascii="Book Antiqua" w:hAnsi="Book Antiqua"/>
        </w:rPr>
      </w:pPr>
      <w:r>
        <w:rPr>
          <w:rFonts w:ascii="Book Antiqua" w:hAnsi="Book Antiqua"/>
        </w:rPr>
        <w:t>El Prof. Manuel Izquierdo Encarnación</w:t>
      </w:r>
      <w:r w:rsidR="00655F52">
        <w:rPr>
          <w:rFonts w:ascii="Book Antiqua" w:hAnsi="Book Antiqua"/>
        </w:rPr>
        <w:t xml:space="preserve"> presentó </w:t>
      </w:r>
      <w:r>
        <w:rPr>
          <w:rFonts w:ascii="Book Antiqua" w:hAnsi="Book Antiqua"/>
        </w:rPr>
        <w:t>comentarios críticos sobre la medida. Sus principales observaciones se centran en cuatro</w:t>
      </w:r>
      <w:r w:rsidR="00380CE0">
        <w:rPr>
          <w:rFonts w:ascii="Book Antiqua" w:hAnsi="Book Antiqua"/>
        </w:rPr>
        <w:t xml:space="preserve"> (4)</w:t>
      </w:r>
      <w:r>
        <w:rPr>
          <w:rFonts w:ascii="Book Antiqua" w:hAnsi="Book Antiqua"/>
        </w:rPr>
        <w:t xml:space="preserve"> renglones. Primero, planteó que la LPAU es esencialmente un cuerpo de normas procesales y que la Sección 2.1 propuesta introduce normas sustantivas sobre el alcance de la delegación de poderes.</w:t>
      </w:r>
      <w:r w:rsidR="00A94D6C">
        <w:rPr>
          <w:rStyle w:val="FootnoteReference"/>
          <w:rFonts w:ascii="Book Antiqua" w:hAnsi="Book Antiqua"/>
        </w:rPr>
        <w:footnoteReference w:id="64"/>
      </w:r>
      <w:r>
        <w:rPr>
          <w:rFonts w:ascii="Book Antiqua" w:hAnsi="Book Antiqua"/>
        </w:rPr>
        <w:t xml:space="preserve"> Segundo, advirtió sobre los costos extraordinarios que conllevaría la implementación del Boletín.</w:t>
      </w:r>
      <w:r w:rsidR="00380CE0">
        <w:rPr>
          <w:rStyle w:val="FootnoteReference"/>
          <w:rFonts w:ascii="Book Antiqua" w:hAnsi="Book Antiqua"/>
        </w:rPr>
        <w:footnoteReference w:id="65"/>
      </w:r>
      <w:r>
        <w:rPr>
          <w:rFonts w:ascii="Book Antiqua" w:hAnsi="Book Antiqua"/>
        </w:rPr>
        <w:t xml:space="preserve"> Tercero, expresó que la propuesta del </w:t>
      </w:r>
      <w:r w:rsidRPr="00A94D6C">
        <w:rPr>
          <w:rFonts w:ascii="Book Antiqua" w:hAnsi="Book Antiqua"/>
          <w:i/>
          <w:iCs/>
        </w:rPr>
        <w:t>Código de Reglamentos</w:t>
      </w:r>
      <w:r>
        <w:rPr>
          <w:rFonts w:ascii="Book Antiqua" w:hAnsi="Book Antiqua"/>
        </w:rPr>
        <w:t xml:space="preserve"> sería innecesaria por estar contemplada en la Sección 2.15 vigente de la LPAU.</w:t>
      </w:r>
      <w:r w:rsidR="00A94D6C">
        <w:rPr>
          <w:rStyle w:val="FootnoteReference"/>
          <w:rFonts w:ascii="Book Antiqua" w:hAnsi="Book Antiqua"/>
        </w:rPr>
        <w:footnoteReference w:id="66"/>
      </w:r>
      <w:r>
        <w:rPr>
          <w:rFonts w:ascii="Book Antiqua" w:hAnsi="Book Antiqua"/>
        </w:rPr>
        <w:t xml:space="preserve"> Cuarto, señaló que la eliminación de la publicación en periódicos de circulación general limitaría el acceso ciudadano al proceso de reglamentación, particularmente para quienes no cuenten con acceso adecuado a plataformas digitales.</w:t>
      </w:r>
      <w:r w:rsidR="00A94D6C">
        <w:rPr>
          <w:rStyle w:val="FootnoteReference"/>
          <w:rFonts w:ascii="Book Antiqua" w:hAnsi="Book Antiqua"/>
        </w:rPr>
        <w:footnoteReference w:id="67"/>
      </w:r>
    </w:p>
    <w:p w14:paraId="7FF19814" w14:textId="77777777" w:rsidR="00915E71" w:rsidRDefault="00915E71" w:rsidP="00D335D7">
      <w:pPr>
        <w:spacing w:after="200" w:line="360" w:lineRule="auto"/>
        <w:jc w:val="both"/>
        <w:rPr>
          <w:rFonts w:ascii="Book Antiqua" w:hAnsi="Book Antiqua"/>
        </w:rPr>
      </w:pPr>
    </w:p>
    <w:p w14:paraId="41271107" w14:textId="77777777" w:rsidR="00D335D7" w:rsidRDefault="00D335D7" w:rsidP="00D335D7">
      <w:pPr>
        <w:spacing w:after="200" w:line="360" w:lineRule="auto"/>
        <w:jc w:val="both"/>
        <w:rPr>
          <w:rFonts w:ascii="Book Antiqua" w:hAnsi="Book Antiqua"/>
        </w:rPr>
      </w:pPr>
    </w:p>
    <w:p w14:paraId="19E1797D" w14:textId="1ED27A8C" w:rsidR="00D96323" w:rsidRPr="00915E71" w:rsidRDefault="00D66489" w:rsidP="00D96323">
      <w:pPr>
        <w:numPr>
          <w:ilvl w:val="1"/>
          <w:numId w:val="1"/>
        </w:numPr>
        <w:spacing w:after="200" w:line="276" w:lineRule="auto"/>
        <w:ind w:left="720"/>
        <w:contextualSpacing/>
        <w:jc w:val="center"/>
        <w:rPr>
          <w:rFonts w:ascii="Book Antiqua" w:eastAsia="Times New Roman" w:hAnsi="Book Antiqua" w:cs="Times New Roman"/>
          <w:bCs/>
          <w:kern w:val="0"/>
          <w14:ligatures w14:val="none"/>
        </w:rPr>
      </w:pPr>
      <w:r w:rsidRPr="00915E71">
        <w:rPr>
          <w:rFonts w:ascii="Book Antiqua" w:eastAsia="Times New Roman" w:hAnsi="Book Antiqua" w:cs="Times New Roman"/>
          <w:bCs/>
          <w:kern w:val="0"/>
          <w14:ligatures w14:val="none"/>
        </w:rPr>
        <w:t>Prof. Javier Echevarría Vargas</w:t>
      </w:r>
    </w:p>
    <w:p w14:paraId="5B9584EC" w14:textId="77777777" w:rsidR="00380CE0" w:rsidRPr="00927D8A" w:rsidRDefault="00380CE0" w:rsidP="00380CE0">
      <w:pPr>
        <w:spacing w:after="200" w:line="276" w:lineRule="auto"/>
        <w:ind w:left="720"/>
        <w:contextualSpacing/>
        <w:rPr>
          <w:rFonts w:ascii="Book Antiqua" w:eastAsia="Times New Roman" w:hAnsi="Book Antiqua" w:cs="Times New Roman"/>
          <w:bCs/>
          <w:kern w:val="0"/>
          <w:highlight w:val="yellow"/>
          <w14:ligatures w14:val="none"/>
        </w:rPr>
      </w:pPr>
    </w:p>
    <w:p w14:paraId="48518B99" w14:textId="4DFF2AB8" w:rsidR="00927D8A" w:rsidRPr="00927D8A" w:rsidRDefault="00380CE0" w:rsidP="005F79B8">
      <w:pPr>
        <w:spacing w:before="240" w:after="200" w:line="360" w:lineRule="auto"/>
        <w:ind w:firstLine="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El Prof. Echevarría Vargas expresó un apoyo</w:t>
      </w:r>
      <w:r w:rsidR="00927D8A" w:rsidRPr="00927D8A">
        <w:rPr>
          <w:rFonts w:ascii="Book Antiqua" w:eastAsia="Times New Roman" w:hAnsi="Book Antiqua" w:cs="Times New Roman"/>
          <w:bCs/>
          <w:kern w:val="0"/>
          <w14:ligatures w14:val="none"/>
        </w:rPr>
        <w:t xml:space="preserve"> general al Proyecto de la Cámara 1080</w:t>
      </w:r>
      <w:r w:rsidR="00915E71">
        <w:rPr>
          <w:rFonts w:ascii="Book Antiqua" w:eastAsia="Times New Roman" w:hAnsi="Book Antiqua" w:cs="Times New Roman"/>
          <w:bCs/>
          <w:kern w:val="0"/>
          <w14:ligatures w14:val="none"/>
        </w:rPr>
        <w:t xml:space="preserve"> y al propósito perseguido</w:t>
      </w:r>
      <w:r>
        <w:rPr>
          <w:rFonts w:ascii="Book Antiqua" w:eastAsia="Times New Roman" w:hAnsi="Book Antiqua" w:cs="Times New Roman"/>
          <w:bCs/>
          <w:kern w:val="0"/>
          <w14:ligatures w14:val="none"/>
        </w:rPr>
        <w:t>.</w:t>
      </w:r>
      <w:r>
        <w:rPr>
          <w:rStyle w:val="FootnoteReference"/>
          <w:rFonts w:ascii="Book Antiqua" w:eastAsia="Times New Roman" w:hAnsi="Book Antiqua"/>
          <w:bCs/>
          <w:kern w:val="0"/>
          <w14:ligatures w14:val="none"/>
        </w:rPr>
        <w:footnoteReference w:id="68"/>
      </w:r>
      <w:r>
        <w:rPr>
          <w:rFonts w:ascii="Book Antiqua" w:eastAsia="Times New Roman" w:hAnsi="Book Antiqua" w:cs="Times New Roman"/>
          <w:bCs/>
          <w:kern w:val="0"/>
          <w14:ligatures w14:val="none"/>
        </w:rPr>
        <w:t xml:space="preserve"> </w:t>
      </w:r>
      <w:r w:rsidR="00927D8A" w:rsidRPr="00927D8A">
        <w:rPr>
          <w:rFonts w:ascii="Book Antiqua" w:eastAsia="Times New Roman" w:hAnsi="Book Antiqua" w:cs="Times New Roman"/>
          <w:bCs/>
          <w:kern w:val="0"/>
          <w14:ligatures w14:val="none"/>
        </w:rPr>
        <w:t xml:space="preserve">No obstante, </w:t>
      </w:r>
      <w:r w:rsidR="00915E71">
        <w:rPr>
          <w:rFonts w:ascii="Book Antiqua" w:eastAsia="Times New Roman" w:hAnsi="Book Antiqua" w:cs="Times New Roman"/>
          <w:bCs/>
          <w:kern w:val="0"/>
          <w14:ligatures w14:val="none"/>
        </w:rPr>
        <w:t>recomendó</w:t>
      </w:r>
      <w:r w:rsidR="00927D8A" w:rsidRPr="00927D8A">
        <w:rPr>
          <w:rFonts w:ascii="Book Antiqua" w:eastAsia="Times New Roman" w:hAnsi="Book Antiqua" w:cs="Times New Roman"/>
          <w:bCs/>
          <w:kern w:val="0"/>
          <w14:ligatures w14:val="none"/>
        </w:rPr>
        <w:t xml:space="preserve"> </w:t>
      </w:r>
      <w:r w:rsidR="00915E71">
        <w:rPr>
          <w:rFonts w:ascii="Book Antiqua" w:eastAsia="Times New Roman" w:hAnsi="Book Antiqua" w:cs="Times New Roman"/>
          <w:bCs/>
          <w:kern w:val="0"/>
          <w14:ligatures w14:val="none"/>
        </w:rPr>
        <w:t>no limitar la reforma</w:t>
      </w:r>
      <w:r w:rsidR="00927D8A" w:rsidRPr="00927D8A">
        <w:rPr>
          <w:rFonts w:ascii="Book Antiqua" w:eastAsia="Times New Roman" w:hAnsi="Book Antiqua" w:cs="Times New Roman"/>
          <w:bCs/>
          <w:kern w:val="0"/>
          <w14:ligatures w14:val="none"/>
        </w:rPr>
        <w:t xml:space="preserve"> únicamente al tema de reglamentación, sino </w:t>
      </w:r>
      <w:r w:rsidR="00915E71">
        <w:rPr>
          <w:rFonts w:ascii="Book Antiqua" w:eastAsia="Times New Roman" w:hAnsi="Book Antiqua" w:cs="Times New Roman"/>
          <w:bCs/>
          <w:kern w:val="0"/>
          <w14:ligatures w14:val="none"/>
        </w:rPr>
        <w:t>aprovechar</w:t>
      </w:r>
      <w:r w:rsidR="00927D8A" w:rsidRPr="00927D8A">
        <w:rPr>
          <w:rFonts w:ascii="Book Antiqua" w:eastAsia="Times New Roman" w:hAnsi="Book Antiqua" w:cs="Times New Roman"/>
          <w:bCs/>
          <w:kern w:val="0"/>
          <w14:ligatures w14:val="none"/>
        </w:rPr>
        <w:t xml:space="preserve"> la oportunidad para realizar una revisión más ampl</w:t>
      </w:r>
      <w:r w:rsidR="005F79B8">
        <w:rPr>
          <w:rFonts w:ascii="Book Antiqua" w:eastAsia="Times New Roman" w:hAnsi="Book Antiqua" w:cs="Times New Roman"/>
          <w:bCs/>
          <w:kern w:val="0"/>
          <w14:ligatures w14:val="none"/>
        </w:rPr>
        <w:t>í</w:t>
      </w:r>
      <w:r w:rsidR="00927D8A" w:rsidRPr="00927D8A">
        <w:rPr>
          <w:rFonts w:ascii="Book Antiqua" w:eastAsia="Times New Roman" w:hAnsi="Book Antiqua" w:cs="Times New Roman"/>
          <w:bCs/>
          <w:kern w:val="0"/>
          <w14:ligatures w14:val="none"/>
        </w:rPr>
        <w:t>a del Derecho Administrativo puertorriqueño, incluyendo adjudicación, investigación y licenciamiento.</w:t>
      </w:r>
      <w:r>
        <w:rPr>
          <w:rStyle w:val="FootnoteReference"/>
          <w:rFonts w:ascii="Book Antiqua" w:eastAsia="Times New Roman" w:hAnsi="Book Antiqua"/>
          <w:bCs/>
          <w:kern w:val="0"/>
          <w14:ligatures w14:val="none"/>
        </w:rPr>
        <w:footnoteReference w:id="69"/>
      </w:r>
      <w:r w:rsidR="00927D8A" w:rsidRPr="00927D8A">
        <w:rPr>
          <w:rFonts w:ascii="Book Antiqua" w:eastAsia="Times New Roman" w:hAnsi="Book Antiqua" w:cs="Times New Roman"/>
          <w:bCs/>
          <w:kern w:val="0"/>
          <w14:ligatures w14:val="none"/>
        </w:rPr>
        <w:t xml:space="preserve"> </w:t>
      </w:r>
      <w:r w:rsidR="00915E71">
        <w:rPr>
          <w:rFonts w:ascii="Book Antiqua" w:eastAsia="Times New Roman" w:hAnsi="Book Antiqua" w:cs="Times New Roman"/>
          <w:bCs/>
          <w:kern w:val="0"/>
          <w14:ligatures w14:val="none"/>
        </w:rPr>
        <w:t>Asimismo, advirtió</w:t>
      </w:r>
      <w:r w:rsidR="00927D8A" w:rsidRPr="00927D8A">
        <w:rPr>
          <w:rFonts w:ascii="Book Antiqua" w:eastAsia="Times New Roman" w:hAnsi="Book Antiqua" w:cs="Times New Roman"/>
          <w:bCs/>
          <w:kern w:val="0"/>
          <w14:ligatures w14:val="none"/>
        </w:rPr>
        <w:t xml:space="preserve"> que reformas fragmentadas pueden afectar la uniformidad y el equilibrio del sistema administrativo.</w:t>
      </w:r>
      <w:r>
        <w:rPr>
          <w:rStyle w:val="FootnoteReference"/>
          <w:rFonts w:ascii="Book Antiqua" w:eastAsia="Times New Roman" w:hAnsi="Book Antiqua"/>
          <w:bCs/>
          <w:kern w:val="0"/>
          <w14:ligatures w14:val="none"/>
        </w:rPr>
        <w:footnoteReference w:id="70"/>
      </w:r>
    </w:p>
    <w:p w14:paraId="2098858E" w14:textId="68CF13F8" w:rsidR="00927D8A" w:rsidRPr="00927D8A" w:rsidRDefault="00380CE0" w:rsidP="00DB44B5">
      <w:pPr>
        <w:spacing w:after="200" w:line="360" w:lineRule="auto"/>
        <w:ind w:firstLine="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En su exposición,</w:t>
      </w:r>
      <w:r w:rsidR="00927D8A" w:rsidRPr="00927D8A">
        <w:rPr>
          <w:rFonts w:ascii="Book Antiqua" w:eastAsia="Times New Roman" w:hAnsi="Book Antiqua" w:cs="Times New Roman"/>
          <w:bCs/>
          <w:kern w:val="0"/>
          <w14:ligatures w14:val="none"/>
        </w:rPr>
        <w:t xml:space="preserve"> favorec</w:t>
      </w:r>
      <w:r w:rsidR="005F79B8">
        <w:rPr>
          <w:rFonts w:ascii="Book Antiqua" w:eastAsia="Times New Roman" w:hAnsi="Book Antiqua" w:cs="Times New Roman"/>
          <w:bCs/>
          <w:kern w:val="0"/>
          <w14:ligatures w14:val="none"/>
        </w:rPr>
        <w:t>ió</w:t>
      </w:r>
      <w:r w:rsidR="00927D8A" w:rsidRPr="00927D8A">
        <w:rPr>
          <w:rFonts w:ascii="Book Antiqua" w:eastAsia="Times New Roman" w:hAnsi="Book Antiqua" w:cs="Times New Roman"/>
          <w:bCs/>
          <w:kern w:val="0"/>
          <w14:ligatures w14:val="none"/>
        </w:rPr>
        <w:t xml:space="preserve"> particularmente la creación del </w:t>
      </w:r>
      <w:r w:rsidR="00927D8A" w:rsidRPr="00380CE0">
        <w:rPr>
          <w:rFonts w:ascii="Book Antiqua" w:eastAsia="Times New Roman" w:hAnsi="Book Antiqua" w:cs="Times New Roman"/>
          <w:bCs/>
          <w:i/>
          <w:iCs/>
          <w:kern w:val="0"/>
          <w14:ligatures w14:val="none"/>
        </w:rPr>
        <w:t>Boletín de Reglamentos de Puerto Rico</w:t>
      </w:r>
      <w:r w:rsidR="00927D8A" w:rsidRPr="00927D8A">
        <w:rPr>
          <w:rFonts w:ascii="Book Antiqua" w:eastAsia="Times New Roman" w:hAnsi="Book Antiqua" w:cs="Times New Roman"/>
          <w:bCs/>
          <w:kern w:val="0"/>
          <w14:ligatures w14:val="none"/>
        </w:rPr>
        <w:t xml:space="preserve"> bajo la nueva Sección 2.2, indicando que el concepto ya existía de forma limitada en </w:t>
      </w:r>
      <w:r>
        <w:rPr>
          <w:rFonts w:ascii="Book Antiqua" w:eastAsia="Times New Roman" w:hAnsi="Book Antiqua" w:cs="Times New Roman"/>
          <w:bCs/>
          <w:kern w:val="0"/>
          <w14:ligatures w14:val="none"/>
        </w:rPr>
        <w:t>derogada</w:t>
      </w:r>
      <w:r w:rsidR="00927D8A" w:rsidRPr="00927D8A">
        <w:rPr>
          <w:rFonts w:ascii="Book Antiqua" w:eastAsia="Times New Roman" w:hAnsi="Book Antiqua" w:cs="Times New Roman"/>
          <w:bCs/>
          <w:kern w:val="0"/>
          <w14:ligatures w14:val="none"/>
        </w:rPr>
        <w:t xml:space="preserve"> Ley </w:t>
      </w:r>
      <w:r>
        <w:rPr>
          <w:rFonts w:ascii="Book Antiqua" w:eastAsia="Times New Roman" w:hAnsi="Book Antiqua" w:cs="Times New Roman"/>
          <w:bCs/>
          <w:kern w:val="0"/>
          <w14:ligatures w14:val="none"/>
        </w:rPr>
        <w:t xml:space="preserve">Núm. </w:t>
      </w:r>
      <w:r w:rsidR="00927D8A" w:rsidRPr="00915E71">
        <w:rPr>
          <w:rFonts w:ascii="Book Antiqua" w:eastAsia="Times New Roman" w:hAnsi="Book Antiqua" w:cs="Times New Roman"/>
          <w:bCs/>
          <w:kern w:val="0"/>
          <w14:ligatures w14:val="none"/>
        </w:rPr>
        <w:t>170 de</w:t>
      </w:r>
      <w:r w:rsidR="00915E71" w:rsidRPr="00915E71">
        <w:rPr>
          <w:rFonts w:ascii="Book Antiqua" w:eastAsia="Times New Roman" w:hAnsi="Book Antiqua" w:cs="Times New Roman"/>
          <w:bCs/>
          <w:kern w:val="0"/>
          <w14:ligatures w14:val="none"/>
        </w:rPr>
        <w:t xml:space="preserve"> 12 de agosto de</w:t>
      </w:r>
      <w:r w:rsidR="00927D8A" w:rsidRPr="00915E71">
        <w:rPr>
          <w:rFonts w:ascii="Book Antiqua" w:eastAsia="Times New Roman" w:hAnsi="Book Antiqua" w:cs="Times New Roman"/>
          <w:bCs/>
          <w:kern w:val="0"/>
          <w14:ligatures w14:val="none"/>
        </w:rPr>
        <w:t xml:space="preserve"> 1988</w:t>
      </w:r>
      <w:r w:rsidR="00927D8A" w:rsidRPr="00927D8A">
        <w:rPr>
          <w:rFonts w:ascii="Book Antiqua" w:eastAsia="Times New Roman" w:hAnsi="Book Antiqua" w:cs="Times New Roman"/>
          <w:bCs/>
          <w:kern w:val="0"/>
          <w14:ligatures w14:val="none"/>
        </w:rPr>
        <w:t>,</w:t>
      </w:r>
      <w:r>
        <w:rPr>
          <w:rFonts w:ascii="Book Antiqua" w:eastAsia="Times New Roman" w:hAnsi="Book Antiqua" w:cs="Times New Roman"/>
          <w:bCs/>
          <w:kern w:val="0"/>
          <w14:ligatures w14:val="none"/>
        </w:rPr>
        <w:t xml:space="preserve"> según enmendada, conocida como </w:t>
      </w:r>
      <w:r w:rsidRPr="00380CE0">
        <w:rPr>
          <w:rFonts w:ascii="Book Antiqua" w:eastAsia="Times New Roman" w:hAnsi="Book Antiqua" w:cs="Times New Roman"/>
          <w:bCs/>
          <w:i/>
          <w:iCs/>
          <w:kern w:val="0"/>
          <w14:ligatures w14:val="none"/>
        </w:rPr>
        <w:t>Ley de Procedimiento Administrativo Uniforme del Estado Libre Asociado de Puerto Rico</w:t>
      </w:r>
      <w:r w:rsidR="005F79B8">
        <w:rPr>
          <w:rStyle w:val="FootnoteReference"/>
          <w:rFonts w:ascii="Book Antiqua" w:eastAsia="Times New Roman" w:hAnsi="Book Antiqua"/>
          <w:bCs/>
          <w:i/>
          <w:iCs/>
          <w:kern w:val="0"/>
          <w14:ligatures w14:val="none"/>
        </w:rPr>
        <w:footnoteReference w:id="71"/>
      </w:r>
      <w:r>
        <w:rPr>
          <w:rFonts w:ascii="Book Antiqua" w:eastAsia="Times New Roman" w:hAnsi="Book Antiqua" w:cs="Times New Roman"/>
          <w:bCs/>
          <w:kern w:val="0"/>
          <w14:ligatures w14:val="none"/>
        </w:rPr>
        <w:t>,</w:t>
      </w:r>
      <w:r w:rsidR="00927D8A" w:rsidRPr="00927D8A">
        <w:rPr>
          <w:rFonts w:ascii="Book Antiqua" w:eastAsia="Times New Roman" w:hAnsi="Book Antiqua" w:cs="Times New Roman"/>
          <w:bCs/>
          <w:kern w:val="0"/>
          <w14:ligatures w14:val="none"/>
        </w:rPr>
        <w:t xml:space="preserve"> pero que el proyecto amplía significativamente su legitimidad y utilidad como mecanismo de divulgación pública.</w:t>
      </w:r>
      <w:r>
        <w:rPr>
          <w:rStyle w:val="FootnoteReference"/>
          <w:rFonts w:ascii="Book Antiqua" w:eastAsia="Times New Roman" w:hAnsi="Book Antiqua"/>
          <w:bCs/>
          <w:kern w:val="0"/>
          <w14:ligatures w14:val="none"/>
        </w:rPr>
        <w:footnoteReference w:id="72"/>
      </w:r>
    </w:p>
    <w:p w14:paraId="293845CC" w14:textId="6D0759A7" w:rsidR="00927D8A" w:rsidRPr="00927D8A" w:rsidRDefault="00927D8A" w:rsidP="00DB44B5">
      <w:pPr>
        <w:spacing w:after="200" w:line="360" w:lineRule="auto"/>
        <w:ind w:firstLine="720"/>
        <w:contextualSpacing/>
        <w:jc w:val="both"/>
        <w:rPr>
          <w:rFonts w:ascii="Book Antiqua" w:eastAsia="Times New Roman" w:hAnsi="Book Antiqua" w:cs="Times New Roman"/>
          <w:bCs/>
          <w:kern w:val="0"/>
          <w14:ligatures w14:val="none"/>
        </w:rPr>
      </w:pPr>
      <w:r w:rsidRPr="00927D8A">
        <w:rPr>
          <w:rFonts w:ascii="Book Antiqua" w:eastAsia="Times New Roman" w:hAnsi="Book Antiqua" w:cs="Times New Roman"/>
          <w:bCs/>
          <w:kern w:val="0"/>
          <w14:ligatures w14:val="none"/>
        </w:rPr>
        <w:t xml:space="preserve">Respecto al </w:t>
      </w:r>
      <w:r w:rsidRPr="002F48BC">
        <w:rPr>
          <w:rFonts w:ascii="Book Antiqua" w:eastAsia="Times New Roman" w:hAnsi="Book Antiqua" w:cs="Times New Roman"/>
          <w:bCs/>
          <w:i/>
          <w:iCs/>
          <w:kern w:val="0"/>
          <w14:ligatures w14:val="none"/>
        </w:rPr>
        <w:t>Código de Reglamentos de Puerto Rico</w:t>
      </w:r>
      <w:r w:rsidRPr="00927D8A">
        <w:rPr>
          <w:rFonts w:ascii="Book Antiqua" w:eastAsia="Times New Roman" w:hAnsi="Book Antiqua" w:cs="Times New Roman"/>
          <w:bCs/>
          <w:kern w:val="0"/>
          <w14:ligatures w14:val="none"/>
        </w:rPr>
        <w:t xml:space="preserve">, </w:t>
      </w:r>
      <w:r w:rsidR="002F48BC">
        <w:rPr>
          <w:rFonts w:ascii="Book Antiqua" w:eastAsia="Times New Roman" w:hAnsi="Book Antiqua" w:cs="Times New Roman"/>
          <w:bCs/>
          <w:kern w:val="0"/>
          <w14:ligatures w14:val="none"/>
        </w:rPr>
        <w:t>consideró</w:t>
      </w:r>
      <w:r w:rsidRPr="00927D8A">
        <w:rPr>
          <w:rFonts w:ascii="Book Antiqua" w:eastAsia="Times New Roman" w:hAnsi="Book Antiqua" w:cs="Times New Roman"/>
          <w:bCs/>
          <w:kern w:val="0"/>
          <w14:ligatures w14:val="none"/>
        </w:rPr>
        <w:t xml:space="preserve"> </w:t>
      </w:r>
      <w:r w:rsidR="002F48BC">
        <w:rPr>
          <w:rFonts w:ascii="Book Antiqua" w:eastAsia="Times New Roman" w:hAnsi="Book Antiqua" w:cs="Times New Roman"/>
          <w:bCs/>
          <w:kern w:val="0"/>
          <w14:ligatures w14:val="none"/>
        </w:rPr>
        <w:t xml:space="preserve">que </w:t>
      </w:r>
      <w:r w:rsidRPr="00927D8A">
        <w:rPr>
          <w:rFonts w:ascii="Book Antiqua" w:eastAsia="Times New Roman" w:hAnsi="Book Antiqua" w:cs="Times New Roman"/>
          <w:bCs/>
          <w:kern w:val="0"/>
          <w14:ligatures w14:val="none"/>
        </w:rPr>
        <w:t>la Sección 2.3 fortalece la obligación del Secretario de Estado de compilar, codificar y publicar reglamentos, transformando lo que antes era una facultad discrecional en una obligación ministerial.</w:t>
      </w:r>
      <w:r w:rsidR="002F48BC">
        <w:rPr>
          <w:rStyle w:val="FootnoteReference"/>
          <w:rFonts w:ascii="Book Antiqua" w:eastAsia="Times New Roman" w:hAnsi="Book Antiqua"/>
          <w:bCs/>
          <w:kern w:val="0"/>
          <w14:ligatures w14:val="none"/>
        </w:rPr>
        <w:footnoteReference w:id="73"/>
      </w:r>
      <w:r w:rsidR="00380CE0">
        <w:rPr>
          <w:rFonts w:ascii="Book Antiqua" w:eastAsia="Times New Roman" w:hAnsi="Book Antiqua" w:cs="Times New Roman"/>
          <w:bCs/>
          <w:kern w:val="0"/>
          <w14:ligatures w14:val="none"/>
        </w:rPr>
        <w:t xml:space="preserve"> Con</w:t>
      </w:r>
      <w:r w:rsidRPr="00927D8A">
        <w:rPr>
          <w:rFonts w:ascii="Book Antiqua" w:eastAsia="Times New Roman" w:hAnsi="Book Antiqua" w:cs="Times New Roman"/>
          <w:bCs/>
          <w:kern w:val="0"/>
          <w14:ligatures w14:val="none"/>
        </w:rPr>
        <w:t xml:space="preserve"> relación con la nueva Sección 2.4 sobre notificación pública, el documento sostiene que la incorporación del </w:t>
      </w:r>
      <w:r w:rsidRPr="00B5572D">
        <w:rPr>
          <w:rFonts w:ascii="Book Antiqua" w:eastAsia="Times New Roman" w:hAnsi="Book Antiqua" w:cs="Times New Roman"/>
          <w:bCs/>
          <w:i/>
          <w:iCs/>
          <w:kern w:val="0"/>
          <w14:ligatures w14:val="none"/>
        </w:rPr>
        <w:t>Boletín de Reglamentos</w:t>
      </w:r>
      <w:r w:rsidRPr="00927D8A">
        <w:rPr>
          <w:rFonts w:ascii="Book Antiqua" w:eastAsia="Times New Roman" w:hAnsi="Book Antiqua" w:cs="Times New Roman"/>
          <w:bCs/>
          <w:kern w:val="0"/>
          <w14:ligatures w14:val="none"/>
        </w:rPr>
        <w:t xml:space="preserve"> hace viable sustituir los mecanismos tradicionales de notificación en periódicos impresos y emisoras radiales.</w:t>
      </w:r>
      <w:r w:rsidR="00380CE0">
        <w:rPr>
          <w:rStyle w:val="FootnoteReference"/>
          <w:rFonts w:ascii="Book Antiqua" w:eastAsia="Times New Roman" w:hAnsi="Book Antiqua"/>
          <w:bCs/>
          <w:kern w:val="0"/>
          <w14:ligatures w14:val="none"/>
        </w:rPr>
        <w:footnoteReference w:id="74"/>
      </w:r>
    </w:p>
    <w:p w14:paraId="56B3F9FC" w14:textId="1239EB9D" w:rsidR="00927D8A" w:rsidRPr="00927D8A" w:rsidRDefault="00927D8A" w:rsidP="00DB44B5">
      <w:pPr>
        <w:spacing w:after="0" w:line="360" w:lineRule="auto"/>
        <w:ind w:firstLine="720"/>
        <w:contextualSpacing/>
        <w:jc w:val="both"/>
        <w:rPr>
          <w:rFonts w:ascii="Book Antiqua" w:eastAsia="Times New Roman" w:hAnsi="Book Antiqua" w:cs="Times New Roman"/>
          <w:bCs/>
          <w:kern w:val="0"/>
          <w14:ligatures w14:val="none"/>
        </w:rPr>
      </w:pPr>
      <w:r w:rsidRPr="00927D8A">
        <w:rPr>
          <w:rFonts w:ascii="Book Antiqua" w:eastAsia="Times New Roman" w:hAnsi="Book Antiqua" w:cs="Times New Roman"/>
          <w:bCs/>
          <w:kern w:val="0"/>
          <w14:ligatures w14:val="none"/>
        </w:rPr>
        <w:lastRenderedPageBreak/>
        <w:t xml:space="preserve">Sobre participación ciudadana, el </w:t>
      </w:r>
      <w:r w:rsidR="00380CE0">
        <w:rPr>
          <w:rFonts w:ascii="Book Antiqua" w:eastAsia="Times New Roman" w:hAnsi="Book Antiqua" w:cs="Times New Roman"/>
          <w:bCs/>
          <w:kern w:val="0"/>
          <w14:ligatures w14:val="none"/>
        </w:rPr>
        <w:t xml:space="preserve">Prof. Echevarría Vargas </w:t>
      </w:r>
      <w:r w:rsidRPr="00927D8A">
        <w:rPr>
          <w:rFonts w:ascii="Book Antiqua" w:eastAsia="Times New Roman" w:hAnsi="Book Antiqua" w:cs="Times New Roman"/>
          <w:bCs/>
          <w:kern w:val="0"/>
          <w14:ligatures w14:val="none"/>
        </w:rPr>
        <w:t>recomend</w:t>
      </w:r>
      <w:r w:rsidR="00380CE0">
        <w:rPr>
          <w:rFonts w:ascii="Book Antiqua" w:eastAsia="Times New Roman" w:hAnsi="Book Antiqua" w:cs="Times New Roman"/>
          <w:bCs/>
          <w:kern w:val="0"/>
          <w14:ligatures w14:val="none"/>
        </w:rPr>
        <w:t>ó</w:t>
      </w:r>
      <w:r w:rsidRPr="00927D8A">
        <w:rPr>
          <w:rFonts w:ascii="Book Antiqua" w:eastAsia="Times New Roman" w:hAnsi="Book Antiqua" w:cs="Times New Roman"/>
          <w:bCs/>
          <w:kern w:val="0"/>
          <w14:ligatures w14:val="none"/>
        </w:rPr>
        <w:t xml:space="preserve"> que las vistas públicas </w:t>
      </w:r>
      <w:r w:rsidR="00D335D7">
        <w:rPr>
          <w:rFonts w:ascii="Book Antiqua" w:eastAsia="Times New Roman" w:hAnsi="Book Antiqua" w:cs="Times New Roman"/>
          <w:bCs/>
          <w:kern w:val="0"/>
          <w14:ligatures w14:val="none"/>
        </w:rPr>
        <w:t xml:space="preserve">fuesen </w:t>
      </w:r>
      <w:r w:rsidR="00B33167">
        <w:rPr>
          <w:rFonts w:ascii="Book Antiqua" w:eastAsia="Times New Roman" w:hAnsi="Book Antiqua" w:cs="Times New Roman"/>
          <w:bCs/>
          <w:kern w:val="0"/>
          <w14:ligatures w14:val="none"/>
        </w:rPr>
        <w:t>indispensables</w:t>
      </w:r>
      <w:r w:rsidRPr="00927D8A">
        <w:rPr>
          <w:rFonts w:ascii="Book Antiqua" w:eastAsia="Times New Roman" w:hAnsi="Book Antiqua" w:cs="Times New Roman"/>
          <w:bCs/>
          <w:kern w:val="0"/>
          <w14:ligatures w14:val="none"/>
        </w:rPr>
        <w:t>, enfatizando que la participación ciudadana constituye uno de los elementos más importantes del proceso reglamentario.</w:t>
      </w:r>
      <w:r w:rsidR="00380CE0">
        <w:rPr>
          <w:rStyle w:val="FootnoteReference"/>
          <w:rFonts w:ascii="Book Antiqua" w:eastAsia="Times New Roman" w:hAnsi="Book Antiqua"/>
          <w:bCs/>
          <w:kern w:val="0"/>
          <w14:ligatures w14:val="none"/>
        </w:rPr>
        <w:footnoteReference w:id="75"/>
      </w:r>
      <w:r w:rsidRPr="00927D8A">
        <w:rPr>
          <w:rFonts w:ascii="Book Antiqua" w:eastAsia="Times New Roman" w:hAnsi="Book Antiqua" w:cs="Times New Roman"/>
          <w:bCs/>
          <w:kern w:val="0"/>
          <w14:ligatures w14:val="none"/>
        </w:rPr>
        <w:t xml:space="preserve"> Además, critic</w:t>
      </w:r>
      <w:r w:rsidR="00380CE0">
        <w:rPr>
          <w:rFonts w:ascii="Book Antiqua" w:eastAsia="Times New Roman" w:hAnsi="Book Antiqua" w:cs="Times New Roman"/>
          <w:bCs/>
          <w:kern w:val="0"/>
          <w14:ligatures w14:val="none"/>
        </w:rPr>
        <w:t>ó</w:t>
      </w:r>
      <w:r w:rsidRPr="00927D8A">
        <w:rPr>
          <w:rFonts w:ascii="Book Antiqua" w:eastAsia="Times New Roman" w:hAnsi="Book Antiqua" w:cs="Times New Roman"/>
          <w:bCs/>
          <w:kern w:val="0"/>
          <w14:ligatures w14:val="none"/>
        </w:rPr>
        <w:t xml:space="preserve"> que el proyecto limite la posibilidad de solicitar vistas públicas únicamente a personas “sustancialmente afectadas”, pues entiende que ello crea requisitos innecesarios de legitimación activa y restringe indebidamente la participación pública.</w:t>
      </w:r>
      <w:r w:rsidR="00380CE0">
        <w:rPr>
          <w:rStyle w:val="FootnoteReference"/>
          <w:rFonts w:ascii="Book Antiqua" w:eastAsia="Times New Roman" w:hAnsi="Book Antiqua"/>
          <w:bCs/>
          <w:kern w:val="0"/>
          <w14:ligatures w14:val="none"/>
        </w:rPr>
        <w:footnoteReference w:id="76"/>
      </w:r>
      <w:r w:rsidR="00380CE0">
        <w:rPr>
          <w:rFonts w:ascii="Book Antiqua" w:eastAsia="Times New Roman" w:hAnsi="Book Antiqua" w:cs="Times New Roman"/>
          <w:bCs/>
          <w:kern w:val="0"/>
          <w14:ligatures w14:val="none"/>
        </w:rPr>
        <w:t xml:space="preserve"> Por otra parte,</w:t>
      </w:r>
      <w:r w:rsidRPr="00927D8A">
        <w:rPr>
          <w:rFonts w:ascii="Book Antiqua" w:eastAsia="Times New Roman" w:hAnsi="Book Antiqua" w:cs="Times New Roman"/>
          <w:bCs/>
          <w:kern w:val="0"/>
          <w14:ligatures w14:val="none"/>
        </w:rPr>
        <w:t xml:space="preserve"> objeta referencias específicas a categorías de participantes —como sector privado, tercer sector u organizaciones sin fines de lucro— al considerar que podrían interpretarse como requisitos de legitimación.</w:t>
      </w:r>
      <w:r w:rsidR="00380CE0">
        <w:rPr>
          <w:rStyle w:val="FootnoteReference"/>
          <w:rFonts w:ascii="Book Antiqua" w:eastAsia="Times New Roman" w:hAnsi="Book Antiqua"/>
          <w:bCs/>
          <w:kern w:val="0"/>
          <w14:ligatures w14:val="none"/>
        </w:rPr>
        <w:footnoteReference w:id="77"/>
      </w:r>
      <w:r w:rsidRPr="00927D8A">
        <w:rPr>
          <w:rFonts w:ascii="Book Antiqua" w:eastAsia="Times New Roman" w:hAnsi="Book Antiqua" w:cs="Times New Roman"/>
          <w:bCs/>
          <w:kern w:val="0"/>
          <w14:ligatures w14:val="none"/>
        </w:rPr>
        <w:t xml:space="preserve"> Por ello recomienda utilizar lenguaje más amplio.</w:t>
      </w:r>
      <w:r w:rsidR="00380CE0">
        <w:rPr>
          <w:rStyle w:val="FootnoteReference"/>
          <w:rFonts w:ascii="Book Antiqua" w:eastAsia="Times New Roman" w:hAnsi="Book Antiqua"/>
          <w:bCs/>
          <w:kern w:val="0"/>
          <w14:ligatures w14:val="none"/>
        </w:rPr>
        <w:footnoteReference w:id="78"/>
      </w:r>
    </w:p>
    <w:p w14:paraId="11121678" w14:textId="69D66AA9" w:rsidR="00927D8A" w:rsidRPr="00927D8A" w:rsidRDefault="00927D8A" w:rsidP="00DB44B5">
      <w:pPr>
        <w:spacing w:after="0" w:line="360" w:lineRule="auto"/>
        <w:ind w:firstLine="720"/>
        <w:contextualSpacing/>
        <w:jc w:val="both"/>
        <w:rPr>
          <w:rFonts w:ascii="Book Antiqua" w:eastAsia="Times New Roman" w:hAnsi="Book Antiqua" w:cs="Times New Roman"/>
          <w:bCs/>
          <w:kern w:val="0"/>
          <w14:ligatures w14:val="none"/>
        </w:rPr>
      </w:pPr>
      <w:r w:rsidRPr="00927D8A">
        <w:rPr>
          <w:rFonts w:ascii="Book Antiqua" w:eastAsia="Times New Roman" w:hAnsi="Book Antiqua" w:cs="Times New Roman"/>
          <w:bCs/>
          <w:kern w:val="0"/>
          <w14:ligatures w14:val="none"/>
        </w:rPr>
        <w:t xml:space="preserve">En cuanto a la </w:t>
      </w:r>
      <w:r w:rsidRPr="00380CE0">
        <w:rPr>
          <w:rFonts w:ascii="Book Antiqua" w:eastAsia="Times New Roman" w:hAnsi="Book Antiqua" w:cs="Times New Roman"/>
          <w:bCs/>
          <w:i/>
          <w:iCs/>
          <w:kern w:val="0"/>
          <w14:ligatures w14:val="none"/>
        </w:rPr>
        <w:t>Declaración de Costos Estimados (DCE)</w:t>
      </w:r>
      <w:r w:rsidRPr="00927D8A">
        <w:rPr>
          <w:rFonts w:ascii="Book Antiqua" w:eastAsia="Times New Roman" w:hAnsi="Book Antiqua" w:cs="Times New Roman"/>
          <w:bCs/>
          <w:kern w:val="0"/>
          <w14:ligatures w14:val="none"/>
        </w:rPr>
        <w:t xml:space="preserve">, </w:t>
      </w:r>
      <w:r w:rsidR="00380CE0">
        <w:rPr>
          <w:rFonts w:ascii="Book Antiqua" w:eastAsia="Times New Roman" w:hAnsi="Book Antiqua" w:cs="Times New Roman"/>
          <w:bCs/>
          <w:kern w:val="0"/>
          <w14:ligatures w14:val="none"/>
        </w:rPr>
        <w:t>el profesor</w:t>
      </w:r>
      <w:r w:rsidRPr="00927D8A">
        <w:rPr>
          <w:rFonts w:ascii="Book Antiqua" w:eastAsia="Times New Roman" w:hAnsi="Book Antiqua" w:cs="Times New Roman"/>
          <w:bCs/>
          <w:kern w:val="0"/>
          <w14:ligatures w14:val="none"/>
        </w:rPr>
        <w:t xml:space="preserve"> </w:t>
      </w:r>
      <w:r w:rsidR="00380CE0">
        <w:rPr>
          <w:rFonts w:ascii="Book Antiqua" w:eastAsia="Times New Roman" w:hAnsi="Book Antiqua" w:cs="Times New Roman"/>
          <w:bCs/>
          <w:kern w:val="0"/>
          <w14:ligatures w14:val="none"/>
        </w:rPr>
        <w:t>recomendó</w:t>
      </w:r>
      <w:r w:rsidRPr="00927D8A">
        <w:rPr>
          <w:rFonts w:ascii="Book Antiqua" w:eastAsia="Times New Roman" w:hAnsi="Book Antiqua" w:cs="Times New Roman"/>
          <w:bCs/>
          <w:kern w:val="0"/>
          <w14:ligatures w14:val="none"/>
        </w:rPr>
        <w:t xml:space="preserve"> eliminar la referencia a “reglamentos provisionales”, ya que dicha categoría no existe actualmente en la LPAU.</w:t>
      </w:r>
      <w:r w:rsidR="00380CE0">
        <w:rPr>
          <w:rStyle w:val="FootnoteReference"/>
          <w:rFonts w:ascii="Book Antiqua" w:eastAsia="Times New Roman" w:hAnsi="Book Antiqua"/>
          <w:bCs/>
          <w:kern w:val="0"/>
          <w14:ligatures w14:val="none"/>
        </w:rPr>
        <w:footnoteReference w:id="79"/>
      </w:r>
      <w:r w:rsidRPr="00927D8A">
        <w:rPr>
          <w:rFonts w:ascii="Book Antiqua" w:eastAsia="Times New Roman" w:hAnsi="Book Antiqua" w:cs="Times New Roman"/>
          <w:bCs/>
          <w:kern w:val="0"/>
          <w14:ligatures w14:val="none"/>
        </w:rPr>
        <w:t xml:space="preserve"> Asimismo, consider</w:t>
      </w:r>
      <w:r w:rsidR="00380CE0">
        <w:rPr>
          <w:rFonts w:ascii="Book Antiqua" w:eastAsia="Times New Roman" w:hAnsi="Book Antiqua" w:cs="Times New Roman"/>
          <w:bCs/>
          <w:kern w:val="0"/>
          <w14:ligatures w14:val="none"/>
        </w:rPr>
        <w:t>ó</w:t>
      </w:r>
      <w:r w:rsidRPr="00927D8A">
        <w:rPr>
          <w:rFonts w:ascii="Book Antiqua" w:eastAsia="Times New Roman" w:hAnsi="Book Antiqua" w:cs="Times New Roman"/>
          <w:bCs/>
          <w:kern w:val="0"/>
          <w14:ligatures w14:val="none"/>
        </w:rPr>
        <w:t xml:space="preserve"> innecesaria la exclusión de reglamentos internos de la obligación de preparar una DCE, porque dichos reglamentos ya están exentos de la LPAU bajo la Sección 1.3.</w:t>
      </w:r>
      <w:r w:rsidR="00380CE0">
        <w:rPr>
          <w:rStyle w:val="FootnoteReference"/>
          <w:rFonts w:ascii="Book Antiqua" w:eastAsia="Times New Roman" w:hAnsi="Book Antiqua"/>
          <w:bCs/>
          <w:kern w:val="0"/>
          <w14:ligatures w14:val="none"/>
        </w:rPr>
        <w:footnoteReference w:id="80"/>
      </w:r>
      <w:r w:rsidR="00380CE0">
        <w:rPr>
          <w:rFonts w:ascii="Book Antiqua" w:eastAsia="Times New Roman" w:hAnsi="Book Antiqua" w:cs="Times New Roman"/>
          <w:bCs/>
          <w:kern w:val="0"/>
          <w14:ligatures w14:val="none"/>
        </w:rPr>
        <w:t xml:space="preserve"> </w:t>
      </w:r>
    </w:p>
    <w:p w14:paraId="1DED20DE" w14:textId="77777777" w:rsidR="00DB44B5" w:rsidRDefault="00380CE0" w:rsidP="00DB44B5">
      <w:pPr>
        <w:spacing w:after="200" w:line="360" w:lineRule="auto"/>
        <w:ind w:firstLine="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Con relación a la</w:t>
      </w:r>
      <w:r w:rsidR="00927D8A" w:rsidRPr="00927D8A">
        <w:rPr>
          <w:rFonts w:ascii="Book Antiqua" w:eastAsia="Times New Roman" w:hAnsi="Book Antiqua" w:cs="Times New Roman"/>
          <w:bCs/>
          <w:kern w:val="0"/>
          <w14:ligatures w14:val="none"/>
        </w:rPr>
        <w:t xml:space="preserve"> Reglamentación Negociada (</w:t>
      </w:r>
      <w:r w:rsidR="00927D8A" w:rsidRPr="00380CE0">
        <w:rPr>
          <w:rFonts w:ascii="Book Antiqua" w:eastAsia="Times New Roman" w:hAnsi="Book Antiqua" w:cs="Times New Roman"/>
          <w:bCs/>
          <w:i/>
          <w:iCs/>
          <w:kern w:val="0"/>
          <w14:ligatures w14:val="none"/>
        </w:rPr>
        <w:t>Negotiated Rulemaking</w:t>
      </w:r>
      <w:r w:rsidR="00927D8A" w:rsidRPr="00927D8A">
        <w:rPr>
          <w:rFonts w:ascii="Book Antiqua" w:eastAsia="Times New Roman" w:hAnsi="Book Antiqua" w:cs="Times New Roman"/>
          <w:bCs/>
          <w:kern w:val="0"/>
          <w14:ligatures w14:val="none"/>
        </w:rPr>
        <w:t>), incorporada mediante la propuesta Sección 2.8</w:t>
      </w:r>
      <w:r>
        <w:rPr>
          <w:rFonts w:ascii="Book Antiqua" w:eastAsia="Times New Roman" w:hAnsi="Book Antiqua" w:cs="Times New Roman"/>
          <w:bCs/>
          <w:kern w:val="0"/>
          <w14:ligatures w14:val="none"/>
        </w:rPr>
        <w:t xml:space="preserve">, reconoció </w:t>
      </w:r>
      <w:r w:rsidR="00927D8A" w:rsidRPr="00927D8A">
        <w:rPr>
          <w:rFonts w:ascii="Book Antiqua" w:eastAsia="Times New Roman" w:hAnsi="Book Antiqua" w:cs="Times New Roman"/>
          <w:bCs/>
          <w:kern w:val="0"/>
          <w14:ligatures w14:val="none"/>
        </w:rPr>
        <w:t>que el mecanismo busca permitir la elaboración consensuada de reglamentos con participación directa de sectores interesados.</w:t>
      </w:r>
      <w:r w:rsidR="00422BB7">
        <w:rPr>
          <w:rStyle w:val="FootnoteReference"/>
          <w:rFonts w:ascii="Book Antiqua" w:eastAsia="Times New Roman" w:hAnsi="Book Antiqua"/>
          <w:bCs/>
          <w:kern w:val="0"/>
          <w14:ligatures w14:val="none"/>
        </w:rPr>
        <w:footnoteReference w:id="81"/>
      </w:r>
      <w:r w:rsidR="00927D8A" w:rsidRPr="00927D8A">
        <w:rPr>
          <w:rFonts w:ascii="Book Antiqua" w:eastAsia="Times New Roman" w:hAnsi="Book Antiqua" w:cs="Times New Roman"/>
          <w:bCs/>
          <w:kern w:val="0"/>
          <w14:ligatures w14:val="none"/>
        </w:rPr>
        <w:t xml:space="preserve"> Sin embargo, </w:t>
      </w:r>
      <w:r w:rsidRPr="00927D8A">
        <w:rPr>
          <w:rFonts w:ascii="Book Antiqua" w:eastAsia="Times New Roman" w:hAnsi="Book Antiqua" w:cs="Times New Roman"/>
          <w:bCs/>
          <w:kern w:val="0"/>
          <w14:ligatures w14:val="none"/>
        </w:rPr>
        <w:t>advirti</w:t>
      </w:r>
      <w:r>
        <w:rPr>
          <w:rFonts w:ascii="Book Antiqua" w:eastAsia="Times New Roman" w:hAnsi="Book Antiqua" w:cs="Times New Roman"/>
          <w:bCs/>
          <w:kern w:val="0"/>
          <w14:ligatures w14:val="none"/>
        </w:rPr>
        <w:t>ó</w:t>
      </w:r>
      <w:r w:rsidR="00927D8A" w:rsidRPr="00927D8A">
        <w:rPr>
          <w:rFonts w:ascii="Book Antiqua" w:eastAsia="Times New Roman" w:hAnsi="Book Antiqua" w:cs="Times New Roman"/>
          <w:bCs/>
          <w:kern w:val="0"/>
          <w14:ligatures w14:val="none"/>
        </w:rPr>
        <w:t xml:space="preserve"> que el modelo </w:t>
      </w:r>
      <w:r>
        <w:rPr>
          <w:rFonts w:ascii="Book Antiqua" w:eastAsia="Times New Roman" w:hAnsi="Book Antiqua" w:cs="Times New Roman"/>
          <w:bCs/>
          <w:kern w:val="0"/>
          <w14:ligatures w14:val="none"/>
        </w:rPr>
        <w:t>generó</w:t>
      </w:r>
      <w:r w:rsidR="00927D8A" w:rsidRPr="00927D8A">
        <w:rPr>
          <w:rFonts w:ascii="Book Antiqua" w:eastAsia="Times New Roman" w:hAnsi="Book Antiqua" w:cs="Times New Roman"/>
          <w:bCs/>
          <w:kern w:val="0"/>
          <w14:ligatures w14:val="none"/>
        </w:rPr>
        <w:t xml:space="preserve"> críticas en Estados Unidos, particularmente relacionadas con delegación de poderes y posible subordinación a intereses particulares. Además, señala que la utilización del mecanismo federal bajo la </w:t>
      </w:r>
      <w:r w:rsidR="00927D8A" w:rsidRPr="00380CE0">
        <w:rPr>
          <w:rFonts w:ascii="Book Antiqua" w:eastAsia="Times New Roman" w:hAnsi="Book Antiqua" w:cs="Times New Roman"/>
          <w:bCs/>
          <w:i/>
          <w:iCs/>
          <w:kern w:val="0"/>
          <w14:ligatures w14:val="none"/>
        </w:rPr>
        <w:t>Negotiated Rulemaking Act</w:t>
      </w:r>
      <w:r w:rsidR="00927D8A" w:rsidRPr="00927D8A">
        <w:rPr>
          <w:rFonts w:ascii="Book Antiqua" w:eastAsia="Times New Roman" w:hAnsi="Book Antiqua" w:cs="Times New Roman"/>
          <w:bCs/>
          <w:kern w:val="0"/>
          <w14:ligatures w14:val="none"/>
        </w:rPr>
        <w:t xml:space="preserve"> de 1990 </w:t>
      </w:r>
      <w:r w:rsidR="00422BB7">
        <w:rPr>
          <w:rFonts w:ascii="Book Antiqua" w:eastAsia="Times New Roman" w:hAnsi="Book Antiqua" w:cs="Times New Roman"/>
          <w:bCs/>
          <w:kern w:val="0"/>
          <w14:ligatures w14:val="none"/>
        </w:rPr>
        <w:t>disminuyó</w:t>
      </w:r>
      <w:r w:rsidR="00927D8A" w:rsidRPr="00927D8A">
        <w:rPr>
          <w:rFonts w:ascii="Book Antiqua" w:eastAsia="Times New Roman" w:hAnsi="Book Antiqua" w:cs="Times New Roman"/>
          <w:bCs/>
          <w:kern w:val="0"/>
          <w14:ligatures w14:val="none"/>
        </w:rPr>
        <w:t xml:space="preserve"> significativamente con el tiempo.</w:t>
      </w:r>
      <w:r w:rsidR="00422BB7">
        <w:rPr>
          <w:rStyle w:val="FootnoteReference"/>
          <w:rFonts w:ascii="Book Antiqua" w:eastAsia="Times New Roman" w:hAnsi="Book Antiqua"/>
          <w:bCs/>
          <w:kern w:val="0"/>
          <w14:ligatures w14:val="none"/>
        </w:rPr>
        <w:footnoteReference w:id="82"/>
      </w:r>
    </w:p>
    <w:p w14:paraId="3A58F3C3" w14:textId="1ACB522C" w:rsidR="00380CE0" w:rsidRDefault="00DB44B5" w:rsidP="00DB44B5">
      <w:pPr>
        <w:spacing w:after="200" w:line="360" w:lineRule="auto"/>
        <w:ind w:firstLine="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lastRenderedPageBreak/>
        <w:t>Por otra parte, el profesor criticó</w:t>
      </w:r>
      <w:r w:rsidR="00927D8A" w:rsidRPr="00927D8A">
        <w:rPr>
          <w:rFonts w:ascii="Book Antiqua" w:eastAsia="Times New Roman" w:hAnsi="Book Antiqua" w:cs="Times New Roman"/>
          <w:bCs/>
          <w:kern w:val="0"/>
          <w14:ligatures w14:val="none"/>
        </w:rPr>
        <w:t xml:space="preserve"> las disposiciones sobre reglamentos de emergencia contenidas en la propuesta Sección 2.14.</w:t>
      </w:r>
      <w:r w:rsidR="00422BB7">
        <w:rPr>
          <w:rStyle w:val="FootnoteReference"/>
          <w:rFonts w:ascii="Book Antiqua" w:eastAsia="Times New Roman" w:hAnsi="Book Antiqua"/>
          <w:bCs/>
          <w:kern w:val="0"/>
          <w14:ligatures w14:val="none"/>
        </w:rPr>
        <w:footnoteReference w:id="83"/>
      </w:r>
      <w:r>
        <w:rPr>
          <w:rFonts w:ascii="Book Antiqua" w:eastAsia="Times New Roman" w:hAnsi="Book Antiqua" w:cs="Times New Roman"/>
          <w:bCs/>
          <w:kern w:val="0"/>
          <w14:ligatures w14:val="none"/>
        </w:rPr>
        <w:t xml:space="preserve"> Particularmente, apuntaló vigencia establecida de </w:t>
      </w:r>
      <w:r w:rsidR="00927D8A" w:rsidRPr="00927D8A">
        <w:rPr>
          <w:rFonts w:ascii="Book Antiqua" w:eastAsia="Times New Roman" w:hAnsi="Book Antiqua" w:cs="Times New Roman"/>
          <w:bCs/>
          <w:kern w:val="0"/>
          <w14:ligatures w14:val="none"/>
        </w:rPr>
        <w:t>“mientras dure la emergencia”, argumentando que ello puede generar controversias sobre cuándo realmente termina una emergencia.</w:t>
      </w:r>
      <w:r w:rsidR="00422BB7">
        <w:rPr>
          <w:rStyle w:val="FootnoteReference"/>
          <w:rFonts w:ascii="Book Antiqua" w:eastAsia="Times New Roman" w:hAnsi="Book Antiqua"/>
          <w:bCs/>
          <w:kern w:val="0"/>
          <w14:ligatures w14:val="none"/>
        </w:rPr>
        <w:footnoteReference w:id="84"/>
      </w:r>
      <w:r w:rsidR="00927D8A" w:rsidRPr="00927D8A">
        <w:rPr>
          <w:rFonts w:ascii="Book Antiqua" w:eastAsia="Times New Roman" w:hAnsi="Book Antiqua" w:cs="Times New Roman"/>
          <w:bCs/>
          <w:kern w:val="0"/>
          <w14:ligatures w14:val="none"/>
        </w:rPr>
        <w:t xml:space="preserve"> Como alternativa, recom</w:t>
      </w:r>
      <w:r w:rsidR="00CA60FD">
        <w:rPr>
          <w:rFonts w:ascii="Book Antiqua" w:eastAsia="Times New Roman" w:hAnsi="Book Antiqua" w:cs="Times New Roman"/>
          <w:bCs/>
          <w:kern w:val="0"/>
          <w14:ligatures w14:val="none"/>
        </w:rPr>
        <w:t>endó</w:t>
      </w:r>
      <w:r w:rsidR="00927D8A" w:rsidRPr="00927D8A">
        <w:rPr>
          <w:rFonts w:ascii="Book Antiqua" w:eastAsia="Times New Roman" w:hAnsi="Book Antiqua" w:cs="Times New Roman"/>
          <w:bCs/>
          <w:kern w:val="0"/>
          <w14:ligatures w14:val="none"/>
        </w:rPr>
        <w:t xml:space="preserve"> establecer términos cronológicos específicos: una vigencia inicial de noventa</w:t>
      </w:r>
      <w:r w:rsidR="003F6F8A">
        <w:rPr>
          <w:rFonts w:ascii="Book Antiqua" w:eastAsia="Times New Roman" w:hAnsi="Book Antiqua" w:cs="Times New Roman"/>
          <w:bCs/>
          <w:kern w:val="0"/>
          <w14:ligatures w14:val="none"/>
        </w:rPr>
        <w:t xml:space="preserve"> (90)</w:t>
      </w:r>
      <w:r w:rsidR="00927D8A" w:rsidRPr="00927D8A">
        <w:rPr>
          <w:rFonts w:ascii="Book Antiqua" w:eastAsia="Times New Roman" w:hAnsi="Book Antiqua" w:cs="Times New Roman"/>
          <w:bCs/>
          <w:kern w:val="0"/>
          <w14:ligatures w14:val="none"/>
        </w:rPr>
        <w:t xml:space="preserve"> días, prorrogable una sola vez por sesenta</w:t>
      </w:r>
      <w:r w:rsidR="003F6F8A">
        <w:rPr>
          <w:rFonts w:ascii="Book Antiqua" w:eastAsia="Times New Roman" w:hAnsi="Book Antiqua" w:cs="Times New Roman"/>
          <w:bCs/>
          <w:kern w:val="0"/>
          <w14:ligatures w14:val="none"/>
        </w:rPr>
        <w:t xml:space="preserve"> (60)</w:t>
      </w:r>
      <w:r w:rsidR="00927D8A" w:rsidRPr="00927D8A">
        <w:rPr>
          <w:rFonts w:ascii="Book Antiqua" w:eastAsia="Times New Roman" w:hAnsi="Book Antiqua" w:cs="Times New Roman"/>
          <w:bCs/>
          <w:kern w:val="0"/>
          <w14:ligatures w14:val="none"/>
        </w:rPr>
        <w:t xml:space="preserve"> días adicionales, requiriendo luego cumplir con el procedimiento ordinario de reglamentación.</w:t>
      </w:r>
      <w:r w:rsidR="00422BB7">
        <w:rPr>
          <w:rStyle w:val="FootnoteReference"/>
          <w:rFonts w:ascii="Book Antiqua" w:eastAsia="Times New Roman" w:hAnsi="Book Antiqua"/>
          <w:bCs/>
          <w:kern w:val="0"/>
          <w14:ligatures w14:val="none"/>
        </w:rPr>
        <w:footnoteReference w:id="85"/>
      </w:r>
    </w:p>
    <w:p w14:paraId="5E9427D9" w14:textId="3A0A8B1C" w:rsidR="00380CE0" w:rsidRPr="00927D8A" w:rsidRDefault="00380CE0" w:rsidP="00DB44B5">
      <w:pPr>
        <w:spacing w:after="200" w:line="360" w:lineRule="auto"/>
        <w:ind w:firstLine="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Finalmente,</w:t>
      </w:r>
      <w:r w:rsidRPr="00927D8A">
        <w:rPr>
          <w:rFonts w:ascii="Book Antiqua" w:eastAsia="Times New Roman" w:hAnsi="Book Antiqua" w:cs="Times New Roman"/>
          <w:bCs/>
          <w:kern w:val="0"/>
          <w14:ligatures w14:val="none"/>
        </w:rPr>
        <w:t xml:space="preserve"> el documento formul</w:t>
      </w:r>
      <w:r>
        <w:rPr>
          <w:rFonts w:ascii="Book Antiqua" w:eastAsia="Times New Roman" w:hAnsi="Book Antiqua" w:cs="Times New Roman"/>
          <w:bCs/>
          <w:kern w:val="0"/>
          <w14:ligatures w14:val="none"/>
        </w:rPr>
        <w:t>ó</w:t>
      </w:r>
      <w:r w:rsidRPr="00927D8A">
        <w:rPr>
          <w:rFonts w:ascii="Book Antiqua" w:eastAsia="Times New Roman" w:hAnsi="Book Antiqua" w:cs="Times New Roman"/>
          <w:bCs/>
          <w:kern w:val="0"/>
          <w14:ligatures w14:val="none"/>
        </w:rPr>
        <w:t xml:space="preserve"> varias recomendaciones técnicas de redacción y corrección, incluyendo errores ortográficos y aclaraciones terminológicas relacionadas con expresiones como “portal electrónico”, “acceso equitativo” y “que atende”.</w:t>
      </w:r>
      <w:r w:rsidR="00422BB7">
        <w:rPr>
          <w:rStyle w:val="FootnoteReference"/>
          <w:rFonts w:ascii="Book Antiqua" w:eastAsia="Times New Roman" w:hAnsi="Book Antiqua"/>
          <w:bCs/>
          <w:kern w:val="0"/>
          <w14:ligatures w14:val="none"/>
        </w:rPr>
        <w:footnoteReference w:id="86"/>
      </w:r>
    </w:p>
    <w:p w14:paraId="59DE6928" w14:textId="77777777" w:rsidR="005F1042" w:rsidRPr="005F1042" w:rsidRDefault="005F1042" w:rsidP="005F1042">
      <w:pPr>
        <w:spacing w:after="200" w:line="276" w:lineRule="auto"/>
        <w:ind w:left="360"/>
        <w:contextualSpacing/>
        <w:rPr>
          <w:rFonts w:ascii="Book Antiqua" w:eastAsia="Times New Roman" w:hAnsi="Book Antiqua" w:cs="Times New Roman"/>
          <w:kern w:val="0"/>
          <w:u w:val="single"/>
          <w14:ligatures w14:val="none"/>
        </w:rPr>
      </w:pPr>
    </w:p>
    <w:p w14:paraId="1259E289" w14:textId="1F857F6C" w:rsidR="00DD1EBD" w:rsidRPr="00331D65" w:rsidRDefault="009D441B" w:rsidP="009B01D1">
      <w:pPr>
        <w:numPr>
          <w:ilvl w:val="0"/>
          <w:numId w:val="1"/>
        </w:numPr>
        <w:spacing w:before="240" w:after="200" w:line="480"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t>Facultad de Derecho de la Universidad Interamericana de Puerto Rico</w:t>
      </w:r>
    </w:p>
    <w:p w14:paraId="4E52C274" w14:textId="4C407329" w:rsidR="00331D65" w:rsidRDefault="00DD1EBD" w:rsidP="009B01D1">
      <w:pPr>
        <w:spacing w:before="240" w:after="200" w:line="360" w:lineRule="auto"/>
        <w:ind w:firstLine="720"/>
        <w:contextualSpacing/>
        <w:jc w:val="both"/>
        <w:rPr>
          <w:rFonts w:ascii="Book Antiqua" w:eastAsia="Times New Roman" w:hAnsi="Book Antiqua" w:cs="Times New Roman"/>
          <w:kern w:val="0"/>
          <w14:ligatures w14:val="none"/>
        </w:rPr>
      </w:pPr>
      <w:r w:rsidRPr="00DD1EBD">
        <w:rPr>
          <w:rFonts w:ascii="Book Antiqua" w:eastAsia="Times New Roman" w:hAnsi="Book Antiqua" w:cs="Times New Roman"/>
          <w:kern w:val="0"/>
          <w14:ligatures w14:val="none"/>
        </w:rPr>
        <w:t xml:space="preserve">Al momento de evaluarse el presente informe, la Facultad de Derecho de la Universidad </w:t>
      </w:r>
      <w:r w:rsidR="00A94D6C">
        <w:rPr>
          <w:rFonts w:ascii="Book Antiqua" w:eastAsia="Times New Roman" w:hAnsi="Book Antiqua" w:cs="Times New Roman"/>
          <w:kern w:val="0"/>
          <w14:ligatures w14:val="none"/>
        </w:rPr>
        <w:t>I</w:t>
      </w:r>
      <w:r w:rsidRPr="00DD1EBD">
        <w:rPr>
          <w:rFonts w:ascii="Book Antiqua" w:eastAsia="Times New Roman" w:hAnsi="Book Antiqua" w:cs="Times New Roman"/>
          <w:kern w:val="0"/>
          <w14:ligatures w14:val="none"/>
        </w:rPr>
        <w:t xml:space="preserve">nteramericana no presentó el </w:t>
      </w:r>
      <w:r w:rsidRPr="00F30A44">
        <w:rPr>
          <w:rFonts w:ascii="Book Antiqua" w:eastAsia="Times New Roman" w:hAnsi="Book Antiqua" w:cs="Times New Roman"/>
          <w:i/>
          <w:iCs/>
          <w:kern w:val="0"/>
          <w14:ligatures w14:val="none"/>
        </w:rPr>
        <w:t>Memorial Explicativo</w:t>
      </w:r>
      <w:r w:rsidRPr="00DD1EBD">
        <w:rPr>
          <w:rFonts w:ascii="Book Antiqua" w:eastAsia="Times New Roman" w:hAnsi="Book Antiqua" w:cs="Times New Roman"/>
          <w:kern w:val="0"/>
          <w14:ligatures w14:val="none"/>
        </w:rPr>
        <w:t xml:space="preserve"> que le fue solicitado. De igual modo, no compareció, ni excusó su incomparecencia, a la Vista pública celebrada el 9 de marzo de 2026, a la cual fue oportunamente citada. </w:t>
      </w:r>
    </w:p>
    <w:p w14:paraId="058934D9" w14:textId="77777777" w:rsidR="009B01D1" w:rsidRPr="009B01D1" w:rsidRDefault="009B01D1" w:rsidP="009B01D1">
      <w:pPr>
        <w:spacing w:before="240" w:after="200" w:line="240" w:lineRule="auto"/>
        <w:ind w:firstLine="720"/>
        <w:contextualSpacing/>
        <w:jc w:val="both"/>
        <w:rPr>
          <w:rFonts w:ascii="Book Antiqua" w:eastAsia="Times New Roman" w:hAnsi="Book Antiqua" w:cs="Times New Roman"/>
          <w:kern w:val="0"/>
          <w14:ligatures w14:val="none"/>
        </w:rPr>
      </w:pPr>
    </w:p>
    <w:p w14:paraId="7AFCF4F6" w14:textId="2D94A14B" w:rsidR="004F7549" w:rsidRPr="00927D8A" w:rsidRDefault="00D96323" w:rsidP="009B01D1">
      <w:pPr>
        <w:numPr>
          <w:ilvl w:val="0"/>
          <w:numId w:val="1"/>
        </w:numPr>
        <w:spacing w:before="240" w:line="480"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t>Puerto Rico Innovation Service (PRITS)</w:t>
      </w:r>
    </w:p>
    <w:p w14:paraId="17A85C90" w14:textId="15B4C85A" w:rsidR="00960BA9" w:rsidRDefault="00D96323" w:rsidP="00331D65">
      <w:pPr>
        <w:spacing w:before="240" w:line="360" w:lineRule="auto"/>
        <w:ind w:firstLine="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El Puerto Rico Innovation Service (PRITS) acogió favorablemente el P. de la C. 1080, en la medida en que </w:t>
      </w:r>
      <w:r w:rsidR="00815138">
        <w:rPr>
          <w:rFonts w:ascii="Book Antiqua" w:eastAsia="Times New Roman" w:hAnsi="Book Antiqua" w:cs="Times New Roman"/>
          <w:kern w:val="0"/>
          <w14:ligatures w14:val="none"/>
        </w:rPr>
        <w:t xml:space="preserve">(1) </w:t>
      </w:r>
      <w:r>
        <w:rPr>
          <w:rFonts w:ascii="Book Antiqua" w:eastAsia="Times New Roman" w:hAnsi="Book Antiqua" w:cs="Times New Roman"/>
          <w:kern w:val="0"/>
          <w14:ligatures w14:val="none"/>
        </w:rPr>
        <w:t>se alinea con l</w:t>
      </w:r>
      <w:r w:rsidR="001F404E">
        <w:rPr>
          <w:rFonts w:ascii="Book Antiqua" w:eastAsia="Times New Roman" w:hAnsi="Book Antiqua" w:cs="Times New Roman"/>
          <w:kern w:val="0"/>
          <w14:ligatures w14:val="none"/>
        </w:rPr>
        <w:t>a</w:t>
      </w:r>
      <w:r>
        <w:rPr>
          <w:rFonts w:ascii="Book Antiqua" w:eastAsia="Times New Roman" w:hAnsi="Book Antiqua" w:cs="Times New Roman"/>
          <w:kern w:val="0"/>
          <w14:ligatures w14:val="none"/>
        </w:rPr>
        <w:t xml:space="preserve"> política pública en modernizar las estrutctu</w:t>
      </w:r>
      <w:r w:rsidR="00815138">
        <w:rPr>
          <w:rFonts w:ascii="Book Antiqua" w:eastAsia="Times New Roman" w:hAnsi="Book Antiqua" w:cs="Times New Roman"/>
          <w:kern w:val="0"/>
          <w14:ligatures w14:val="none"/>
        </w:rPr>
        <w:t>r</w:t>
      </w:r>
      <w:r>
        <w:rPr>
          <w:rFonts w:ascii="Book Antiqua" w:eastAsia="Times New Roman" w:hAnsi="Book Antiqua" w:cs="Times New Roman"/>
          <w:kern w:val="0"/>
          <w14:ligatures w14:val="none"/>
        </w:rPr>
        <w:t xml:space="preserve">as administrativas, </w:t>
      </w:r>
      <w:r w:rsidR="00815138">
        <w:rPr>
          <w:rFonts w:ascii="Book Antiqua" w:eastAsia="Times New Roman" w:hAnsi="Book Antiqua" w:cs="Times New Roman"/>
          <w:kern w:val="0"/>
          <w14:ligatures w14:val="none"/>
        </w:rPr>
        <w:t xml:space="preserve">(2) promueve mayo eficiencia </w:t>
      </w:r>
      <w:proofErr w:type="gramStart"/>
      <w:r w:rsidR="00815138">
        <w:rPr>
          <w:rFonts w:ascii="Book Antiqua" w:eastAsia="Times New Roman" w:hAnsi="Book Antiqua" w:cs="Times New Roman"/>
          <w:kern w:val="0"/>
          <w14:ligatures w14:val="none"/>
        </w:rPr>
        <w:t>gibernamental ,</w:t>
      </w:r>
      <w:proofErr w:type="gramEnd"/>
      <w:r w:rsidR="00815138">
        <w:rPr>
          <w:rFonts w:ascii="Book Antiqua" w:eastAsia="Times New Roman" w:hAnsi="Book Antiqua" w:cs="Times New Roman"/>
          <w:kern w:val="0"/>
          <w14:ligatures w14:val="none"/>
        </w:rPr>
        <w:t xml:space="preserve"> y (3) fortalece el acceso ciudadano a la información normativa.</w:t>
      </w:r>
      <w:r w:rsidR="00815138">
        <w:rPr>
          <w:rStyle w:val="FootnoteReference"/>
          <w:rFonts w:ascii="Book Antiqua" w:eastAsia="Times New Roman" w:hAnsi="Book Antiqua"/>
          <w:kern w:val="0"/>
          <w14:ligatures w14:val="none"/>
        </w:rPr>
        <w:footnoteReference w:id="87"/>
      </w:r>
      <w:r w:rsidR="00FC47DC">
        <w:rPr>
          <w:rFonts w:ascii="Book Antiqua" w:eastAsia="Times New Roman" w:hAnsi="Book Antiqua" w:cs="Times New Roman"/>
          <w:kern w:val="0"/>
          <w14:ligatures w14:val="none"/>
        </w:rPr>
        <w:t xml:space="preserve"> </w:t>
      </w:r>
      <w:r w:rsidR="00960BA9">
        <w:rPr>
          <w:rFonts w:ascii="Book Antiqua" w:eastAsia="Times New Roman" w:hAnsi="Book Antiqua" w:cs="Times New Roman"/>
          <w:kern w:val="0"/>
          <w14:ligatures w14:val="none"/>
        </w:rPr>
        <w:t>Asimismo, indicó que</w:t>
      </w:r>
    </w:p>
    <w:p w14:paraId="135E7A5D" w14:textId="2C5AE5E0" w:rsidR="00960BA9" w:rsidRDefault="00960BA9" w:rsidP="00131E08">
      <w:pPr>
        <w:spacing w:after="0" w:line="276" w:lineRule="auto"/>
        <w:ind w:left="720" w:right="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lastRenderedPageBreak/>
        <w:t xml:space="preserve">[…] la medida guarda armonía con la política pública establecida en la Ley Núm. 75-2019, según enmendada, conocida como la “Ley </w:t>
      </w:r>
      <w:proofErr w:type="gramStart"/>
      <w:r>
        <w:rPr>
          <w:rFonts w:ascii="Book Antiqua" w:eastAsia="Times New Roman" w:hAnsi="Book Antiqua" w:cs="Times New Roman"/>
          <w:kern w:val="0"/>
          <w14:ligatures w14:val="none"/>
        </w:rPr>
        <w:t>de la puerto</w:t>
      </w:r>
      <w:proofErr w:type="gramEnd"/>
      <w:r>
        <w:rPr>
          <w:rFonts w:ascii="Book Antiqua" w:eastAsia="Times New Roman" w:hAnsi="Book Antiqua" w:cs="Times New Roman"/>
          <w:kern w:val="0"/>
          <w14:ligatures w14:val="none"/>
        </w:rPr>
        <w:t xml:space="preserve"> Rico innovation and Technology Service”, cuyo propósito es promover un gobierno digitalmente eficiente, orientado a datos, interoperable y apoyado en el uso estratégico de tecnologías de información. En igual medida, resulta cónsona con la Ley Núm. 151-2004, según enmendada, conocida como la “Ley de Gobierno Electrónico’, que reconoce la incorporación de tecnologías de información como un componente esencial para </w:t>
      </w:r>
      <w:r w:rsidR="007475FE">
        <w:rPr>
          <w:rFonts w:ascii="Book Antiqua" w:eastAsia="Times New Roman" w:hAnsi="Book Antiqua" w:cs="Times New Roman"/>
          <w:kern w:val="0"/>
          <w14:ligatures w14:val="none"/>
        </w:rPr>
        <w:t>mejorar</w:t>
      </w:r>
      <w:r>
        <w:rPr>
          <w:rFonts w:ascii="Book Antiqua" w:eastAsia="Times New Roman" w:hAnsi="Book Antiqua" w:cs="Times New Roman"/>
          <w:kern w:val="0"/>
          <w14:ligatures w14:val="none"/>
        </w:rPr>
        <w:t xml:space="preserve"> la prestación de servicios gubernamentales, la divulgación de información pública y la participación ciudadana.</w:t>
      </w:r>
      <w:r>
        <w:rPr>
          <w:rStyle w:val="FootnoteReference"/>
          <w:rFonts w:ascii="Book Antiqua" w:eastAsia="Times New Roman" w:hAnsi="Book Antiqua"/>
          <w:kern w:val="0"/>
          <w14:ligatures w14:val="none"/>
        </w:rPr>
        <w:footnoteReference w:id="88"/>
      </w:r>
    </w:p>
    <w:p w14:paraId="37D39AC4" w14:textId="77777777" w:rsidR="00131E08" w:rsidRDefault="00131E08" w:rsidP="00131E08">
      <w:pPr>
        <w:spacing w:after="0" w:line="276" w:lineRule="auto"/>
        <w:ind w:left="720" w:right="720"/>
        <w:contextualSpacing/>
        <w:jc w:val="both"/>
        <w:rPr>
          <w:rFonts w:ascii="Book Antiqua" w:eastAsia="Times New Roman" w:hAnsi="Book Antiqua" w:cs="Times New Roman"/>
          <w:kern w:val="0"/>
          <w14:ligatures w14:val="none"/>
        </w:rPr>
      </w:pPr>
    </w:p>
    <w:p w14:paraId="0E38CF65" w14:textId="77777777" w:rsidR="00A85425" w:rsidRDefault="00FC47DC" w:rsidP="00D96323">
      <w:pPr>
        <w:spacing w:after="0" w:line="360" w:lineRule="auto"/>
        <w:ind w:firstLine="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Añadió que “[l]a medida responde a una política pública orientada a la revisión y nacionalización del marco regulatorio vigente, conforme a los hallazgos identificados como parte de IDEA.”</w:t>
      </w:r>
      <w:r>
        <w:rPr>
          <w:rStyle w:val="FootnoteReference"/>
          <w:rFonts w:ascii="Book Antiqua" w:eastAsia="Times New Roman" w:hAnsi="Book Antiqua"/>
          <w:kern w:val="0"/>
          <w14:ligatures w14:val="none"/>
        </w:rPr>
        <w:footnoteReference w:id="89"/>
      </w:r>
      <w:r w:rsidR="00A85425">
        <w:rPr>
          <w:rFonts w:ascii="Book Antiqua" w:eastAsia="Times New Roman" w:hAnsi="Book Antiqua" w:cs="Times New Roman"/>
          <w:kern w:val="0"/>
          <w14:ligatures w14:val="none"/>
        </w:rPr>
        <w:t xml:space="preserve"> De igual modo expresó que</w:t>
      </w:r>
    </w:p>
    <w:p w14:paraId="21F529BA" w14:textId="1E9EB081" w:rsidR="00D96323" w:rsidRDefault="00A85425" w:rsidP="00E82740">
      <w:pPr>
        <w:spacing w:after="0" w:line="240" w:lineRule="auto"/>
        <w:ind w:left="720" w:right="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las disposiciones del Proyecto de la Cámara 1080 que fomentan la publicación electrónica de reglamentos, el accceso digital a la información normativa y la utilización de plataformas electrónicas como mecanismos de divulgación y participación ciudadana se alinean con el marco general de modernización administrativa y transformación digital ya adoptado por el Gobierno de puerto Rico.</w:t>
      </w:r>
      <w:r>
        <w:rPr>
          <w:rStyle w:val="FootnoteReference"/>
          <w:rFonts w:ascii="Book Antiqua" w:eastAsia="Times New Roman" w:hAnsi="Book Antiqua"/>
          <w:kern w:val="0"/>
          <w14:ligatures w14:val="none"/>
        </w:rPr>
        <w:footnoteReference w:id="90"/>
      </w:r>
    </w:p>
    <w:p w14:paraId="0C663194" w14:textId="77777777" w:rsidR="00DD1EBD" w:rsidRDefault="00DD1EBD" w:rsidP="00A85425">
      <w:pPr>
        <w:spacing w:after="0" w:line="276" w:lineRule="auto"/>
        <w:ind w:left="720" w:right="720"/>
        <w:contextualSpacing/>
        <w:jc w:val="both"/>
        <w:rPr>
          <w:rFonts w:ascii="Book Antiqua" w:eastAsia="Times New Roman" w:hAnsi="Book Antiqua" w:cs="Times New Roman"/>
          <w:kern w:val="0"/>
          <w14:ligatures w14:val="none"/>
        </w:rPr>
      </w:pPr>
    </w:p>
    <w:p w14:paraId="03710863" w14:textId="7C337F22" w:rsidR="006864F6" w:rsidRPr="004F7549" w:rsidRDefault="00131E08" w:rsidP="006864F6">
      <w:pPr>
        <w:spacing w:before="240" w:line="360" w:lineRule="auto"/>
        <w:ind w:firstLine="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Sin embargo, pese al apoyo a la medida, PRITS entendió que el proyecto no le asigna funciones sustantivas nuevas, ni “altera el esquema vigente de gobernanza</w:t>
      </w:r>
      <w:r w:rsidR="00DD1EBD">
        <w:rPr>
          <w:rFonts w:ascii="Book Antiqua" w:eastAsia="Times New Roman" w:hAnsi="Book Antiqua" w:cs="Times New Roman"/>
          <w:kern w:val="0"/>
          <w14:ligatures w14:val="none"/>
        </w:rPr>
        <w:t xml:space="preserve"> </w:t>
      </w:r>
      <w:r>
        <w:rPr>
          <w:rFonts w:ascii="Book Antiqua" w:eastAsia="Times New Roman" w:hAnsi="Book Antiqua" w:cs="Times New Roman"/>
          <w:kern w:val="0"/>
          <w14:ligatures w14:val="none"/>
        </w:rPr>
        <w:t>tegnológica del Go</w:t>
      </w:r>
      <w:r w:rsidR="00D335D7">
        <w:rPr>
          <w:rFonts w:ascii="Book Antiqua" w:eastAsia="Times New Roman" w:hAnsi="Book Antiqua" w:cs="Times New Roman"/>
          <w:kern w:val="0"/>
          <w14:ligatures w14:val="none"/>
        </w:rPr>
        <w:t>b</w:t>
      </w:r>
      <w:r>
        <w:rPr>
          <w:rFonts w:ascii="Book Antiqua" w:eastAsia="Times New Roman" w:hAnsi="Book Antiqua" w:cs="Times New Roman"/>
          <w:kern w:val="0"/>
          <w14:ligatures w14:val="none"/>
        </w:rPr>
        <w:t>ierno.”</w:t>
      </w:r>
      <w:r>
        <w:rPr>
          <w:rStyle w:val="FootnoteReference"/>
          <w:rFonts w:ascii="Book Antiqua" w:eastAsia="Times New Roman" w:hAnsi="Book Antiqua"/>
          <w:kern w:val="0"/>
          <w14:ligatures w14:val="none"/>
        </w:rPr>
        <w:footnoteReference w:id="91"/>
      </w:r>
      <w:r w:rsidR="00DD1EBD">
        <w:rPr>
          <w:rFonts w:ascii="Book Antiqua" w:eastAsia="Times New Roman" w:hAnsi="Book Antiqua" w:cs="Times New Roman"/>
          <w:kern w:val="0"/>
          <w14:ligatures w14:val="none"/>
        </w:rPr>
        <w:t xml:space="preserve"> Ello debido a que “[l]a administración, compilación y publicación del Boletín de Reglamentos de Puerto Rico y del Código de Reglamentos de Puerto Rico recaen exclusivamente en el Departamento de Estado.”</w:t>
      </w:r>
      <w:r w:rsidR="00DD1EBD">
        <w:rPr>
          <w:rStyle w:val="FootnoteReference"/>
          <w:rFonts w:ascii="Book Antiqua" w:eastAsia="Times New Roman" w:hAnsi="Book Antiqua"/>
          <w:kern w:val="0"/>
          <w14:ligatures w14:val="none"/>
        </w:rPr>
        <w:footnoteReference w:id="92"/>
      </w:r>
    </w:p>
    <w:p w14:paraId="7D466E48" w14:textId="328A4592" w:rsidR="00CC52D1" w:rsidRPr="00B05281" w:rsidRDefault="00D96323" w:rsidP="006864F6">
      <w:pPr>
        <w:numPr>
          <w:ilvl w:val="0"/>
          <w:numId w:val="1"/>
        </w:numPr>
        <w:spacing w:before="240"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t>Ayuda Legal de Puerto Rico</w:t>
      </w:r>
    </w:p>
    <w:p w14:paraId="672163B3" w14:textId="77777777" w:rsidR="00B05281" w:rsidRPr="00455808" w:rsidRDefault="00B05281" w:rsidP="00B05281">
      <w:pPr>
        <w:spacing w:after="200" w:line="276" w:lineRule="auto"/>
        <w:ind w:left="360"/>
        <w:contextualSpacing/>
        <w:rPr>
          <w:rFonts w:ascii="Book Antiqua" w:eastAsia="Times New Roman" w:hAnsi="Book Antiqua" w:cs="Times New Roman"/>
          <w:bCs/>
          <w:kern w:val="0"/>
          <w:u w:val="single"/>
          <w14:ligatures w14:val="none"/>
        </w:rPr>
      </w:pPr>
    </w:p>
    <w:p w14:paraId="1F860CD0" w14:textId="77777777" w:rsidR="009A0053" w:rsidRDefault="00B05281" w:rsidP="00255C26">
      <w:pPr>
        <w:spacing w:after="200" w:line="360" w:lineRule="auto"/>
        <w:ind w:firstLine="720"/>
        <w:contextualSpacing/>
        <w:jc w:val="both"/>
        <w:rPr>
          <w:rFonts w:ascii="Book Antiqua" w:eastAsia="Times New Roman" w:hAnsi="Book Antiqua" w:cs="Times New Roman"/>
          <w:kern w:val="0"/>
          <w14:ligatures w14:val="none"/>
        </w:rPr>
      </w:pPr>
      <w:r w:rsidRPr="00B05281">
        <w:rPr>
          <w:rFonts w:ascii="Book Antiqua" w:eastAsia="Times New Roman" w:hAnsi="Book Antiqua" w:cs="Times New Roman"/>
          <w:kern w:val="0"/>
          <w14:ligatures w14:val="none"/>
        </w:rPr>
        <w:t xml:space="preserve">La organización Ayuda Legal de Puerto Rico </w:t>
      </w:r>
      <w:r>
        <w:rPr>
          <w:rFonts w:ascii="Book Antiqua" w:eastAsia="Times New Roman" w:hAnsi="Book Antiqua" w:cs="Times New Roman"/>
          <w:kern w:val="0"/>
          <w14:ligatures w14:val="none"/>
        </w:rPr>
        <w:t xml:space="preserve">(ALPR) expresó que sus comentarios estaban “dirigidos a garantizar y fortalecer la participación ciudadana en el proceso de </w:t>
      </w:r>
      <w:r>
        <w:rPr>
          <w:rFonts w:ascii="Book Antiqua" w:eastAsia="Times New Roman" w:hAnsi="Book Antiqua" w:cs="Times New Roman"/>
          <w:kern w:val="0"/>
          <w14:ligatures w14:val="none"/>
        </w:rPr>
        <w:lastRenderedPageBreak/>
        <w:t>reglamentación.”</w:t>
      </w:r>
      <w:r>
        <w:rPr>
          <w:rStyle w:val="FootnoteReference"/>
          <w:rFonts w:ascii="Book Antiqua" w:eastAsia="Times New Roman" w:hAnsi="Book Antiqua"/>
          <w:kern w:val="0"/>
          <w14:ligatures w14:val="none"/>
        </w:rPr>
        <w:footnoteReference w:id="93"/>
      </w:r>
      <w:r w:rsidR="00255C26">
        <w:rPr>
          <w:rFonts w:ascii="Book Antiqua" w:eastAsia="Times New Roman" w:hAnsi="Book Antiqua" w:cs="Times New Roman"/>
          <w:kern w:val="0"/>
          <w14:ligatures w14:val="none"/>
        </w:rPr>
        <w:t xml:space="preserve"> </w:t>
      </w:r>
      <w:r w:rsidR="0082500C">
        <w:rPr>
          <w:rFonts w:ascii="Book Antiqua" w:eastAsia="Times New Roman" w:hAnsi="Book Antiqua" w:cs="Times New Roman"/>
          <w:kern w:val="0"/>
          <w14:ligatures w14:val="none"/>
        </w:rPr>
        <w:t>Añadió que reconocía “el esfuerzo por modernizar los mecanismos de participación mediante la inclusión de nuevas formas de notificación, y publicación de reglamentos de forma electrónica[,] así como comentarios a través del Internet.”</w:t>
      </w:r>
      <w:r w:rsidR="0082500C">
        <w:rPr>
          <w:rStyle w:val="FootnoteReference"/>
          <w:rFonts w:ascii="Book Antiqua" w:eastAsia="Times New Roman" w:hAnsi="Book Antiqua"/>
          <w:kern w:val="0"/>
          <w14:ligatures w14:val="none"/>
        </w:rPr>
        <w:footnoteReference w:id="94"/>
      </w:r>
      <w:r w:rsidR="0082500C">
        <w:rPr>
          <w:rFonts w:ascii="Book Antiqua" w:eastAsia="Times New Roman" w:hAnsi="Book Antiqua" w:cs="Times New Roman"/>
          <w:kern w:val="0"/>
          <w14:ligatures w14:val="none"/>
        </w:rPr>
        <w:t xml:space="preserve"> Sin embargo, añadió que el proyecto “puede hacer más para garantizar la participación real y afecta en los procesos de reglamentación.”</w:t>
      </w:r>
      <w:r w:rsidR="0082500C">
        <w:rPr>
          <w:rStyle w:val="FootnoteReference"/>
          <w:rFonts w:ascii="Book Antiqua" w:eastAsia="Times New Roman" w:hAnsi="Book Antiqua"/>
          <w:kern w:val="0"/>
          <w14:ligatures w14:val="none"/>
        </w:rPr>
        <w:footnoteReference w:id="95"/>
      </w:r>
      <w:r w:rsidR="009A0053">
        <w:rPr>
          <w:rFonts w:ascii="Book Antiqua" w:eastAsia="Times New Roman" w:hAnsi="Book Antiqua" w:cs="Times New Roman"/>
          <w:kern w:val="0"/>
          <w14:ligatures w14:val="none"/>
        </w:rPr>
        <w:t xml:space="preserve"> </w:t>
      </w:r>
    </w:p>
    <w:p w14:paraId="1D4A1F13" w14:textId="42BE7472" w:rsidR="00455808" w:rsidRDefault="009A0053" w:rsidP="00255C26">
      <w:pPr>
        <w:spacing w:after="200" w:line="360" w:lineRule="auto"/>
        <w:ind w:firstLine="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Como primera sugerencia, planteó permitir presentar comentarios durante el proceso de adopción de reglamentos, derogaciones o enmiendas mediante grabaciones de audio o video. Señaló como precedente el caso del Departamento de Vivienda, entidad que permitió a la ciudadanía “presentar comentarios en formatos alternos a los borradores para los planes de acción para los fondos de </w:t>
      </w:r>
      <w:r w:rsidRPr="009A0053">
        <w:rPr>
          <w:rFonts w:ascii="Book Antiqua" w:eastAsia="Times New Roman" w:hAnsi="Book Antiqua" w:cs="Times New Roman"/>
          <w:i/>
          <w:iCs/>
          <w:kern w:val="0"/>
          <w14:ligatures w14:val="none"/>
        </w:rPr>
        <w:t>Community Development Block Grant</w:t>
      </w:r>
      <w:r>
        <w:rPr>
          <w:rFonts w:ascii="Book Antiqua" w:eastAsia="Times New Roman" w:hAnsi="Book Antiqua" w:cs="Times New Roman"/>
          <w:kern w:val="0"/>
          <w14:ligatures w14:val="none"/>
        </w:rPr>
        <w:t xml:space="preserve"> (CDBGR-DR) evaluados en ese periodo.”</w:t>
      </w:r>
      <w:r>
        <w:rPr>
          <w:rStyle w:val="FootnoteReference"/>
          <w:rFonts w:ascii="Book Antiqua" w:eastAsia="Times New Roman" w:hAnsi="Book Antiqua"/>
          <w:kern w:val="0"/>
          <w14:ligatures w14:val="none"/>
        </w:rPr>
        <w:footnoteReference w:id="96"/>
      </w:r>
    </w:p>
    <w:p w14:paraId="04644D95" w14:textId="3A042006" w:rsidR="005F1042" w:rsidRPr="000A312B" w:rsidRDefault="009A0053" w:rsidP="000A312B">
      <w:pPr>
        <w:spacing w:after="200" w:line="360" w:lineRule="auto"/>
        <w:ind w:firstLine="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Igualmente, sugirió ampliar las temáticas sobre las que pueden expresarse los ciudadanos en los portales electrónicos planteados en el P. de la C. 1080, y no limitarlas a asuntos que afectan el desarrollo económico, obstaculizan servicios a la ciudadanía o resulten obsoletos, innecesarios o excesivamente complejos.</w:t>
      </w:r>
      <w:r>
        <w:rPr>
          <w:rStyle w:val="FootnoteReference"/>
          <w:rFonts w:ascii="Book Antiqua" w:eastAsia="Times New Roman" w:hAnsi="Book Antiqua"/>
          <w:kern w:val="0"/>
          <w14:ligatures w14:val="none"/>
        </w:rPr>
        <w:footnoteReference w:id="97"/>
      </w:r>
      <w:r w:rsidR="00695F31">
        <w:rPr>
          <w:rFonts w:ascii="Book Antiqua" w:eastAsia="Times New Roman" w:hAnsi="Book Antiqua" w:cs="Times New Roman"/>
          <w:kern w:val="0"/>
          <w14:ligatures w14:val="none"/>
        </w:rPr>
        <w:t xml:space="preserve"> Asimismo, señaló que el requisito de ser una parte sustancialmente afectada resulta en detrimento de la participación ciudadana.</w:t>
      </w:r>
      <w:r w:rsidR="00695F31">
        <w:rPr>
          <w:rStyle w:val="FootnoteReference"/>
          <w:rFonts w:ascii="Book Antiqua" w:eastAsia="Times New Roman" w:hAnsi="Book Antiqua"/>
          <w:kern w:val="0"/>
          <w14:ligatures w14:val="none"/>
        </w:rPr>
        <w:footnoteReference w:id="98"/>
      </w:r>
      <w:r w:rsidR="00695F31">
        <w:rPr>
          <w:rFonts w:ascii="Book Antiqua" w:eastAsia="Times New Roman" w:hAnsi="Book Antiqua" w:cs="Times New Roman"/>
          <w:kern w:val="0"/>
          <w14:ligatures w14:val="none"/>
        </w:rPr>
        <w:t xml:space="preserve"> Por otra parte, indicó que las Vistas Públicas deben ser grabadas o estenografiadas, eliminando la discreción que concede el lenguaje propuesto actual.</w:t>
      </w:r>
      <w:r w:rsidR="00695F31">
        <w:rPr>
          <w:rStyle w:val="FootnoteReference"/>
          <w:rFonts w:ascii="Book Antiqua" w:eastAsia="Times New Roman" w:hAnsi="Book Antiqua"/>
          <w:kern w:val="0"/>
          <w14:ligatures w14:val="none"/>
        </w:rPr>
        <w:footnoteReference w:id="99"/>
      </w:r>
      <w:r w:rsidR="00695F31">
        <w:rPr>
          <w:rFonts w:ascii="Book Antiqua" w:eastAsia="Times New Roman" w:hAnsi="Book Antiqua" w:cs="Times New Roman"/>
          <w:kern w:val="0"/>
          <w14:ligatures w14:val="none"/>
        </w:rPr>
        <w:t xml:space="preserve"> Asimismo, sugirió añadir un inciso “(j)” donde la agencia presente su reacción y análisis a los comentarios recibidos durante los procedimientos de participación ciudadana.</w:t>
      </w:r>
      <w:r w:rsidR="00695F31">
        <w:rPr>
          <w:rStyle w:val="FootnoteReference"/>
          <w:rFonts w:ascii="Book Antiqua" w:eastAsia="Times New Roman" w:hAnsi="Book Antiqua"/>
          <w:kern w:val="0"/>
          <w14:ligatures w14:val="none"/>
        </w:rPr>
        <w:footnoteReference w:id="100"/>
      </w:r>
      <w:r w:rsidR="000A312B">
        <w:rPr>
          <w:rFonts w:ascii="Book Antiqua" w:eastAsia="Times New Roman" w:hAnsi="Book Antiqua" w:cs="Times New Roman"/>
          <w:kern w:val="0"/>
          <w14:ligatures w14:val="none"/>
        </w:rPr>
        <w:t xml:space="preserve"> Por último, sugirió mantener en treinta (30) días el periodo para la presentación de comentarios al momento de derogación de reglamentos.</w:t>
      </w:r>
      <w:r w:rsidR="000A312B">
        <w:rPr>
          <w:rStyle w:val="FootnoteReference"/>
          <w:rFonts w:ascii="Book Antiqua" w:eastAsia="Times New Roman" w:hAnsi="Book Antiqua"/>
          <w:kern w:val="0"/>
          <w14:ligatures w14:val="none"/>
        </w:rPr>
        <w:footnoteReference w:id="101"/>
      </w:r>
    </w:p>
    <w:p w14:paraId="376974C9" w14:textId="125F3173" w:rsidR="005F1042" w:rsidRPr="001F404E" w:rsidRDefault="00D96323" w:rsidP="00433876">
      <w:pPr>
        <w:numPr>
          <w:ilvl w:val="0"/>
          <w:numId w:val="1"/>
        </w:numPr>
        <w:spacing w:after="200" w:line="276" w:lineRule="auto"/>
        <w:ind w:left="360"/>
        <w:contextualSpacing/>
        <w:jc w:val="center"/>
        <w:rPr>
          <w:rFonts w:ascii="Book Antiqua" w:eastAsia="Times New Roman" w:hAnsi="Book Antiqua" w:cs="Times New Roman"/>
          <w:bCs/>
          <w:kern w:val="0"/>
          <w:u w:val="single"/>
          <w:lang w:val="en-US"/>
          <w14:ligatures w14:val="none"/>
        </w:rPr>
      </w:pPr>
      <w:r>
        <w:rPr>
          <w:rFonts w:ascii="Book Antiqua" w:eastAsia="Times New Roman" w:hAnsi="Book Antiqua" w:cs="Times New Roman"/>
          <w:kern w:val="0"/>
          <w:u w:val="single"/>
          <w:lang w:val="en-US"/>
          <w14:ligatures w14:val="none"/>
        </w:rPr>
        <w:lastRenderedPageBreak/>
        <w:t>Amigxs del Mar</w:t>
      </w:r>
    </w:p>
    <w:p w14:paraId="4440E5EA" w14:textId="77777777" w:rsidR="001F404E" w:rsidRPr="00364D55" w:rsidRDefault="001F404E" w:rsidP="00695F31">
      <w:pPr>
        <w:spacing w:after="200" w:line="276" w:lineRule="auto"/>
        <w:ind w:left="720"/>
        <w:contextualSpacing/>
        <w:rPr>
          <w:rFonts w:ascii="Book Antiqua" w:eastAsia="Times New Roman" w:hAnsi="Book Antiqua" w:cs="Times New Roman"/>
          <w:bCs/>
          <w:kern w:val="0"/>
          <w:u w:val="single"/>
          <w:lang w:val="en-US"/>
          <w14:ligatures w14:val="none"/>
        </w:rPr>
      </w:pPr>
    </w:p>
    <w:p w14:paraId="241A431A" w14:textId="226F39B6" w:rsidR="003A7AF7" w:rsidRDefault="00364D55" w:rsidP="003A7AF7">
      <w:pPr>
        <w:spacing w:after="200" w:line="360" w:lineRule="auto"/>
        <w:ind w:firstLine="720"/>
        <w:contextualSpacing/>
        <w:jc w:val="both"/>
        <w:rPr>
          <w:rFonts w:ascii="Book Antiqua" w:eastAsia="Times New Roman" w:hAnsi="Book Antiqua" w:cs="Times New Roman"/>
          <w:kern w:val="0"/>
          <w:lang w:val="es-ES"/>
          <w14:ligatures w14:val="none"/>
        </w:rPr>
      </w:pPr>
      <w:r w:rsidRPr="00E424E5">
        <w:rPr>
          <w:rFonts w:ascii="Book Antiqua" w:eastAsia="Times New Roman" w:hAnsi="Book Antiqua" w:cs="Times New Roman"/>
          <w:kern w:val="0"/>
          <w:lang w:val="es-ES"/>
          <w14:ligatures w14:val="none"/>
        </w:rPr>
        <w:t xml:space="preserve">La organización Amigxs del Mar describió el P. de la C. 1080 como </w:t>
      </w:r>
      <w:r w:rsidR="006C7FFC" w:rsidRPr="00E424E5">
        <w:rPr>
          <w:rFonts w:ascii="Book Antiqua" w:eastAsia="Times New Roman" w:hAnsi="Book Antiqua" w:cs="Times New Roman"/>
          <w:kern w:val="0"/>
          <w:lang w:val="es-ES"/>
          <w14:ligatures w14:val="none"/>
        </w:rPr>
        <w:t>“</w:t>
      </w:r>
      <w:r w:rsidR="0052608D" w:rsidRPr="00E424E5">
        <w:rPr>
          <w:rFonts w:ascii="Book Antiqua" w:eastAsia="Times New Roman" w:hAnsi="Book Antiqua" w:cs="Times New Roman"/>
          <w:kern w:val="0"/>
          <w:lang w:val="es-ES"/>
          <w14:ligatures w14:val="none"/>
        </w:rPr>
        <w:t>un nuevo escollo para la garantía de participación ciudadana.</w:t>
      </w:r>
      <w:r w:rsidR="006C7FFC" w:rsidRPr="00E424E5">
        <w:rPr>
          <w:rFonts w:ascii="Book Antiqua" w:eastAsia="Times New Roman" w:hAnsi="Book Antiqua" w:cs="Times New Roman"/>
          <w:kern w:val="0"/>
          <w:lang w:val="es-ES"/>
          <w14:ligatures w14:val="none"/>
        </w:rPr>
        <w:t>”</w:t>
      </w:r>
      <w:r w:rsidR="0052608D" w:rsidRPr="00E424E5">
        <w:rPr>
          <w:rStyle w:val="FootnoteReference"/>
          <w:rFonts w:ascii="Book Antiqua" w:eastAsia="Times New Roman" w:hAnsi="Book Antiqua"/>
          <w:kern w:val="0"/>
          <w:lang w:val="es-ES"/>
          <w14:ligatures w14:val="none"/>
        </w:rPr>
        <w:footnoteReference w:id="102"/>
      </w:r>
      <w:r w:rsidR="006C7FFC" w:rsidRPr="00E424E5">
        <w:rPr>
          <w:rFonts w:ascii="Book Antiqua" w:eastAsia="Times New Roman" w:hAnsi="Book Antiqua" w:cs="Times New Roman"/>
          <w:kern w:val="0"/>
          <w:lang w:val="es-ES"/>
          <w14:ligatures w14:val="none"/>
        </w:rPr>
        <w:t xml:space="preserve"> Como primer punto, expresó que la propuesta Sección 2.2 al Capítulo II de la LPAU crea un Boletín de Reglamento de Puerto Rico, donde se presente</w:t>
      </w:r>
      <w:r w:rsidR="00E424E5" w:rsidRPr="00E424E5">
        <w:rPr>
          <w:rFonts w:ascii="Book Antiqua" w:eastAsia="Times New Roman" w:hAnsi="Book Antiqua" w:cs="Times New Roman"/>
          <w:kern w:val="0"/>
          <w:lang w:val="es-ES"/>
          <w14:ligatures w14:val="none"/>
        </w:rPr>
        <w:t xml:space="preserve"> “’publicación de los avisos de reglamentación de las agencias, incluyendo propuestas de adopción, enmienda o derogación de reglamentos, el anuncio de vistas públicas relacionadas con dichos procesos y la notificación final de la adopción de los nuevos reglamentos o enmiendas aprobadas.’”</w:t>
      </w:r>
      <w:r w:rsidR="00E424E5" w:rsidRPr="00E424E5">
        <w:rPr>
          <w:rStyle w:val="FootnoteReference"/>
          <w:rFonts w:ascii="Book Antiqua" w:eastAsia="Times New Roman" w:hAnsi="Book Antiqua"/>
          <w:kern w:val="0"/>
          <w:lang w:val="es-ES"/>
          <w14:ligatures w14:val="none"/>
        </w:rPr>
        <w:footnoteReference w:id="103"/>
      </w:r>
      <w:r w:rsidR="004A4385">
        <w:rPr>
          <w:rFonts w:ascii="Book Antiqua" w:eastAsia="Times New Roman" w:hAnsi="Book Antiqua" w:cs="Times New Roman"/>
          <w:kern w:val="0"/>
          <w:lang w:val="es-ES"/>
          <w14:ligatures w14:val="none"/>
        </w:rPr>
        <w:t xml:space="preserve"> Con ello, el P. de la C. 1080 propone eliminar el actual requisito de que cuando una agencia pretenda adoptar, enmendar o derogar una regla o reglamento de publicar </w:t>
      </w:r>
      <w:r w:rsidR="003A7AF7">
        <w:rPr>
          <w:rFonts w:ascii="Book Antiqua" w:eastAsia="Times New Roman" w:hAnsi="Book Antiqua" w:cs="Times New Roman"/>
          <w:kern w:val="0"/>
          <w:lang w:val="es-ES"/>
          <w14:ligatures w14:val="none"/>
        </w:rPr>
        <w:t>en no menos de un periódico de circulación general, o de publicar en periódicos regionales y radioemisoras cuando un reglamento o enmienda afecte una comunidad particular.</w:t>
      </w:r>
      <w:r w:rsidR="003A7AF7">
        <w:rPr>
          <w:rStyle w:val="FootnoteReference"/>
          <w:rFonts w:ascii="Book Antiqua" w:eastAsia="Times New Roman" w:hAnsi="Book Antiqua"/>
          <w:kern w:val="0"/>
          <w:lang w:val="es-ES"/>
          <w14:ligatures w14:val="none"/>
        </w:rPr>
        <w:footnoteReference w:id="104"/>
      </w:r>
      <w:r w:rsidR="003A7AF7">
        <w:rPr>
          <w:rFonts w:ascii="Book Antiqua" w:eastAsia="Times New Roman" w:hAnsi="Book Antiqua" w:cs="Times New Roman"/>
          <w:kern w:val="0"/>
          <w:lang w:val="es-ES"/>
          <w14:ligatures w14:val="none"/>
        </w:rPr>
        <w:t xml:space="preserve"> De igual manera, Amigxs del Mar indicó que la iniciativa de publicarlo en el portal electrónico del Departamento de Estado o a través de los Centros de Servicios Integrados resulta insuficiente para atender la brecha tecnológica que existe en Puerto Rico. Cónsono con lo anterior, Amigxs del Mar </w:t>
      </w:r>
      <w:r w:rsidR="00B05281">
        <w:rPr>
          <w:rFonts w:ascii="Book Antiqua" w:eastAsia="Times New Roman" w:hAnsi="Book Antiqua" w:cs="Times New Roman"/>
          <w:kern w:val="0"/>
          <w:lang w:val="es-ES"/>
          <w14:ligatures w14:val="none"/>
        </w:rPr>
        <w:t>sugirió</w:t>
      </w:r>
      <w:r w:rsidR="003A7AF7">
        <w:rPr>
          <w:rFonts w:ascii="Book Antiqua" w:eastAsia="Times New Roman" w:hAnsi="Book Antiqua" w:cs="Times New Roman"/>
          <w:kern w:val="0"/>
          <w:lang w:val="es-ES"/>
          <w14:ligatures w14:val="none"/>
        </w:rPr>
        <w:t xml:space="preserve"> que “la creación del portal centralizado del Boletín no de</w:t>
      </w:r>
      <w:r w:rsidR="00B05281">
        <w:rPr>
          <w:rFonts w:ascii="Book Antiqua" w:eastAsia="Times New Roman" w:hAnsi="Book Antiqua" w:cs="Times New Roman"/>
          <w:kern w:val="0"/>
          <w:lang w:val="es-ES"/>
          <w14:ligatures w14:val="none"/>
        </w:rPr>
        <w:t>b</w:t>
      </w:r>
      <w:r w:rsidR="003A7AF7">
        <w:rPr>
          <w:rFonts w:ascii="Book Antiqua" w:eastAsia="Times New Roman" w:hAnsi="Book Antiqua" w:cs="Times New Roman"/>
          <w:kern w:val="0"/>
          <w:lang w:val="es-ES"/>
          <w14:ligatures w14:val="none"/>
        </w:rPr>
        <w:t xml:space="preserve">e </w:t>
      </w:r>
      <w:r w:rsidR="00B05281">
        <w:rPr>
          <w:rFonts w:ascii="Book Antiqua" w:eastAsia="Times New Roman" w:hAnsi="Book Antiqua" w:cs="Times New Roman"/>
          <w:kern w:val="0"/>
          <w:lang w:val="es-ES"/>
          <w14:ligatures w14:val="none"/>
        </w:rPr>
        <w:t>eximir</w:t>
      </w:r>
      <w:r w:rsidR="003A7AF7">
        <w:rPr>
          <w:rFonts w:ascii="Book Antiqua" w:eastAsia="Times New Roman" w:hAnsi="Book Antiqua" w:cs="Times New Roman"/>
          <w:kern w:val="0"/>
          <w:lang w:val="es-ES"/>
          <w14:ligatures w14:val="none"/>
        </w:rPr>
        <w:t xml:space="preserve"> los requisitos de divulgación establecidos actualmente en la LPAU, este podría ser un complemente, pero no una sustitución.</w:t>
      </w:r>
      <w:r w:rsidR="003A7AF7">
        <w:rPr>
          <w:rStyle w:val="FootnoteReference"/>
          <w:rFonts w:ascii="Book Antiqua" w:eastAsia="Times New Roman" w:hAnsi="Book Antiqua"/>
          <w:kern w:val="0"/>
          <w:lang w:val="es-ES"/>
          <w14:ligatures w14:val="none"/>
        </w:rPr>
        <w:footnoteReference w:id="105"/>
      </w:r>
    </w:p>
    <w:p w14:paraId="2D232E02" w14:textId="683B130F" w:rsidR="00E01A23" w:rsidRDefault="003A7AF7" w:rsidP="00E01A23">
      <w:pPr>
        <w:spacing w:after="200" w:line="360" w:lineRule="auto"/>
        <w:ind w:firstLine="720"/>
        <w:contextualSpacing/>
        <w:jc w:val="both"/>
        <w:rPr>
          <w:rFonts w:ascii="Book Antiqua" w:eastAsia="Times New Roman" w:hAnsi="Book Antiqua" w:cs="Times New Roman"/>
          <w:kern w:val="0"/>
          <w:lang w:val="es-ES"/>
          <w14:ligatures w14:val="none"/>
        </w:rPr>
      </w:pPr>
      <w:r>
        <w:rPr>
          <w:rFonts w:ascii="Book Antiqua" w:eastAsia="Times New Roman" w:hAnsi="Book Antiqua" w:cs="Times New Roman"/>
          <w:kern w:val="0"/>
          <w:lang w:val="es-ES"/>
          <w14:ligatures w14:val="none"/>
        </w:rPr>
        <w:t>Por otra parte, expresó que la posible adopción del inciso iii de la propuesta Sección 2.5 en donde expresa</w:t>
      </w:r>
      <w:r w:rsidR="00F814E0">
        <w:rPr>
          <w:rFonts w:ascii="Book Antiqua" w:eastAsia="Times New Roman" w:hAnsi="Book Antiqua" w:cs="Times New Roman"/>
          <w:kern w:val="0"/>
          <w:lang w:val="es-ES"/>
          <w14:ligatures w14:val="none"/>
        </w:rPr>
        <w:t xml:space="preserve">: “[c]cualquier persona natural o jurídica </w:t>
      </w:r>
      <w:r w:rsidR="00F814E0" w:rsidRPr="00F814E0">
        <w:rPr>
          <w:rFonts w:ascii="Book Antiqua" w:eastAsia="Times New Roman" w:hAnsi="Book Antiqua" w:cs="Times New Roman"/>
          <w:kern w:val="0"/>
          <w:u w:val="single"/>
          <w:lang w:val="es-ES"/>
          <w14:ligatures w14:val="none"/>
        </w:rPr>
        <w:t>sustancialmente afectada</w:t>
      </w:r>
      <w:r w:rsidR="00F814E0">
        <w:rPr>
          <w:rFonts w:ascii="Book Antiqua" w:eastAsia="Times New Roman" w:hAnsi="Book Antiqua" w:cs="Times New Roman"/>
          <w:kern w:val="0"/>
          <w:lang w:val="es-ES"/>
          <w14:ligatures w14:val="none"/>
        </w:rPr>
        <w:t xml:space="preserve"> por la reglamentación propuesta podrá, dentro del término para someter comentarios, solicitar, de </w:t>
      </w:r>
      <w:r w:rsidR="00F814E0" w:rsidRPr="00F814E0">
        <w:rPr>
          <w:rFonts w:ascii="Book Antiqua" w:eastAsia="Times New Roman" w:hAnsi="Book Antiqua" w:cs="Times New Roman"/>
          <w:kern w:val="0"/>
          <w:u w:val="single"/>
          <w:lang w:val="es-ES"/>
          <w14:ligatures w14:val="none"/>
        </w:rPr>
        <w:t>buena fe</w:t>
      </w:r>
      <w:r w:rsidR="00F814E0">
        <w:rPr>
          <w:rFonts w:ascii="Book Antiqua" w:eastAsia="Times New Roman" w:hAnsi="Book Antiqua" w:cs="Times New Roman"/>
          <w:kern w:val="0"/>
          <w:lang w:val="es-ES"/>
          <w14:ligatures w14:val="none"/>
        </w:rPr>
        <w:t xml:space="preserve">, la celebración de </w:t>
      </w:r>
      <w:r w:rsidR="00F814E0" w:rsidRPr="00F814E0">
        <w:rPr>
          <w:rFonts w:ascii="Book Antiqua" w:eastAsia="Times New Roman" w:hAnsi="Book Antiqua" w:cs="Times New Roman"/>
          <w:kern w:val="0"/>
          <w:u w:val="single"/>
          <w:lang w:val="es-ES"/>
          <w14:ligatures w14:val="none"/>
        </w:rPr>
        <w:t>una</w:t>
      </w:r>
      <w:r w:rsidR="00F814E0">
        <w:rPr>
          <w:rFonts w:ascii="Book Antiqua" w:eastAsia="Times New Roman" w:hAnsi="Book Antiqua" w:cs="Times New Roman"/>
          <w:kern w:val="0"/>
          <w:lang w:val="es-ES"/>
          <w14:ligatures w14:val="none"/>
        </w:rPr>
        <w:t xml:space="preserve"> vista pública, </w:t>
      </w:r>
      <w:r w:rsidR="00F814E0" w:rsidRPr="00F814E0">
        <w:rPr>
          <w:rFonts w:ascii="Book Antiqua" w:eastAsia="Times New Roman" w:hAnsi="Book Antiqua" w:cs="Times New Roman"/>
          <w:kern w:val="0"/>
          <w:u w:val="single"/>
          <w:lang w:val="es-ES"/>
          <w14:ligatures w14:val="none"/>
        </w:rPr>
        <w:t>exponiendo las razonas o el interés legítimo que justifique su petición</w:t>
      </w:r>
      <w:r w:rsidR="00F814E0">
        <w:rPr>
          <w:rFonts w:ascii="Book Antiqua" w:eastAsia="Times New Roman" w:hAnsi="Book Antiqua" w:cs="Times New Roman"/>
          <w:kern w:val="0"/>
          <w:lang w:val="es-ES"/>
          <w14:ligatures w14:val="none"/>
        </w:rPr>
        <w:t>.”</w:t>
      </w:r>
      <w:r w:rsidR="00F814E0">
        <w:rPr>
          <w:rStyle w:val="FootnoteReference"/>
          <w:rFonts w:ascii="Book Antiqua" w:eastAsia="Times New Roman" w:hAnsi="Book Antiqua"/>
          <w:kern w:val="0"/>
          <w:lang w:val="es-ES"/>
          <w14:ligatures w14:val="none"/>
        </w:rPr>
        <w:footnoteReference w:id="106"/>
      </w:r>
      <w:r w:rsidR="00E01A23">
        <w:rPr>
          <w:rFonts w:ascii="Book Antiqua" w:eastAsia="Times New Roman" w:hAnsi="Book Antiqua" w:cs="Times New Roman"/>
          <w:kern w:val="0"/>
          <w:lang w:val="es-ES"/>
          <w14:ligatures w14:val="none"/>
        </w:rPr>
        <w:t xml:space="preserve">  Referente a este inciso expresó:</w:t>
      </w:r>
    </w:p>
    <w:p w14:paraId="525EB2C1" w14:textId="704A6E2A" w:rsidR="00E01A23" w:rsidRDefault="00E01A23" w:rsidP="00E01A23">
      <w:pPr>
        <w:spacing w:after="200" w:line="240" w:lineRule="auto"/>
        <w:ind w:left="720" w:right="720"/>
        <w:contextualSpacing/>
        <w:jc w:val="both"/>
        <w:rPr>
          <w:rFonts w:ascii="Book Antiqua" w:hAnsi="Book Antiqua"/>
        </w:rPr>
      </w:pPr>
      <w:r>
        <w:rPr>
          <w:rFonts w:ascii="Book Antiqua" w:hAnsi="Book Antiqua"/>
        </w:rPr>
        <w:lastRenderedPageBreak/>
        <w:t xml:space="preserve">[…] </w:t>
      </w:r>
      <w:r w:rsidRPr="00E01A23">
        <w:rPr>
          <w:rFonts w:ascii="Book Antiqua" w:hAnsi="Book Antiqua"/>
        </w:rPr>
        <w:t xml:space="preserve">primeramente la inclusión de las descripciones </w:t>
      </w:r>
      <w:r w:rsidRPr="00E01A23">
        <w:rPr>
          <w:rFonts w:ascii="Book Antiqua" w:hAnsi="Book Antiqua"/>
          <w:u w:val="single"/>
        </w:rPr>
        <w:t>sustancialmente afectada</w:t>
      </w:r>
      <w:r w:rsidRPr="00E01A23">
        <w:rPr>
          <w:rFonts w:ascii="Book Antiqua" w:hAnsi="Book Antiqua"/>
        </w:rPr>
        <w:t xml:space="preserve"> establece la necesidad de probar un impacto, daño o perjuicio sustancial para poder someter comentarios a favor o en contra de una propuesta de enmienda o adopción de reglamentación. Este rigor tiene cierta similitud al criterio de standing jurídico necesario para acceder a la justicia de los </w:t>
      </w:r>
      <w:proofErr w:type="gramStart"/>
      <w:r w:rsidRPr="00E01A23">
        <w:rPr>
          <w:rFonts w:ascii="Book Antiqua" w:hAnsi="Book Antiqua"/>
        </w:rPr>
        <w:t>tribunales</w:t>
      </w:r>
      <w:r w:rsidR="0093502D">
        <w:rPr>
          <w:rFonts w:ascii="Book Antiqua" w:hAnsi="Book Antiqua"/>
        </w:rPr>
        <w:t>[</w:t>
      </w:r>
      <w:proofErr w:type="gramEnd"/>
      <w:r w:rsidR="0093502D">
        <w:rPr>
          <w:rFonts w:ascii="Book Antiqua" w:hAnsi="Book Antiqua"/>
        </w:rPr>
        <w:t>, pero]</w:t>
      </w:r>
      <w:r w:rsidRPr="00E01A23">
        <w:rPr>
          <w:rFonts w:ascii="Book Antiqua" w:hAnsi="Book Antiqua"/>
        </w:rPr>
        <w:t xml:space="preserve"> es inmeritorio para las agencias gubernamentales e impone limitaciones extremas a la participación ciudadana. Segundo, la expresión de </w:t>
      </w:r>
      <w:r w:rsidRPr="00E01A23">
        <w:rPr>
          <w:rFonts w:ascii="Book Antiqua" w:hAnsi="Book Antiqua"/>
          <w:u w:val="single"/>
        </w:rPr>
        <w:t>buena fe</w:t>
      </w:r>
      <w:r w:rsidRPr="00E01A23">
        <w:rPr>
          <w:rFonts w:ascii="Book Antiqua" w:hAnsi="Book Antiqua"/>
        </w:rPr>
        <w:t xml:space="preserve"> nuevamente impone una carga a quien desee solicita</w:t>
      </w:r>
      <w:r w:rsidR="0093502D">
        <w:rPr>
          <w:rFonts w:ascii="Book Antiqua" w:hAnsi="Book Antiqua"/>
        </w:rPr>
        <w:t>r</w:t>
      </w:r>
      <w:r w:rsidRPr="00E01A23">
        <w:rPr>
          <w:rFonts w:ascii="Book Antiqua" w:hAnsi="Book Antiqua"/>
        </w:rPr>
        <w:t xml:space="preserve"> la celebración de vistas públicas en referencia a la propuesta de adopción de una reglamentación. Esto abre una puerta para que se impugne la participación de personas de la comunidad, grupos, organizaciones y otros sectores. Lo que llevaría a resolver si una participación es válida o no mediante un proceso donde se pruebe la buena o mala fe de quien ejerce su derecho a participar en los procesos de reglamentación. Este criterio crearía un sin número</w:t>
      </w:r>
      <w:r w:rsidR="0093502D">
        <w:rPr>
          <w:rFonts w:ascii="Book Antiqua" w:hAnsi="Book Antiqua"/>
        </w:rPr>
        <w:t xml:space="preserve"> [sic]</w:t>
      </w:r>
      <w:r w:rsidRPr="00E01A23">
        <w:rPr>
          <w:rFonts w:ascii="Book Antiqua" w:hAnsi="Book Antiqua"/>
        </w:rPr>
        <w:t xml:space="preserve"> de procedimientos administrativos innecesarios que abarrotaran las agendas y trabajos de las agencias.</w:t>
      </w:r>
      <w:r>
        <w:rPr>
          <w:rStyle w:val="FootnoteReference"/>
          <w:rFonts w:ascii="Book Antiqua" w:hAnsi="Book Antiqua"/>
        </w:rPr>
        <w:footnoteReference w:id="107"/>
      </w:r>
    </w:p>
    <w:p w14:paraId="45EB9892" w14:textId="77777777" w:rsidR="00E01A23" w:rsidRDefault="00E01A23" w:rsidP="00E01A23">
      <w:pPr>
        <w:spacing w:after="200" w:line="240" w:lineRule="auto"/>
        <w:ind w:right="720"/>
        <w:contextualSpacing/>
        <w:jc w:val="both"/>
        <w:rPr>
          <w:rFonts w:ascii="Book Antiqua" w:hAnsi="Book Antiqua"/>
        </w:rPr>
      </w:pPr>
    </w:p>
    <w:p w14:paraId="281ED6E1" w14:textId="6DB5E7EB" w:rsidR="00E01A23" w:rsidRDefault="00E01A23" w:rsidP="00E01A23">
      <w:pPr>
        <w:spacing w:after="200" w:line="360" w:lineRule="auto"/>
        <w:contextualSpacing/>
        <w:jc w:val="both"/>
        <w:rPr>
          <w:rFonts w:ascii="Book Antiqua" w:hAnsi="Book Antiqua"/>
        </w:rPr>
      </w:pPr>
      <w:r>
        <w:rPr>
          <w:rFonts w:ascii="Book Antiqua" w:hAnsi="Book Antiqua"/>
        </w:rPr>
        <w:t>De igual manera, expresó que el requisito de exponer razones o interés legítimo que exprese la petición de solicitar una Vista, “establece un criterio de legitimación actva innecesaria para la participación ciudadana ante un proceso de enmienda o adopción de una reglamentación.”</w:t>
      </w:r>
      <w:r>
        <w:rPr>
          <w:rStyle w:val="FootnoteReference"/>
          <w:rFonts w:ascii="Book Antiqua" w:hAnsi="Book Antiqua"/>
        </w:rPr>
        <w:footnoteReference w:id="108"/>
      </w:r>
      <w:r>
        <w:rPr>
          <w:rFonts w:ascii="Book Antiqua" w:hAnsi="Book Antiqua"/>
        </w:rPr>
        <w:t xml:space="preserve"> </w:t>
      </w:r>
    </w:p>
    <w:p w14:paraId="45E2F7A9" w14:textId="2182A319" w:rsidR="00F30BA8" w:rsidRPr="00E01A23" w:rsidRDefault="00F30BA8" w:rsidP="00E01A23">
      <w:pPr>
        <w:spacing w:after="200" w:line="360" w:lineRule="auto"/>
        <w:contextualSpacing/>
        <w:jc w:val="both"/>
        <w:rPr>
          <w:rFonts w:ascii="Book Antiqua" w:eastAsia="Times New Roman" w:hAnsi="Book Antiqua" w:cs="Times New Roman"/>
          <w:kern w:val="0"/>
          <w:lang w:val="es-ES"/>
          <w14:ligatures w14:val="none"/>
        </w:rPr>
      </w:pPr>
      <w:r>
        <w:rPr>
          <w:rFonts w:ascii="Book Antiqua" w:hAnsi="Book Antiqua"/>
        </w:rPr>
        <w:tab/>
        <w:t xml:space="preserve">Considerando lo anterior, Amigxs del Mar solicitó (1) que no se excluyeran los requisitos de divulgación actualmente vigentes en la Sección 2.1 de la LPAU referente a la publicación en no menos de un periódico de circulación general el aviso de adopción o </w:t>
      </w:r>
      <w:r w:rsidR="0093502D">
        <w:rPr>
          <w:rFonts w:ascii="Book Antiqua" w:hAnsi="Book Antiqua"/>
        </w:rPr>
        <w:t>enmienda</w:t>
      </w:r>
      <w:r>
        <w:rPr>
          <w:rFonts w:ascii="Book Antiqua" w:hAnsi="Book Antiqua"/>
        </w:rPr>
        <w:t xml:space="preserve"> de una reglamentación</w:t>
      </w:r>
      <w:r>
        <w:rPr>
          <w:rStyle w:val="FootnoteReference"/>
          <w:rFonts w:ascii="Book Antiqua" w:hAnsi="Book Antiqua"/>
        </w:rPr>
        <w:footnoteReference w:id="109"/>
      </w:r>
      <w:r>
        <w:rPr>
          <w:rFonts w:ascii="Book Antiqua" w:hAnsi="Book Antiqua"/>
        </w:rPr>
        <w:t>; (2) que la reglamentación que afecte una comunidad específica, se publique el aviso en un periódico de circulación regional, y pautar un anuncio en una emisora de r</w:t>
      </w:r>
      <w:r w:rsidR="0093502D">
        <w:rPr>
          <w:rFonts w:ascii="Book Antiqua" w:hAnsi="Book Antiqua"/>
        </w:rPr>
        <w:t>a</w:t>
      </w:r>
      <w:r>
        <w:rPr>
          <w:rFonts w:ascii="Book Antiqua" w:hAnsi="Book Antiqua"/>
        </w:rPr>
        <w:t>diodifusión local de mayor audiencia o cercanía a la comunidad afectada, por lo menos en dos (2) ocasiones entre las 7</w:t>
      </w:r>
      <w:r w:rsidR="00455808">
        <w:rPr>
          <w:rFonts w:ascii="Book Antiqua" w:hAnsi="Book Antiqua"/>
        </w:rPr>
        <w:t>:</w:t>
      </w:r>
      <w:r>
        <w:rPr>
          <w:rFonts w:ascii="Book Antiqua" w:hAnsi="Book Antiqua"/>
        </w:rPr>
        <w:t>00 am y 7:00 pm, junto con los detalles que se incluyen en la LPAU</w:t>
      </w:r>
      <w:r w:rsidR="00455808">
        <w:rPr>
          <w:rStyle w:val="FootnoteReference"/>
          <w:rFonts w:ascii="Book Antiqua" w:hAnsi="Book Antiqua"/>
        </w:rPr>
        <w:footnoteReference w:id="110"/>
      </w:r>
      <w:r>
        <w:rPr>
          <w:rFonts w:ascii="Book Antiqua" w:hAnsi="Book Antiqua"/>
        </w:rPr>
        <w:t xml:space="preserve">; (3) revisar y eliminar los </w:t>
      </w:r>
      <w:r w:rsidR="00455808">
        <w:rPr>
          <w:rFonts w:ascii="Book Antiqua" w:hAnsi="Book Antiqua"/>
        </w:rPr>
        <w:t>requisitos</w:t>
      </w:r>
      <w:r>
        <w:rPr>
          <w:rFonts w:ascii="Book Antiqua" w:hAnsi="Book Antiqua"/>
        </w:rPr>
        <w:t xml:space="preserve"> de </w:t>
      </w:r>
      <w:r w:rsidR="00455808">
        <w:rPr>
          <w:rFonts w:ascii="Book Antiqua" w:hAnsi="Book Antiqua"/>
        </w:rPr>
        <w:t>“</w:t>
      </w:r>
      <w:r>
        <w:rPr>
          <w:rFonts w:ascii="Book Antiqua" w:hAnsi="Book Antiqua"/>
        </w:rPr>
        <w:t xml:space="preserve">legitimación activa, requerimientos de afectación sustancial, buena fe e interés </w:t>
      </w:r>
      <w:r w:rsidR="0093502D">
        <w:rPr>
          <w:rFonts w:ascii="Book Antiqua" w:hAnsi="Book Antiqua"/>
        </w:rPr>
        <w:t>legítimo</w:t>
      </w:r>
      <w:r>
        <w:rPr>
          <w:rFonts w:ascii="Book Antiqua" w:hAnsi="Book Antiqua"/>
        </w:rPr>
        <w:t xml:space="preserve"> para someter comentarios y/o solicitar vistas públicas ante la adopción, </w:t>
      </w:r>
      <w:r>
        <w:rPr>
          <w:rFonts w:ascii="Book Antiqua" w:hAnsi="Book Antiqua"/>
        </w:rPr>
        <w:lastRenderedPageBreak/>
        <w:t>enmienda o derogación de una reglamentación”</w:t>
      </w:r>
      <w:r w:rsidR="00455808">
        <w:rPr>
          <w:rStyle w:val="FootnoteReference"/>
          <w:rFonts w:ascii="Book Antiqua" w:hAnsi="Book Antiqua"/>
        </w:rPr>
        <w:footnoteReference w:id="111"/>
      </w:r>
      <w:r w:rsidR="00455808">
        <w:rPr>
          <w:rFonts w:ascii="Book Antiqua" w:hAnsi="Book Antiqua"/>
        </w:rPr>
        <w:t>, y (4) revisar el lenguaje de la Sección 2.22 propuesta que establece criterios de ac</w:t>
      </w:r>
      <w:r w:rsidR="00565ABE">
        <w:rPr>
          <w:rFonts w:ascii="Book Antiqua" w:hAnsi="Book Antiqua"/>
        </w:rPr>
        <w:t>c</w:t>
      </w:r>
      <w:r w:rsidR="00455808">
        <w:rPr>
          <w:rFonts w:ascii="Book Antiqua" w:hAnsi="Book Antiqua"/>
        </w:rPr>
        <w:t xml:space="preserve">esos </w:t>
      </w:r>
      <w:r w:rsidR="00565ABE">
        <w:rPr>
          <w:rFonts w:ascii="Book Antiqua" w:hAnsi="Book Antiqua"/>
        </w:rPr>
        <w:t>coordinados</w:t>
      </w:r>
      <w:r w:rsidR="00455808">
        <w:rPr>
          <w:rFonts w:ascii="Book Antiqua" w:hAnsi="Book Antiqua"/>
        </w:rPr>
        <w:t xml:space="preserve"> entre el Departamento de Estado , los Centros de Servicios y los gobiernos municipales.</w:t>
      </w:r>
      <w:r w:rsidR="00455808">
        <w:rPr>
          <w:rStyle w:val="FootnoteReference"/>
          <w:rFonts w:ascii="Book Antiqua" w:hAnsi="Book Antiqua"/>
        </w:rPr>
        <w:footnoteReference w:id="112"/>
      </w:r>
    </w:p>
    <w:p w14:paraId="2B9E4C04" w14:textId="690E9978" w:rsidR="006B79E0" w:rsidRPr="005F1042" w:rsidRDefault="006B79E0" w:rsidP="006B79E0">
      <w:pPr>
        <w:pStyle w:val="ListParagraph"/>
        <w:numPr>
          <w:ilvl w:val="0"/>
          <w:numId w:val="2"/>
        </w:numPr>
        <w:spacing w:after="200" w:line="360" w:lineRule="auto"/>
        <w:jc w:val="center"/>
        <w:rPr>
          <w:rFonts w:ascii="Book Antiqua" w:eastAsia="Times New Roman" w:hAnsi="Book Antiqua" w:cs="Times New Roman"/>
          <w:bCs/>
          <w:i/>
          <w:iCs/>
          <w:kern w:val="0"/>
          <w14:ligatures w14:val="none"/>
        </w:rPr>
      </w:pPr>
      <w:bookmarkStart w:id="0" w:name="_Hlk191473974"/>
      <w:r w:rsidRPr="005F1042">
        <w:rPr>
          <w:rFonts w:ascii="Book Antiqua" w:eastAsia="Times New Roman" w:hAnsi="Book Antiqua" w:cs="Times New Roman"/>
          <w:bCs/>
          <w:i/>
          <w:iCs/>
          <w:kern w:val="0"/>
          <w14:ligatures w14:val="none"/>
        </w:rPr>
        <w:t>Informes</w:t>
      </w:r>
    </w:p>
    <w:p w14:paraId="3880AAAD" w14:textId="29CD4036" w:rsidR="006B79E0" w:rsidRDefault="006B79E0" w:rsidP="006B79E0">
      <w:pPr>
        <w:pStyle w:val="ListParagraph"/>
        <w:numPr>
          <w:ilvl w:val="0"/>
          <w:numId w:val="5"/>
        </w:numPr>
        <w:spacing w:after="200" w:line="360" w:lineRule="auto"/>
        <w:ind w:left="360"/>
        <w:jc w:val="center"/>
        <w:rPr>
          <w:rFonts w:ascii="Book Antiqua" w:eastAsia="Times New Roman" w:hAnsi="Book Antiqua" w:cs="Times New Roman"/>
          <w:bCs/>
          <w:kern w:val="0"/>
          <w:u w:val="single"/>
          <w14:ligatures w14:val="none"/>
        </w:rPr>
      </w:pPr>
      <w:r w:rsidRPr="005F1042">
        <w:rPr>
          <w:rFonts w:ascii="Book Antiqua" w:eastAsia="Times New Roman" w:hAnsi="Book Antiqua" w:cs="Times New Roman"/>
          <w:bCs/>
          <w:kern w:val="0"/>
          <w:u w:val="single"/>
          <w14:ligatures w14:val="none"/>
        </w:rPr>
        <w:t>Oficina de Presupuesto de la Asamblea Legislativa (OPAL)</w:t>
      </w:r>
    </w:p>
    <w:p w14:paraId="6EF8EE9D" w14:textId="06581445" w:rsidR="007479C5" w:rsidRPr="00302AF1" w:rsidRDefault="007479C5" w:rsidP="00302AF1">
      <w:pPr>
        <w:spacing w:line="360" w:lineRule="auto"/>
        <w:ind w:firstLine="720"/>
        <w:jc w:val="both"/>
        <w:rPr>
          <w:rFonts w:ascii="Book Antiqua" w:eastAsia="Times New Roman" w:hAnsi="Book Antiqua" w:cs="Times New Roman"/>
          <w:kern w:val="0"/>
          <w14:ligatures w14:val="none"/>
        </w:rPr>
      </w:pPr>
      <w:r w:rsidRPr="007479C5">
        <w:rPr>
          <w:rFonts w:ascii="Book Antiqua" w:eastAsia="Times New Roman" w:hAnsi="Book Antiqua" w:cs="Times New Roman"/>
          <w:bCs/>
          <w:kern w:val="0"/>
          <w14:ligatures w14:val="none"/>
        </w:rPr>
        <w:t>El informe de la Oficina de Presupuesto de la Asamblea Legislativa (OPAL) eval</w:t>
      </w:r>
      <w:r w:rsidR="00302AF1">
        <w:rPr>
          <w:rFonts w:ascii="Book Antiqua" w:eastAsia="Times New Roman" w:hAnsi="Book Antiqua" w:cs="Times New Roman"/>
          <w:bCs/>
          <w:kern w:val="0"/>
          <w14:ligatures w14:val="none"/>
        </w:rPr>
        <w:t>uó</w:t>
      </w:r>
      <w:r w:rsidRPr="007479C5">
        <w:rPr>
          <w:rFonts w:ascii="Book Antiqua" w:eastAsia="Times New Roman" w:hAnsi="Book Antiqua" w:cs="Times New Roman"/>
          <w:bCs/>
          <w:kern w:val="0"/>
          <w14:ligatures w14:val="none"/>
        </w:rPr>
        <w:t xml:space="preserve"> el impacto fiscal del P</w:t>
      </w:r>
      <w:r w:rsidR="00302AF1">
        <w:rPr>
          <w:rFonts w:ascii="Book Antiqua" w:eastAsia="Times New Roman" w:hAnsi="Book Antiqua" w:cs="Times New Roman"/>
          <w:bCs/>
          <w:kern w:val="0"/>
          <w14:ligatures w14:val="none"/>
        </w:rPr>
        <w:t>.</w:t>
      </w:r>
      <w:r w:rsidRPr="007479C5">
        <w:rPr>
          <w:rFonts w:ascii="Book Antiqua" w:eastAsia="Times New Roman" w:hAnsi="Book Antiqua" w:cs="Times New Roman"/>
          <w:bCs/>
          <w:kern w:val="0"/>
          <w14:ligatures w14:val="none"/>
        </w:rPr>
        <w:t xml:space="preserve"> de la C</w:t>
      </w:r>
      <w:r w:rsidR="00302AF1">
        <w:rPr>
          <w:rFonts w:ascii="Book Antiqua" w:eastAsia="Times New Roman" w:hAnsi="Book Antiqua" w:cs="Times New Roman"/>
          <w:bCs/>
          <w:kern w:val="0"/>
          <w14:ligatures w14:val="none"/>
        </w:rPr>
        <w:t>.</w:t>
      </w:r>
      <w:r w:rsidRPr="007479C5">
        <w:rPr>
          <w:rFonts w:ascii="Book Antiqua" w:eastAsia="Times New Roman" w:hAnsi="Book Antiqua" w:cs="Times New Roman"/>
          <w:bCs/>
          <w:kern w:val="0"/>
          <w14:ligatures w14:val="none"/>
        </w:rPr>
        <w:t xml:space="preserve"> 1080, </w:t>
      </w:r>
      <w:r w:rsidR="00302AF1">
        <w:rPr>
          <w:rFonts w:ascii="Book Antiqua" w:eastAsia="Times New Roman" w:hAnsi="Book Antiqua" w:cs="Times New Roman"/>
          <w:bCs/>
          <w:kern w:val="0"/>
          <w14:ligatures w14:val="none"/>
        </w:rPr>
        <w:t>y</w:t>
      </w:r>
      <w:r w:rsidRPr="007479C5">
        <w:rPr>
          <w:rFonts w:ascii="Book Antiqua" w:eastAsia="Times New Roman" w:hAnsi="Book Antiqua" w:cs="Times New Roman"/>
          <w:bCs/>
          <w:kern w:val="0"/>
          <w14:ligatures w14:val="none"/>
        </w:rPr>
        <w:t xml:space="preserve"> concluy</w:t>
      </w:r>
      <w:r w:rsidR="00302AF1">
        <w:rPr>
          <w:rFonts w:ascii="Book Antiqua" w:eastAsia="Times New Roman" w:hAnsi="Book Antiqua" w:cs="Times New Roman"/>
          <w:bCs/>
          <w:kern w:val="0"/>
          <w14:ligatures w14:val="none"/>
        </w:rPr>
        <w:t>ó</w:t>
      </w:r>
      <w:r w:rsidRPr="007479C5">
        <w:rPr>
          <w:rFonts w:ascii="Book Antiqua" w:eastAsia="Times New Roman" w:hAnsi="Book Antiqua" w:cs="Times New Roman"/>
          <w:bCs/>
          <w:kern w:val="0"/>
          <w14:ligatures w14:val="none"/>
        </w:rPr>
        <w:t xml:space="preserve"> preliminarmente que </w:t>
      </w:r>
      <w:r w:rsidR="00302AF1" w:rsidRPr="007479C5">
        <w:rPr>
          <w:rFonts w:ascii="Book Antiqua" w:eastAsia="Times New Roman" w:hAnsi="Book Antiqua" w:cs="Times New Roman"/>
          <w:bCs/>
          <w:kern w:val="0"/>
          <w14:ligatures w14:val="none"/>
        </w:rPr>
        <w:t>las enmiendas al procedimiento reglamentario no gener</w:t>
      </w:r>
      <w:r w:rsidR="00302AF1">
        <w:rPr>
          <w:rFonts w:ascii="Book Antiqua" w:eastAsia="Times New Roman" w:hAnsi="Book Antiqua" w:cs="Times New Roman"/>
          <w:bCs/>
          <w:kern w:val="0"/>
          <w14:ligatures w14:val="none"/>
        </w:rPr>
        <w:t>arían</w:t>
      </w:r>
      <w:r w:rsidRPr="007479C5">
        <w:rPr>
          <w:rFonts w:ascii="Book Antiqua" w:eastAsia="Times New Roman" w:hAnsi="Book Antiqua" w:cs="Times New Roman"/>
          <w:bCs/>
          <w:kern w:val="0"/>
          <w14:ligatures w14:val="none"/>
        </w:rPr>
        <w:t xml:space="preserve"> impacto fiscal significativo, aunque la creación del </w:t>
      </w:r>
      <w:r w:rsidRPr="00302AF1">
        <w:rPr>
          <w:rFonts w:ascii="Book Antiqua" w:eastAsia="Times New Roman" w:hAnsi="Book Antiqua" w:cs="Times New Roman"/>
          <w:bCs/>
          <w:i/>
          <w:iCs/>
          <w:kern w:val="0"/>
          <w14:ligatures w14:val="none"/>
        </w:rPr>
        <w:t>Código de Reglamentos</w:t>
      </w:r>
      <w:r w:rsidRPr="007479C5">
        <w:rPr>
          <w:rFonts w:ascii="Book Antiqua" w:eastAsia="Times New Roman" w:hAnsi="Book Antiqua" w:cs="Times New Roman"/>
          <w:bCs/>
          <w:kern w:val="0"/>
          <w14:ligatures w14:val="none"/>
        </w:rPr>
        <w:t xml:space="preserve"> podría representar un costo aproximado de $77,000 anuales.</w:t>
      </w:r>
      <w:r w:rsidR="00302AF1">
        <w:rPr>
          <w:rStyle w:val="FootnoteReference"/>
          <w:rFonts w:ascii="Book Antiqua" w:eastAsia="Times New Roman" w:hAnsi="Book Antiqua"/>
          <w:bCs/>
          <w:kern w:val="0"/>
          <w14:ligatures w14:val="none"/>
        </w:rPr>
        <w:footnoteReference w:id="113"/>
      </w:r>
      <w:r w:rsidR="00302AF1" w:rsidRPr="00302AF1">
        <w:rPr>
          <w:rFonts w:ascii="Book Antiqua" w:eastAsia="Times New Roman" w:hAnsi="Book Antiqua" w:cs="Times New Roman"/>
          <w:kern w:val="0"/>
          <w14:ligatures w14:val="none"/>
        </w:rPr>
        <w:t xml:space="preserve"> </w:t>
      </w:r>
      <w:r w:rsidR="00302AF1" w:rsidRPr="00890910">
        <w:rPr>
          <w:rFonts w:ascii="Book Antiqua" w:eastAsia="Times New Roman" w:hAnsi="Book Antiqua" w:cs="Times New Roman"/>
          <w:kern w:val="0"/>
          <w14:ligatures w14:val="none"/>
        </w:rPr>
        <w:t xml:space="preserve">Sin embargo, según las expresiones del Departamento de Estado, la medida podría requerir que se le reasigne una partida de </w:t>
      </w:r>
      <w:r w:rsidR="00302AF1" w:rsidRPr="00890910">
        <w:rPr>
          <w:rFonts w:ascii="Book Antiqua" w:hAnsi="Book Antiqua"/>
        </w:rPr>
        <w:t xml:space="preserve">$1,276,800.00, actualmente </w:t>
      </w:r>
      <w:r w:rsidR="00302AF1">
        <w:rPr>
          <w:rFonts w:ascii="Book Antiqua" w:hAnsi="Book Antiqua"/>
        </w:rPr>
        <w:t xml:space="preserve">asignada a la </w:t>
      </w:r>
      <w:r w:rsidR="00302AF1" w:rsidRPr="004F7549">
        <w:rPr>
          <w:rFonts w:ascii="Book Antiqua" w:hAnsi="Book Antiqua"/>
        </w:rPr>
        <w:t>Autoridad del Distrito de Convenciones</w:t>
      </w:r>
      <w:r w:rsidR="00302AF1">
        <w:rPr>
          <w:rFonts w:ascii="Book Antiqua" w:hAnsi="Book Antiqua"/>
        </w:rPr>
        <w:t>.</w:t>
      </w:r>
      <w:r w:rsidR="00302AF1">
        <w:rPr>
          <w:rStyle w:val="FootnoteReference"/>
          <w:rFonts w:ascii="Book Antiqua" w:hAnsi="Book Antiqua"/>
        </w:rPr>
        <w:footnoteReference w:id="114"/>
      </w:r>
    </w:p>
    <w:bookmarkEnd w:id="0"/>
    <w:p w14:paraId="1FB3A56A" w14:textId="068DD491" w:rsidR="00A54AF0" w:rsidRPr="005F1042" w:rsidRDefault="00A54AF0" w:rsidP="00A54AF0">
      <w:pPr>
        <w:spacing w:after="0" w:line="240" w:lineRule="auto"/>
        <w:jc w:val="center"/>
        <w:rPr>
          <w:rFonts w:ascii="Book Antiqua" w:eastAsia="Times New Roman" w:hAnsi="Book Antiqua" w:cs="Times New Roman"/>
          <w:b/>
          <w:kern w:val="0"/>
          <w14:ligatures w14:val="none"/>
        </w:rPr>
      </w:pPr>
      <w:r w:rsidRPr="005F1042">
        <w:rPr>
          <w:rFonts w:ascii="Book Antiqua" w:eastAsia="Times New Roman" w:hAnsi="Book Antiqua" w:cs="Times New Roman"/>
          <w:b/>
          <w:kern w:val="0"/>
          <w14:ligatures w14:val="none"/>
        </w:rPr>
        <w:t>VISTA PÚBLICA</w:t>
      </w:r>
    </w:p>
    <w:p w14:paraId="523D9D94" w14:textId="77777777" w:rsidR="00A54AF0" w:rsidRPr="005F1042" w:rsidRDefault="00A54AF0" w:rsidP="00A54AF0">
      <w:pPr>
        <w:spacing w:after="0" w:line="240" w:lineRule="auto"/>
        <w:jc w:val="center"/>
        <w:rPr>
          <w:rFonts w:ascii="Book Antiqua" w:eastAsia="Times New Roman" w:hAnsi="Book Antiqua" w:cs="Times New Roman"/>
          <w:b/>
          <w:kern w:val="0"/>
          <w14:ligatures w14:val="none"/>
        </w:rPr>
      </w:pPr>
    </w:p>
    <w:p w14:paraId="69DE538A" w14:textId="57A31178" w:rsidR="00AB0F36" w:rsidRDefault="0052608D" w:rsidP="00AB0F36">
      <w:pPr>
        <w:spacing w:after="0" w:line="360"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Esta Comisión</w:t>
      </w:r>
      <w:r w:rsidR="00565ABE">
        <w:rPr>
          <w:rFonts w:ascii="Book Antiqua" w:eastAsia="Times New Roman" w:hAnsi="Book Antiqua" w:cs="Times New Roman"/>
          <w:kern w:val="0"/>
          <w14:ligatures w14:val="none"/>
        </w:rPr>
        <w:t xml:space="preserve"> celebró</w:t>
      </w:r>
      <w:r>
        <w:rPr>
          <w:rFonts w:ascii="Book Antiqua" w:eastAsia="Times New Roman" w:hAnsi="Book Antiqua" w:cs="Times New Roman"/>
          <w:kern w:val="0"/>
          <w14:ligatures w14:val="none"/>
        </w:rPr>
        <w:t xml:space="preserve"> una Vista pública el 9 de marzo de 2026, comenzando a las 10:</w:t>
      </w:r>
      <w:r w:rsidR="009363FC">
        <w:rPr>
          <w:rFonts w:ascii="Book Antiqua" w:eastAsia="Times New Roman" w:hAnsi="Book Antiqua" w:cs="Times New Roman"/>
          <w:kern w:val="0"/>
          <w14:ligatures w14:val="none"/>
        </w:rPr>
        <w:t>13</w:t>
      </w:r>
      <w:r>
        <w:rPr>
          <w:rFonts w:ascii="Book Antiqua" w:eastAsia="Times New Roman" w:hAnsi="Book Antiqua" w:cs="Times New Roman"/>
          <w:kern w:val="0"/>
          <w14:ligatures w14:val="none"/>
        </w:rPr>
        <w:t xml:space="preserve"> a</w:t>
      </w:r>
      <w:r w:rsidR="00D66489">
        <w:rPr>
          <w:rFonts w:ascii="Book Antiqua" w:eastAsia="Times New Roman" w:hAnsi="Book Antiqua" w:cs="Times New Roman"/>
          <w:kern w:val="0"/>
          <w14:ligatures w14:val="none"/>
        </w:rPr>
        <w:t>.</w:t>
      </w:r>
      <w:r>
        <w:rPr>
          <w:rFonts w:ascii="Book Antiqua" w:eastAsia="Times New Roman" w:hAnsi="Book Antiqua" w:cs="Times New Roman"/>
          <w:kern w:val="0"/>
          <w14:ligatures w14:val="none"/>
        </w:rPr>
        <w:t>m</w:t>
      </w:r>
      <w:r w:rsidR="00D66489">
        <w:rPr>
          <w:rFonts w:ascii="Book Antiqua" w:eastAsia="Times New Roman" w:hAnsi="Book Antiqua" w:cs="Times New Roman"/>
          <w:kern w:val="0"/>
          <w14:ligatures w14:val="none"/>
        </w:rPr>
        <w:t>.</w:t>
      </w:r>
      <w:r>
        <w:rPr>
          <w:rFonts w:ascii="Book Antiqua" w:eastAsia="Times New Roman" w:hAnsi="Book Antiqua" w:cs="Times New Roman"/>
          <w:kern w:val="0"/>
          <w14:ligatures w14:val="none"/>
        </w:rPr>
        <w:t xml:space="preserve"> y finalizando a las </w:t>
      </w:r>
      <w:r w:rsidR="009363FC">
        <w:rPr>
          <w:rFonts w:ascii="Book Antiqua" w:eastAsia="Times New Roman" w:hAnsi="Book Antiqua" w:cs="Times New Roman"/>
          <w:kern w:val="0"/>
          <w14:ligatures w14:val="none"/>
        </w:rPr>
        <w:t>12:</w:t>
      </w:r>
      <w:r w:rsidR="00D66489">
        <w:rPr>
          <w:rFonts w:ascii="Book Antiqua" w:eastAsia="Times New Roman" w:hAnsi="Book Antiqua" w:cs="Times New Roman"/>
          <w:kern w:val="0"/>
          <w14:ligatures w14:val="none"/>
        </w:rPr>
        <w:t>56 p.m.</w:t>
      </w:r>
      <w:r w:rsidR="00AB0F36">
        <w:rPr>
          <w:rFonts w:ascii="Book Antiqua" w:eastAsia="Times New Roman" w:hAnsi="Book Antiqua" w:cs="Times New Roman"/>
          <w:kern w:val="0"/>
          <w14:ligatures w14:val="none"/>
        </w:rPr>
        <w:t xml:space="preserve"> En la Vista pública se expresó lo siguiente: </w:t>
      </w:r>
    </w:p>
    <w:p w14:paraId="5A6C1037" w14:textId="77777777" w:rsidR="00302AF1" w:rsidRDefault="00302AF1" w:rsidP="00AB0F36">
      <w:pPr>
        <w:spacing w:after="0" w:line="360" w:lineRule="auto"/>
        <w:ind w:firstLine="720"/>
        <w:jc w:val="both"/>
        <w:rPr>
          <w:rFonts w:ascii="Book Antiqua" w:eastAsia="Times New Roman" w:hAnsi="Book Antiqua" w:cs="Times New Roman"/>
          <w:kern w:val="0"/>
          <w14:ligatures w14:val="none"/>
        </w:rPr>
      </w:pPr>
    </w:p>
    <w:p w14:paraId="0EA6712D" w14:textId="77777777" w:rsidR="00AB0F36" w:rsidRDefault="00AB0F36" w:rsidP="00AB0F36">
      <w:pPr>
        <w:pStyle w:val="ListParagraph"/>
        <w:numPr>
          <w:ilvl w:val="0"/>
          <w:numId w:val="9"/>
        </w:numPr>
        <w:spacing w:after="0" w:line="360" w:lineRule="auto"/>
        <w:jc w:val="both"/>
        <w:rPr>
          <w:rFonts w:ascii="Book Antiqua" w:hAnsi="Book Antiqua"/>
        </w:rPr>
      </w:pPr>
      <w:r w:rsidRPr="008925D4">
        <w:rPr>
          <w:rFonts w:ascii="Book Antiqua" w:hAnsi="Book Antiqua"/>
          <w:b/>
          <w:bCs/>
          <w:u w:val="single"/>
        </w:rPr>
        <w:t>Iniciativa para la Desreglamentación y Eficiencia Administrativa (IDEA)</w:t>
      </w:r>
      <w:r>
        <w:rPr>
          <w:rFonts w:ascii="Book Antiqua" w:hAnsi="Book Antiqua"/>
        </w:rPr>
        <w:t xml:space="preserve">, representada por la Lcda. Verónica Ferraiuoli Hornedo. </w:t>
      </w:r>
    </w:p>
    <w:p w14:paraId="22508C9D" w14:textId="77777777" w:rsidR="00AB0F36" w:rsidRDefault="00AB0F36" w:rsidP="00AB0F36">
      <w:pPr>
        <w:pStyle w:val="ListParagraph"/>
        <w:numPr>
          <w:ilvl w:val="1"/>
          <w:numId w:val="9"/>
        </w:numPr>
        <w:spacing w:after="0" w:line="360" w:lineRule="auto"/>
        <w:jc w:val="both"/>
        <w:rPr>
          <w:rFonts w:ascii="Book Antiqua" w:hAnsi="Book Antiqua"/>
        </w:rPr>
      </w:pPr>
      <w:r w:rsidRPr="00597B99">
        <w:rPr>
          <w:rFonts w:ascii="Book Antiqua" w:hAnsi="Book Antiqua"/>
        </w:rPr>
        <w:t xml:space="preserve">El Capítulo 2 de la Ley Núm. 38-2017, según enmendada, conocida como </w:t>
      </w:r>
      <w:r w:rsidRPr="00C7172B">
        <w:rPr>
          <w:rFonts w:ascii="Book Antiqua" w:hAnsi="Book Antiqua"/>
          <w:i/>
          <w:iCs/>
        </w:rPr>
        <w:t>Ley de Procedimiento Administrativo Uniforme del Gobierno de Puerto Rico</w:t>
      </w:r>
      <w:r>
        <w:rPr>
          <w:rFonts w:ascii="Book Antiqua" w:hAnsi="Book Antiqua"/>
        </w:rPr>
        <w:t xml:space="preserve"> es, en esencia, el marco jurídico que establece las normas a seguir por los ciudadanos y Agencias en los procedimientos administrativos. Es el mecanismo para que el Poder Ejecutivo ponga en vigor la legislación aprobada. Cuando el proceso funciona, produce claridad, pero cuando es </w:t>
      </w:r>
      <w:r>
        <w:rPr>
          <w:rFonts w:ascii="Book Antiqua" w:hAnsi="Book Antiqua"/>
        </w:rPr>
        <w:lastRenderedPageBreak/>
        <w:t xml:space="preserve">inefectivo produce duplicidad, tramites innecesarios, entre otros retos. El segundo escenario es al que nos enfrentamos en Puerto Rico hoy. </w:t>
      </w:r>
    </w:p>
    <w:p w14:paraId="072F1E88" w14:textId="77777777" w:rsidR="00AB0F36"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 xml:space="preserve">IDEA identificó cuatro mil (4,000) reglamentos y enmiendas activas sin revisar durante los pasados cinco (5) años. En el caso de las enmiendas, estas fueron realizadas por estructuras administrativas que cambiaron con el tiempo, y modificaron reglamentos hoy inoperantes. Un sistema reglamentario fragmentado dificulta el entendimiento por parte de la ciudadanía, y por ende su cumplimiento. Además, retrasa las actualizaciones, consumiendo recursos que podrían ser redirigidos a la prestación de servicios. </w:t>
      </w:r>
    </w:p>
    <w:p w14:paraId="35B3036D" w14:textId="77777777" w:rsidR="00AB0F36"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 xml:space="preserve">El problema con la reglamentación en Puerto Rico es uno operacional, además de legal. </w:t>
      </w:r>
    </w:p>
    <w:p w14:paraId="2F973308" w14:textId="77777777" w:rsidR="00AB0F36"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Según expresó IDEA, el P. de la C. 1080:</w:t>
      </w:r>
    </w:p>
    <w:p w14:paraId="568D89DB"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no elimina las garantías del Debido Proceso de Ley; </w:t>
      </w:r>
    </w:p>
    <w:p w14:paraId="0EEE6922"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no reduce la participación ciudadana; </w:t>
      </w:r>
    </w:p>
    <w:p w14:paraId="6B43F745" w14:textId="77777777" w:rsidR="00AB0F36" w:rsidRDefault="00AB0F36" w:rsidP="00AB0F36">
      <w:pPr>
        <w:pStyle w:val="ListParagraph"/>
        <w:numPr>
          <w:ilvl w:val="2"/>
          <w:numId w:val="9"/>
        </w:numPr>
        <w:spacing w:after="0" w:line="360" w:lineRule="auto"/>
        <w:jc w:val="both"/>
        <w:rPr>
          <w:rFonts w:ascii="Book Antiqua" w:hAnsi="Book Antiqua"/>
        </w:rPr>
      </w:pPr>
      <w:r w:rsidRPr="00C9286A">
        <w:rPr>
          <w:rFonts w:ascii="Book Antiqua" w:hAnsi="Book Antiqua"/>
        </w:rPr>
        <w:t>no debilita la fiscalización del poder reglamentario</w:t>
      </w:r>
      <w:r>
        <w:rPr>
          <w:rFonts w:ascii="Book Antiqua" w:hAnsi="Book Antiqua"/>
        </w:rPr>
        <w:t>, y</w:t>
      </w:r>
    </w:p>
    <w:p w14:paraId="2971FB91" w14:textId="77777777" w:rsidR="00AB0F36" w:rsidRDefault="00AB0F36" w:rsidP="00AB0F36">
      <w:pPr>
        <w:pStyle w:val="ListParagraph"/>
        <w:numPr>
          <w:ilvl w:val="2"/>
          <w:numId w:val="9"/>
        </w:numPr>
        <w:spacing w:after="0" w:line="360" w:lineRule="auto"/>
        <w:jc w:val="both"/>
        <w:rPr>
          <w:rFonts w:ascii="Book Antiqua" w:hAnsi="Book Antiqua"/>
        </w:rPr>
      </w:pPr>
      <w:r w:rsidRPr="00C9286A">
        <w:rPr>
          <w:rFonts w:ascii="Book Antiqua" w:hAnsi="Book Antiqua"/>
        </w:rPr>
        <w:t>moderniza el proceso reglamentario, lo hace más transparente y lo org</w:t>
      </w:r>
      <w:r>
        <w:rPr>
          <w:rFonts w:ascii="Book Antiqua" w:hAnsi="Book Antiqua"/>
        </w:rPr>
        <w:t>a</w:t>
      </w:r>
      <w:r w:rsidRPr="00C9286A">
        <w:rPr>
          <w:rFonts w:ascii="Book Antiqua" w:hAnsi="Book Antiqua"/>
        </w:rPr>
        <w:t xml:space="preserve">niza de modo más eficiente. </w:t>
      </w:r>
    </w:p>
    <w:p w14:paraId="14CCB9ED" w14:textId="77777777" w:rsidR="00AB0F36"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De igual modo, indicó que el P. de la C. 1080 tiene varias innovaciones como, por ejemplo:</w:t>
      </w:r>
    </w:p>
    <w:p w14:paraId="0D05812F"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Crear el </w:t>
      </w:r>
      <w:r w:rsidRPr="00CA029A">
        <w:rPr>
          <w:rFonts w:ascii="Book Antiqua" w:hAnsi="Book Antiqua"/>
          <w:i/>
          <w:iCs/>
        </w:rPr>
        <w:t>Boletín de Reglamentos de Puerto Rico</w:t>
      </w:r>
      <w:r>
        <w:rPr>
          <w:rFonts w:ascii="Book Antiqua" w:hAnsi="Book Antiqua"/>
        </w:rPr>
        <w:t>.</w:t>
      </w:r>
    </w:p>
    <w:p w14:paraId="27399183"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Crear el </w:t>
      </w:r>
      <w:r w:rsidRPr="00CA029A">
        <w:rPr>
          <w:rFonts w:ascii="Book Antiqua" w:hAnsi="Book Antiqua"/>
          <w:i/>
          <w:iCs/>
        </w:rPr>
        <w:t>Código de Reglamentos de Puerto Rico</w:t>
      </w:r>
      <w:r>
        <w:rPr>
          <w:rFonts w:ascii="Book Antiqua" w:hAnsi="Book Antiqua"/>
        </w:rPr>
        <w:t>.</w:t>
      </w:r>
    </w:p>
    <w:p w14:paraId="66901339"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Publicar una </w:t>
      </w:r>
      <w:r w:rsidRPr="00CA029A">
        <w:rPr>
          <w:rFonts w:ascii="Book Antiqua" w:hAnsi="Book Antiqua"/>
          <w:i/>
          <w:iCs/>
        </w:rPr>
        <w:t>Declaración de Costos Estimados</w:t>
      </w:r>
      <w:r>
        <w:rPr>
          <w:rFonts w:ascii="Book Antiqua" w:hAnsi="Book Antiqua"/>
        </w:rPr>
        <w:t xml:space="preserve">. </w:t>
      </w:r>
    </w:p>
    <w:p w14:paraId="403E5A3B"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Incorporar el Mecanismo de </w:t>
      </w:r>
      <w:r w:rsidRPr="00CA029A">
        <w:rPr>
          <w:rFonts w:ascii="Book Antiqua" w:hAnsi="Book Antiqua"/>
          <w:i/>
          <w:iCs/>
        </w:rPr>
        <w:t>Reglamentación Negociada</w:t>
      </w:r>
      <w:r>
        <w:rPr>
          <w:rFonts w:ascii="Book Antiqua" w:hAnsi="Book Antiqua"/>
        </w:rPr>
        <w:t>.</w:t>
      </w:r>
    </w:p>
    <w:p w14:paraId="3318722F"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Un proceso más ágil para la derogación de reglamentos obsoletos. </w:t>
      </w:r>
    </w:p>
    <w:p w14:paraId="4BE14C5E"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Más fácil introducción de estándares federales cuando corresponda. </w:t>
      </w:r>
    </w:p>
    <w:p w14:paraId="1D3B7D14"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Fortalecimiento de la revisión periódica de reglamentos al exigir métricas de medición concretas sobre su efectividad. </w:t>
      </w:r>
    </w:p>
    <w:p w14:paraId="43C257D8" w14:textId="6FBDAA95" w:rsidR="00AB0F36"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lastRenderedPageBreak/>
        <w:t>IDEA</w:t>
      </w:r>
      <w:r w:rsidRPr="00377829">
        <w:rPr>
          <w:rFonts w:ascii="Book Antiqua" w:hAnsi="Book Antiqua"/>
        </w:rPr>
        <w:t xml:space="preserve"> añadió que el PC 1080 asegura que las agencias solo reglamenten en el marco legislativo previamente aprobado por la Asamblea Legislativa, para de esta manera fortalecer la disciplina jurídica en el proceso reglamentario y reducir el riesgo de reglamentos que excedan el marco legal.</w:t>
      </w:r>
    </w:p>
    <w:p w14:paraId="4BF0A25A" w14:textId="77777777" w:rsidR="00CD5CFE" w:rsidRPr="00CD5CFE" w:rsidRDefault="00CD5CFE" w:rsidP="00CD5CFE">
      <w:pPr>
        <w:pStyle w:val="ListParagraph"/>
        <w:spacing w:after="0" w:line="360" w:lineRule="auto"/>
        <w:ind w:left="1440"/>
        <w:jc w:val="both"/>
        <w:rPr>
          <w:rFonts w:ascii="Book Antiqua" w:hAnsi="Book Antiqua"/>
        </w:rPr>
      </w:pPr>
    </w:p>
    <w:p w14:paraId="11B0E539" w14:textId="77777777" w:rsidR="00AB0F36" w:rsidRDefault="00AB0F36" w:rsidP="00AB0F36">
      <w:pPr>
        <w:pStyle w:val="ListParagraph"/>
        <w:numPr>
          <w:ilvl w:val="0"/>
          <w:numId w:val="9"/>
        </w:numPr>
        <w:spacing w:after="0" w:line="360" w:lineRule="auto"/>
        <w:jc w:val="both"/>
        <w:rPr>
          <w:rFonts w:ascii="Book Antiqua" w:hAnsi="Book Antiqua"/>
        </w:rPr>
      </w:pPr>
      <w:r w:rsidRPr="008925D4">
        <w:rPr>
          <w:rFonts w:ascii="Book Antiqua" w:hAnsi="Book Antiqua"/>
          <w:b/>
          <w:bCs/>
          <w:u w:val="single"/>
        </w:rPr>
        <w:t>Departamento de Justicia</w:t>
      </w:r>
      <w:r>
        <w:rPr>
          <w:rFonts w:ascii="Book Antiqua" w:hAnsi="Book Antiqua"/>
        </w:rPr>
        <w:t xml:space="preserve">, Lcda. Ketsy García. </w:t>
      </w:r>
    </w:p>
    <w:p w14:paraId="4A566777" w14:textId="77777777" w:rsidR="00AB0F36"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 xml:space="preserve">Recalcó que el Departamento de Justicia presentó una ponencia en conjunto con IDEA, por lo que los planteamientos efectuados por ésta última son avalados por el Departamento de Justicia. </w:t>
      </w:r>
    </w:p>
    <w:p w14:paraId="6FCC1D10" w14:textId="77777777" w:rsidR="00AB0F36" w:rsidRDefault="00AB0F36" w:rsidP="00AB0F36">
      <w:pPr>
        <w:pStyle w:val="ListParagraph"/>
        <w:spacing w:line="360" w:lineRule="auto"/>
        <w:ind w:left="1440"/>
        <w:jc w:val="both"/>
        <w:rPr>
          <w:rFonts w:ascii="Book Antiqua" w:hAnsi="Book Antiqua"/>
        </w:rPr>
      </w:pPr>
    </w:p>
    <w:p w14:paraId="0483F10B" w14:textId="77777777" w:rsidR="00AB0F36" w:rsidRPr="007A0015" w:rsidRDefault="00AB0F36" w:rsidP="00AB0F36">
      <w:pPr>
        <w:pStyle w:val="ListParagraph"/>
        <w:numPr>
          <w:ilvl w:val="0"/>
          <w:numId w:val="9"/>
        </w:numPr>
        <w:spacing w:after="0" w:line="360" w:lineRule="auto"/>
        <w:jc w:val="both"/>
        <w:rPr>
          <w:rFonts w:ascii="Book Antiqua" w:hAnsi="Book Antiqua"/>
          <w:lang w:val="en-US"/>
        </w:rPr>
      </w:pPr>
      <w:r w:rsidRPr="008925D4">
        <w:rPr>
          <w:rFonts w:ascii="Book Antiqua" w:hAnsi="Book Antiqua"/>
          <w:b/>
          <w:bCs/>
          <w:i/>
          <w:iCs/>
          <w:u w:val="single"/>
          <w:lang w:val="en-US"/>
        </w:rPr>
        <w:t>Puerto Rico Innovation and Technology Service</w:t>
      </w:r>
      <w:r w:rsidRPr="008925D4">
        <w:rPr>
          <w:rFonts w:ascii="Book Antiqua" w:hAnsi="Book Antiqua"/>
          <w:b/>
          <w:bCs/>
          <w:u w:val="single"/>
          <w:lang w:val="en-US"/>
        </w:rPr>
        <w:t xml:space="preserve"> (PRITS)</w:t>
      </w:r>
      <w:r w:rsidRPr="007A0015">
        <w:rPr>
          <w:rFonts w:ascii="Book Antiqua" w:hAnsi="Book Antiqua"/>
          <w:lang w:val="en-US"/>
        </w:rPr>
        <w:t>, Sr. Poincaré Díaz.</w:t>
      </w:r>
    </w:p>
    <w:p w14:paraId="54C2DAA2" w14:textId="77777777" w:rsidR="00AB0F36"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 xml:space="preserve">PRITS acogió favorablemente el P. de la C. 1080, debido a que es cónsono con los esfuerzos del Gobierno de Puerto Rico en lograr agilidad, modernización y mayor eficiencia administrativa. De igual manera, indicó, fortalece y provee mayor acceso a la información a los ciudadanos. </w:t>
      </w:r>
    </w:p>
    <w:p w14:paraId="524A5610" w14:textId="77777777" w:rsidR="00AB0F36"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 xml:space="preserve">Indicó, además, que la medida va de la mano con la modernización de los procesos administrativos por parte del Gobierno de Puerto Rico. </w:t>
      </w:r>
    </w:p>
    <w:p w14:paraId="5AABC3ED" w14:textId="255AD448" w:rsidR="00AB0F36" w:rsidRDefault="00AB0F36" w:rsidP="007479C5">
      <w:pPr>
        <w:pStyle w:val="ListParagraph"/>
        <w:numPr>
          <w:ilvl w:val="1"/>
          <w:numId w:val="9"/>
        </w:numPr>
        <w:spacing w:after="0" w:line="360" w:lineRule="auto"/>
        <w:jc w:val="both"/>
        <w:rPr>
          <w:rFonts w:ascii="Book Antiqua" w:hAnsi="Book Antiqua"/>
        </w:rPr>
      </w:pPr>
      <w:r>
        <w:rPr>
          <w:rFonts w:ascii="Book Antiqua" w:hAnsi="Book Antiqua"/>
        </w:rPr>
        <w:t xml:space="preserve">De igual manera, resaltó que el P. de la C. 1080 es cónsono con el propósito de la Ley Núm. 75-2019, según enmendada, conocida como la </w:t>
      </w:r>
      <w:r w:rsidRPr="007A0015">
        <w:rPr>
          <w:rFonts w:ascii="Book Antiqua" w:hAnsi="Book Antiqua"/>
          <w:i/>
          <w:iCs/>
        </w:rPr>
        <w:t xml:space="preserve">Ley de la </w:t>
      </w:r>
      <w:r>
        <w:rPr>
          <w:rFonts w:ascii="Book Antiqua" w:hAnsi="Book Antiqua"/>
          <w:i/>
          <w:iCs/>
        </w:rPr>
        <w:t>P</w:t>
      </w:r>
      <w:r w:rsidRPr="007A0015">
        <w:rPr>
          <w:rFonts w:ascii="Book Antiqua" w:hAnsi="Book Antiqua"/>
          <w:i/>
          <w:iCs/>
        </w:rPr>
        <w:t>uerto Rico Innovation and Technology Service (PRITS)</w:t>
      </w:r>
      <w:r w:rsidRPr="007A0015">
        <w:rPr>
          <w:rFonts w:ascii="Book Antiqua" w:hAnsi="Book Antiqua"/>
        </w:rPr>
        <w:t>, es decir</w:t>
      </w:r>
      <w:r>
        <w:rPr>
          <w:rFonts w:ascii="Book Antiqua" w:hAnsi="Book Antiqua"/>
        </w:rPr>
        <w:t xml:space="preserve">, el crear un gobierno digitalizado y apoyado en el uso consciente de información. Asimismo, el P. de la C. 1080 iba con los hallazgos de IDEA, y la Ley Núm. 151-2004, conocida como </w:t>
      </w:r>
      <w:r w:rsidRPr="007A0015">
        <w:rPr>
          <w:rFonts w:ascii="Book Antiqua" w:hAnsi="Book Antiqua"/>
          <w:i/>
          <w:iCs/>
        </w:rPr>
        <w:t>Ley del Gobierno Electrónico</w:t>
      </w:r>
      <w:r>
        <w:rPr>
          <w:rFonts w:ascii="Book Antiqua" w:hAnsi="Book Antiqua"/>
        </w:rPr>
        <w:t xml:space="preserve">. </w:t>
      </w:r>
    </w:p>
    <w:p w14:paraId="7E43B331" w14:textId="77777777" w:rsidR="007479C5" w:rsidRPr="007479C5" w:rsidRDefault="007479C5" w:rsidP="007479C5">
      <w:pPr>
        <w:pStyle w:val="ListParagraph"/>
        <w:spacing w:after="0" w:line="360" w:lineRule="auto"/>
        <w:ind w:left="1440"/>
        <w:jc w:val="both"/>
        <w:rPr>
          <w:rFonts w:ascii="Book Antiqua" w:hAnsi="Book Antiqua"/>
        </w:rPr>
      </w:pPr>
    </w:p>
    <w:p w14:paraId="0A883A2F" w14:textId="77777777" w:rsidR="00AB0F36" w:rsidRDefault="00AB0F36" w:rsidP="00AB0F36">
      <w:pPr>
        <w:pStyle w:val="ListParagraph"/>
        <w:numPr>
          <w:ilvl w:val="0"/>
          <w:numId w:val="9"/>
        </w:numPr>
        <w:spacing w:after="0" w:line="360" w:lineRule="auto"/>
        <w:jc w:val="both"/>
        <w:rPr>
          <w:rFonts w:ascii="Book Antiqua" w:hAnsi="Book Antiqua"/>
        </w:rPr>
      </w:pPr>
      <w:r w:rsidRPr="008925D4">
        <w:rPr>
          <w:rFonts w:ascii="Book Antiqua" w:hAnsi="Book Antiqua"/>
          <w:b/>
          <w:bCs/>
          <w:u w:val="single"/>
        </w:rPr>
        <w:t>Escuela de Derecho, Universidad de Puerto Rico</w:t>
      </w:r>
      <w:r>
        <w:rPr>
          <w:rFonts w:ascii="Book Antiqua" w:hAnsi="Book Antiqua"/>
        </w:rPr>
        <w:t>, Prof. William Vázquez Irizarry.</w:t>
      </w:r>
    </w:p>
    <w:p w14:paraId="272CE3CF" w14:textId="6D3DC732" w:rsidR="00AB0F36" w:rsidRDefault="00CD5CFE" w:rsidP="00AB0F36">
      <w:pPr>
        <w:pStyle w:val="ListParagraph"/>
        <w:numPr>
          <w:ilvl w:val="1"/>
          <w:numId w:val="9"/>
        </w:numPr>
        <w:spacing w:after="0" w:line="360" w:lineRule="auto"/>
        <w:jc w:val="both"/>
        <w:rPr>
          <w:rFonts w:ascii="Book Antiqua" w:hAnsi="Book Antiqua"/>
        </w:rPr>
      </w:pPr>
      <w:r>
        <w:rPr>
          <w:rFonts w:ascii="Book Antiqua" w:hAnsi="Book Antiqua"/>
        </w:rPr>
        <w:t>La Escuela de Derecho de la Universidad de Puerto Rico</w:t>
      </w:r>
      <w:r w:rsidR="00AB0F36" w:rsidRPr="0041337A">
        <w:rPr>
          <w:rFonts w:ascii="Book Antiqua" w:hAnsi="Book Antiqua"/>
        </w:rPr>
        <w:t xml:space="preserve"> comentó </w:t>
      </w:r>
      <w:r w:rsidR="00AB0F36">
        <w:rPr>
          <w:rFonts w:ascii="Book Antiqua" w:hAnsi="Book Antiqua"/>
        </w:rPr>
        <w:t>con relación</w:t>
      </w:r>
      <w:r w:rsidR="00A615C4">
        <w:rPr>
          <w:rFonts w:ascii="Book Antiqua" w:hAnsi="Book Antiqua"/>
        </w:rPr>
        <w:t xml:space="preserve"> a</w:t>
      </w:r>
      <w:r w:rsidR="00AB0F36">
        <w:rPr>
          <w:rFonts w:ascii="Book Antiqua" w:hAnsi="Book Antiqua"/>
        </w:rPr>
        <w:t xml:space="preserve"> varias secciones del P. de la C. 1080 y la Ley 38-1027, </w:t>
      </w:r>
      <w:r w:rsidR="00AB0F36" w:rsidRPr="00250C37">
        <w:rPr>
          <w:rFonts w:ascii="Book Antiqua" w:hAnsi="Book Antiqua"/>
          <w:i/>
          <w:iCs/>
        </w:rPr>
        <w:t>supra</w:t>
      </w:r>
      <w:r w:rsidR="00AB0F36">
        <w:rPr>
          <w:rFonts w:ascii="Book Antiqua" w:hAnsi="Book Antiqua"/>
        </w:rPr>
        <w:t xml:space="preserve">: </w:t>
      </w:r>
    </w:p>
    <w:p w14:paraId="002C41A9"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Sección 2.1 propuesta en el P. de la C. 1080.</w:t>
      </w:r>
    </w:p>
    <w:p w14:paraId="3CDFB27B" w14:textId="77777777" w:rsidR="00AB0F36" w:rsidRPr="00EC2F37" w:rsidRDefault="00AB0F36" w:rsidP="00AB0F36">
      <w:pPr>
        <w:pStyle w:val="ListParagraph"/>
        <w:numPr>
          <w:ilvl w:val="3"/>
          <w:numId w:val="9"/>
        </w:numPr>
        <w:spacing w:after="0" w:line="360" w:lineRule="auto"/>
        <w:jc w:val="both"/>
        <w:rPr>
          <w:rFonts w:ascii="Book Antiqua" w:hAnsi="Book Antiqua"/>
        </w:rPr>
      </w:pPr>
      <w:r w:rsidRPr="00EC2F37">
        <w:rPr>
          <w:rFonts w:ascii="Book Antiqua" w:hAnsi="Book Antiqua"/>
        </w:rPr>
        <w:lastRenderedPageBreak/>
        <w:t xml:space="preserve">La redacción actual de la Sección 2.7 de la Ley Núm. 37-2017, </w:t>
      </w:r>
      <w:r w:rsidRPr="00250C37">
        <w:rPr>
          <w:rFonts w:ascii="Book Antiqua" w:hAnsi="Book Antiqua"/>
          <w:i/>
          <w:iCs/>
        </w:rPr>
        <w:t>supra</w:t>
      </w:r>
      <w:r w:rsidRPr="00EC2F37">
        <w:rPr>
          <w:rFonts w:ascii="Book Antiqua" w:hAnsi="Book Antiqua"/>
        </w:rPr>
        <w:t xml:space="preserve">, contempla la impugnación de un reglamento durante el término de treinta (30) días luego de su aprobación. Es decir, un reglamento que incumple sustancialmente con la Ley 38-2017, </w:t>
      </w:r>
      <w:r w:rsidRPr="00250C37">
        <w:rPr>
          <w:rFonts w:ascii="Book Antiqua" w:hAnsi="Book Antiqua"/>
          <w:i/>
          <w:iCs/>
        </w:rPr>
        <w:t>supra</w:t>
      </w:r>
      <w:r w:rsidRPr="00EC2F37">
        <w:rPr>
          <w:rFonts w:ascii="Book Antiqua" w:hAnsi="Book Antiqua"/>
        </w:rPr>
        <w:t xml:space="preserve">, es impugnable si existe algún planteamiento con relación la autoridad que tiene cualquier agencia para reglamentar. Ello se consideraría un planteamiento sustantivo y no podría presentar el planteamiento bajo la Sección 2.7 de la Ley Núm. 37-2017, </w:t>
      </w:r>
      <w:r w:rsidRPr="00EC2F37">
        <w:rPr>
          <w:rFonts w:ascii="Book Antiqua" w:hAnsi="Book Antiqua"/>
          <w:i/>
          <w:iCs/>
        </w:rPr>
        <w:t>supra</w:t>
      </w:r>
      <w:r w:rsidRPr="00EC2F37">
        <w:rPr>
          <w:rFonts w:ascii="Book Antiqua" w:hAnsi="Book Antiqua"/>
        </w:rPr>
        <w:t xml:space="preserve">. </w:t>
      </w:r>
    </w:p>
    <w:p w14:paraId="6CCEFA77" w14:textId="77777777" w:rsidR="00AB0F36" w:rsidRPr="007A58EC" w:rsidRDefault="00AB0F36" w:rsidP="00AB0F36">
      <w:pPr>
        <w:pStyle w:val="ListParagraph"/>
        <w:spacing w:line="360" w:lineRule="auto"/>
        <w:ind w:left="2880"/>
        <w:jc w:val="both"/>
        <w:rPr>
          <w:rFonts w:ascii="Book Antiqua" w:hAnsi="Book Antiqua"/>
        </w:rPr>
      </w:pPr>
      <w:r w:rsidRPr="00EC2F37">
        <w:rPr>
          <w:rFonts w:ascii="Book Antiqua" w:hAnsi="Book Antiqua" w:cs="Arial"/>
        </w:rPr>
        <w:t xml:space="preserve">La Sección 2.1 </w:t>
      </w:r>
      <w:r>
        <w:rPr>
          <w:rFonts w:ascii="Book Antiqua" w:hAnsi="Book Antiqua" w:cs="Arial"/>
        </w:rPr>
        <w:t xml:space="preserve">del P. de la C. 1080 propone codificar </w:t>
      </w:r>
      <w:r w:rsidRPr="00EC2F37">
        <w:rPr>
          <w:rFonts w:ascii="Book Antiqua" w:hAnsi="Book Antiqua" w:cs="Arial"/>
        </w:rPr>
        <w:t xml:space="preserve">el principio de que una agencia solo puede reglamentar bajo el marco legislativo que la Asamblea Legislativa aprobó, por lo </w:t>
      </w:r>
      <w:proofErr w:type="gramStart"/>
      <w:r w:rsidRPr="00EC2F37">
        <w:rPr>
          <w:rFonts w:ascii="Book Antiqua" w:hAnsi="Book Antiqua" w:cs="Arial"/>
        </w:rPr>
        <w:t>tanto</w:t>
      </w:r>
      <w:proofErr w:type="gramEnd"/>
      <w:r w:rsidRPr="00EC2F37">
        <w:rPr>
          <w:rFonts w:ascii="Book Antiqua" w:hAnsi="Book Antiqua" w:cs="Arial"/>
        </w:rPr>
        <w:t xml:space="preserve"> el efecto es que una </w:t>
      </w:r>
      <w:r w:rsidRPr="007A58EC">
        <w:rPr>
          <w:rFonts w:ascii="Book Antiqua" w:hAnsi="Book Antiqua" w:cs="Arial"/>
        </w:rPr>
        <w:t xml:space="preserve">impugnación presentada ante el Tribunal de Apelaciones podría incluir los incumplimientos procesales y sustantivos.  </w:t>
      </w:r>
    </w:p>
    <w:p w14:paraId="5B6B9107" w14:textId="77777777" w:rsidR="00AB0F36" w:rsidRPr="007A58EC" w:rsidRDefault="00AB0F36" w:rsidP="00AB0F36">
      <w:pPr>
        <w:pStyle w:val="ListParagraph"/>
        <w:numPr>
          <w:ilvl w:val="2"/>
          <w:numId w:val="9"/>
        </w:numPr>
        <w:spacing w:after="0" w:line="360" w:lineRule="auto"/>
        <w:jc w:val="both"/>
        <w:rPr>
          <w:rFonts w:ascii="Book Antiqua" w:hAnsi="Book Antiqua"/>
        </w:rPr>
      </w:pPr>
      <w:r w:rsidRPr="007A58EC">
        <w:rPr>
          <w:rFonts w:ascii="Book Antiqua" w:hAnsi="Book Antiqua"/>
        </w:rPr>
        <w:t xml:space="preserve">     Sección 2.2 propuesta en el P. de la C. 1080 </w:t>
      </w:r>
    </w:p>
    <w:p w14:paraId="48A7A5AA" w14:textId="7C5CE674" w:rsidR="00AB0F36" w:rsidRPr="00A2707D" w:rsidRDefault="00AB0F36" w:rsidP="00AB0F36">
      <w:pPr>
        <w:pStyle w:val="ListParagraph"/>
        <w:numPr>
          <w:ilvl w:val="3"/>
          <w:numId w:val="9"/>
        </w:numPr>
        <w:spacing w:after="0" w:line="360" w:lineRule="auto"/>
        <w:jc w:val="both"/>
        <w:rPr>
          <w:rFonts w:ascii="Book Antiqua" w:hAnsi="Book Antiqua"/>
        </w:rPr>
      </w:pPr>
      <w:r w:rsidRPr="00A2707D">
        <w:rPr>
          <w:rFonts w:ascii="Book Antiqua" w:hAnsi="Book Antiqua"/>
        </w:rPr>
        <w:t xml:space="preserve">Coincide con la creación del </w:t>
      </w:r>
      <w:r w:rsidRPr="00A615C4">
        <w:rPr>
          <w:rFonts w:ascii="Book Antiqua" w:hAnsi="Book Antiqua"/>
          <w:i/>
          <w:iCs/>
        </w:rPr>
        <w:t>Boletín de Reglamentos</w:t>
      </w:r>
      <w:r w:rsidRPr="00A2707D">
        <w:rPr>
          <w:rFonts w:ascii="Book Antiqua" w:hAnsi="Book Antiqua"/>
        </w:rPr>
        <w:t xml:space="preserve">, dado que depender de periódicos tradicionales no resulta en </w:t>
      </w:r>
      <w:r w:rsidR="00A615C4">
        <w:rPr>
          <w:rFonts w:ascii="Book Antiqua" w:hAnsi="Book Antiqua"/>
        </w:rPr>
        <w:t xml:space="preserve">un </w:t>
      </w:r>
      <w:r w:rsidRPr="00A2707D">
        <w:rPr>
          <w:rFonts w:ascii="Book Antiqua" w:hAnsi="Book Antiqua"/>
        </w:rPr>
        <w:t xml:space="preserve">medio efectivo ante la realidad del modo en que las personas consumen la información. </w:t>
      </w:r>
    </w:p>
    <w:p w14:paraId="628B48B7" w14:textId="77777777" w:rsidR="00AB0F36" w:rsidRPr="00A2707D" w:rsidRDefault="00AB0F36" w:rsidP="00AB0F36">
      <w:pPr>
        <w:pStyle w:val="ListParagraph"/>
        <w:numPr>
          <w:ilvl w:val="3"/>
          <w:numId w:val="9"/>
        </w:numPr>
        <w:spacing w:after="0" w:line="360" w:lineRule="auto"/>
        <w:jc w:val="both"/>
        <w:rPr>
          <w:rFonts w:ascii="Book Antiqua" w:hAnsi="Book Antiqua"/>
        </w:rPr>
      </w:pPr>
      <w:r w:rsidRPr="00A2707D">
        <w:rPr>
          <w:rFonts w:ascii="Book Antiqua" w:hAnsi="Book Antiqua" w:cs="Arial"/>
        </w:rPr>
        <w:t>La Escuela de Derecho sugiere que el Departamento de Estado y las Agencias que avalan su creación también estén obligados a difundir su información sobre el reglamento en las redes sociales.</w:t>
      </w:r>
    </w:p>
    <w:p w14:paraId="14718C25" w14:textId="77777777" w:rsidR="00AB0F36" w:rsidRPr="00A2707D" w:rsidRDefault="00AB0F36" w:rsidP="00AB0F36">
      <w:pPr>
        <w:pStyle w:val="ListParagraph"/>
        <w:numPr>
          <w:ilvl w:val="3"/>
          <w:numId w:val="9"/>
        </w:numPr>
        <w:spacing w:after="0" w:line="360" w:lineRule="auto"/>
        <w:jc w:val="both"/>
        <w:rPr>
          <w:rFonts w:ascii="Book Antiqua" w:hAnsi="Book Antiqua"/>
        </w:rPr>
      </w:pPr>
      <w:r w:rsidRPr="00A2707D">
        <w:rPr>
          <w:rFonts w:ascii="Book Antiqua" w:hAnsi="Book Antiqua" w:cs="Arial"/>
        </w:rPr>
        <w:t xml:space="preserve">También expresó que el contenido de la derogada Ley 210-2016, conocida como </w:t>
      </w:r>
      <w:r w:rsidRPr="00A2707D">
        <w:rPr>
          <w:rFonts w:ascii="Book Antiqua" w:hAnsi="Book Antiqua" w:cs="Arial"/>
          <w:i/>
          <w:iCs/>
        </w:rPr>
        <w:t>Ley de Reforma del Derecho Administrativo</w:t>
      </w:r>
      <w:r w:rsidRPr="00A2707D">
        <w:rPr>
          <w:rFonts w:ascii="Book Antiqua" w:hAnsi="Book Antiqua" w:cs="Arial"/>
        </w:rPr>
        <w:t xml:space="preserve">, debía reincorporarse para que las agencias en proceso de preparar reglamentación puedan y tengan que divulgar más </w:t>
      </w:r>
      <w:r w:rsidRPr="00A2707D">
        <w:rPr>
          <w:rFonts w:ascii="Book Antiqua" w:hAnsi="Book Antiqua" w:cs="Arial"/>
        </w:rPr>
        <w:lastRenderedPageBreak/>
        <w:t xml:space="preserve">el proceso y se promueva mayor participación ciudadana en el proceso de reglamentación en cualquier agencia. De esta manera no se descansa únicamente en el periódico ni en el </w:t>
      </w:r>
      <w:r w:rsidRPr="00250C37">
        <w:rPr>
          <w:rFonts w:ascii="Book Antiqua" w:hAnsi="Book Antiqua" w:cs="Arial"/>
          <w:i/>
          <w:iCs/>
        </w:rPr>
        <w:t>Boletín de Reglamentos</w:t>
      </w:r>
      <w:r w:rsidRPr="00A2707D">
        <w:rPr>
          <w:rFonts w:ascii="Book Antiqua" w:hAnsi="Book Antiqua" w:cs="Arial"/>
        </w:rPr>
        <w:t>. El profesor compara el boletín con la manera en la cual se maneja el proceso de reglamentación a nivel federal el cual está centralizado en una página de internet (</w:t>
      </w:r>
      <w:hyperlink r:id="rId8" w:history="1">
        <w:r w:rsidRPr="00A2707D">
          <w:rPr>
            <w:rStyle w:val="Hyperlink"/>
            <w:rFonts w:ascii="Book Antiqua" w:hAnsi="Book Antiqua" w:cs="Arial"/>
          </w:rPr>
          <w:t>www.regulation.gov</w:t>
        </w:r>
      </w:hyperlink>
      <w:r w:rsidRPr="00A2707D">
        <w:rPr>
          <w:rFonts w:ascii="Book Antiqua" w:hAnsi="Book Antiqua" w:cs="Arial"/>
        </w:rPr>
        <w:t>).</w:t>
      </w:r>
    </w:p>
    <w:p w14:paraId="631A1DFD" w14:textId="4B34DFE3" w:rsidR="00AB0F36" w:rsidRPr="00A2707D" w:rsidRDefault="00AB0F36" w:rsidP="00AB0F36">
      <w:pPr>
        <w:pStyle w:val="ListParagraph"/>
        <w:numPr>
          <w:ilvl w:val="3"/>
          <w:numId w:val="9"/>
        </w:numPr>
        <w:spacing w:after="0" w:line="360" w:lineRule="auto"/>
        <w:jc w:val="both"/>
        <w:rPr>
          <w:rFonts w:ascii="Book Antiqua" w:hAnsi="Book Antiqua"/>
        </w:rPr>
      </w:pPr>
      <w:r>
        <w:rPr>
          <w:rFonts w:ascii="Book Antiqua" w:hAnsi="Book Antiqua" w:cs="Arial"/>
        </w:rPr>
        <w:t>Además, indicó</w:t>
      </w:r>
      <w:r w:rsidRPr="00A2707D">
        <w:rPr>
          <w:rFonts w:ascii="Book Antiqua" w:hAnsi="Book Antiqua" w:cs="Arial"/>
        </w:rPr>
        <w:t xml:space="preserve"> que la Sección 2.2 habla de un espacio en el </w:t>
      </w:r>
      <w:r w:rsidRPr="00250C37">
        <w:rPr>
          <w:rFonts w:ascii="Book Antiqua" w:hAnsi="Book Antiqua" w:cs="Arial"/>
          <w:i/>
          <w:iCs/>
        </w:rPr>
        <w:t>Boletín de Reglamentos</w:t>
      </w:r>
      <w:r w:rsidRPr="00A2707D">
        <w:rPr>
          <w:rFonts w:ascii="Book Antiqua" w:hAnsi="Book Antiqua" w:cs="Arial"/>
        </w:rPr>
        <w:t xml:space="preserve"> para sugerencias por parte de las personas. La Escuela de Derecho de la UPR sugiere que se utilice también para levantar documentos, y así no se </w:t>
      </w:r>
      <w:r w:rsidR="00A615C4" w:rsidRPr="00A2707D">
        <w:rPr>
          <w:rFonts w:ascii="Book Antiqua" w:hAnsi="Book Antiqua" w:cs="Arial"/>
        </w:rPr>
        <w:t>dé</w:t>
      </w:r>
      <w:r w:rsidRPr="00A2707D">
        <w:rPr>
          <w:rFonts w:ascii="Book Antiqua" w:hAnsi="Book Antiqua" w:cs="Arial"/>
        </w:rPr>
        <w:t xml:space="preserve"> la impresión </w:t>
      </w:r>
      <w:proofErr w:type="gramStart"/>
      <w:r w:rsidRPr="00A2707D">
        <w:rPr>
          <w:rFonts w:ascii="Book Antiqua" w:hAnsi="Book Antiqua" w:cs="Arial"/>
        </w:rPr>
        <w:t>que</w:t>
      </w:r>
      <w:proofErr w:type="gramEnd"/>
      <w:r w:rsidRPr="00A2707D">
        <w:rPr>
          <w:rFonts w:ascii="Book Antiqua" w:hAnsi="Book Antiqua" w:cs="Arial"/>
        </w:rPr>
        <w:t xml:space="preserve"> es sólo una sección de comentarios. A esos fines, sugiere enmendar el lenguaje para mayor claridad. </w:t>
      </w:r>
    </w:p>
    <w:p w14:paraId="7BFD55BD" w14:textId="77777777" w:rsidR="00AB0F36" w:rsidRPr="00A2707D" w:rsidRDefault="00AB0F36" w:rsidP="00AB0F36">
      <w:pPr>
        <w:pStyle w:val="ListParagraph"/>
        <w:numPr>
          <w:ilvl w:val="2"/>
          <w:numId w:val="9"/>
        </w:numPr>
        <w:spacing w:after="0" w:line="360" w:lineRule="auto"/>
        <w:jc w:val="both"/>
        <w:rPr>
          <w:rFonts w:ascii="Book Antiqua" w:hAnsi="Book Antiqua"/>
        </w:rPr>
      </w:pPr>
      <w:r w:rsidRPr="00A2707D">
        <w:rPr>
          <w:rFonts w:ascii="Book Antiqua" w:hAnsi="Book Antiqua"/>
        </w:rPr>
        <w:t>Sección 2.4 propuesta en el P. de la C. 1080</w:t>
      </w:r>
    </w:p>
    <w:p w14:paraId="40CF23E7" w14:textId="77777777" w:rsidR="00AB0F36" w:rsidRPr="00A2707D" w:rsidRDefault="00AB0F36" w:rsidP="00AB0F36">
      <w:pPr>
        <w:pStyle w:val="ListParagraph"/>
        <w:numPr>
          <w:ilvl w:val="3"/>
          <w:numId w:val="9"/>
        </w:numPr>
        <w:spacing w:after="0" w:line="360" w:lineRule="auto"/>
        <w:jc w:val="both"/>
        <w:rPr>
          <w:rFonts w:ascii="Book Antiqua" w:hAnsi="Book Antiqua"/>
        </w:rPr>
      </w:pPr>
      <w:r w:rsidRPr="00A2707D">
        <w:rPr>
          <w:rFonts w:ascii="Book Antiqua" w:hAnsi="Book Antiqua"/>
        </w:rPr>
        <w:t xml:space="preserve">Con relación a esta sección la Escuela de Derecho de la UPR sugirió que la notificación respecto a las enmiendas a un reglamento debería incluir una orientación respecto a que la ciudadanía puede solicitar la celebración de Vistas Públicas. </w:t>
      </w:r>
    </w:p>
    <w:p w14:paraId="65A13280" w14:textId="467DE3A0" w:rsidR="00AB0F36" w:rsidRPr="00492BE0" w:rsidRDefault="00AB0F36" w:rsidP="00AB0F36">
      <w:pPr>
        <w:pStyle w:val="ListParagraph"/>
        <w:numPr>
          <w:ilvl w:val="3"/>
          <w:numId w:val="9"/>
        </w:numPr>
        <w:spacing w:after="0" w:line="360" w:lineRule="auto"/>
        <w:jc w:val="both"/>
        <w:rPr>
          <w:rFonts w:ascii="Book Antiqua" w:hAnsi="Book Antiqua"/>
        </w:rPr>
      </w:pPr>
      <w:r w:rsidRPr="00A2707D">
        <w:rPr>
          <w:rFonts w:ascii="Book Antiqua" w:hAnsi="Book Antiqua" w:cs="Arial"/>
        </w:rPr>
        <w:t xml:space="preserve">Por otra parte, la Escuela de Derecho de la UPR señala que hoy día se requiere </w:t>
      </w:r>
      <w:proofErr w:type="gramStart"/>
      <w:r w:rsidRPr="00A2707D">
        <w:rPr>
          <w:rFonts w:ascii="Book Antiqua" w:hAnsi="Book Antiqua" w:cs="Arial"/>
        </w:rPr>
        <w:t>que</w:t>
      </w:r>
      <w:proofErr w:type="gramEnd"/>
      <w:r w:rsidRPr="00A2707D">
        <w:rPr>
          <w:rFonts w:ascii="Book Antiqua" w:hAnsi="Book Antiqua" w:cs="Arial"/>
        </w:rPr>
        <w:t xml:space="preserve"> si un reglamento impacta una comunidad, debe comunicarse por radio y en periódicos regionales. Indicó tener dudas si ello se cumple actualmente.  Esto se elimina en el lenguaje propuesto en el PC1080. A juicio de la institución educativa, debería revisarse ese lenguaje en consulta con las agencias que impactan comunidades.</w:t>
      </w:r>
    </w:p>
    <w:p w14:paraId="741B53AE" w14:textId="77777777" w:rsidR="00AB0F36" w:rsidRPr="00A2707D" w:rsidRDefault="00AB0F36" w:rsidP="00AB0F36">
      <w:pPr>
        <w:pStyle w:val="ListParagraph"/>
        <w:numPr>
          <w:ilvl w:val="2"/>
          <w:numId w:val="9"/>
        </w:numPr>
        <w:spacing w:after="0" w:line="360" w:lineRule="auto"/>
        <w:jc w:val="both"/>
        <w:rPr>
          <w:rFonts w:ascii="Book Antiqua" w:hAnsi="Book Antiqua"/>
        </w:rPr>
      </w:pPr>
      <w:r w:rsidRPr="00A2707D">
        <w:rPr>
          <w:rFonts w:ascii="Book Antiqua" w:hAnsi="Book Antiqua"/>
        </w:rPr>
        <w:t>Sección 2.</w:t>
      </w:r>
      <w:r>
        <w:rPr>
          <w:rFonts w:ascii="Book Antiqua" w:hAnsi="Book Antiqua"/>
        </w:rPr>
        <w:t>5</w:t>
      </w:r>
      <w:r w:rsidRPr="00A2707D">
        <w:rPr>
          <w:rFonts w:ascii="Book Antiqua" w:hAnsi="Book Antiqua"/>
        </w:rPr>
        <w:t xml:space="preserve"> propuesta en el P. de la C. 1080</w:t>
      </w:r>
    </w:p>
    <w:p w14:paraId="57662BBA" w14:textId="77777777" w:rsidR="00AB0F36" w:rsidRDefault="00AB0F36" w:rsidP="00AB0F36">
      <w:pPr>
        <w:pStyle w:val="ListParagraph"/>
        <w:numPr>
          <w:ilvl w:val="3"/>
          <w:numId w:val="9"/>
        </w:numPr>
        <w:spacing w:after="0" w:line="360" w:lineRule="auto"/>
        <w:jc w:val="both"/>
        <w:rPr>
          <w:rFonts w:ascii="Book Antiqua" w:hAnsi="Book Antiqua"/>
        </w:rPr>
      </w:pPr>
      <w:r>
        <w:rPr>
          <w:rFonts w:ascii="Book Antiqua" w:hAnsi="Book Antiqua"/>
        </w:rPr>
        <w:t xml:space="preserve">La medida conserva la autoridad que tiene la agencia para determinar si celebrará Vistas o no, a no ser que una ley lo exija. Sin embrago, la Escuela de Derecho de la UPR entiende </w:t>
      </w:r>
      <w:r>
        <w:rPr>
          <w:rFonts w:ascii="Book Antiqua" w:hAnsi="Book Antiqua"/>
        </w:rPr>
        <w:lastRenderedPageBreak/>
        <w:t xml:space="preserve">que la ley debe contener alguna obligación por parte de la agencia a orientar respecto a ese particular. </w:t>
      </w:r>
    </w:p>
    <w:p w14:paraId="05A85F9B" w14:textId="77777777" w:rsidR="00AB0F36" w:rsidRDefault="00AB0F36" w:rsidP="00AB0F36">
      <w:pPr>
        <w:pStyle w:val="ListParagraph"/>
        <w:numPr>
          <w:ilvl w:val="3"/>
          <w:numId w:val="9"/>
        </w:numPr>
        <w:spacing w:after="0" w:line="360" w:lineRule="auto"/>
        <w:jc w:val="both"/>
        <w:rPr>
          <w:rFonts w:ascii="Book Antiqua" w:hAnsi="Book Antiqua"/>
        </w:rPr>
      </w:pPr>
      <w:r>
        <w:rPr>
          <w:rFonts w:ascii="Book Antiqua" w:hAnsi="Book Antiqua"/>
        </w:rPr>
        <w:t xml:space="preserve">La Institución educativa mostró reparo con el término “buena fe”, dado que podría interpretarse “mala fe” al acto de solicitar una </w:t>
      </w:r>
      <w:r w:rsidRPr="00250C37">
        <w:rPr>
          <w:rFonts w:ascii="Book Antiqua" w:hAnsi="Book Antiqua"/>
          <w:i/>
          <w:iCs/>
        </w:rPr>
        <w:t>Vista Pública</w:t>
      </w:r>
      <w:r>
        <w:rPr>
          <w:rFonts w:ascii="Book Antiqua" w:hAnsi="Book Antiqua"/>
        </w:rPr>
        <w:t xml:space="preserve">, ello considerando que la agencia ya tiene discreción para determinar si celebra la Vista. </w:t>
      </w:r>
    </w:p>
    <w:p w14:paraId="27687967" w14:textId="77777777" w:rsidR="00AB0F36" w:rsidRPr="00AA7C0B" w:rsidRDefault="00AB0F36" w:rsidP="00AB0F36">
      <w:pPr>
        <w:pStyle w:val="ListParagraph"/>
        <w:numPr>
          <w:ilvl w:val="3"/>
          <w:numId w:val="9"/>
        </w:numPr>
        <w:spacing w:after="0" w:line="360" w:lineRule="auto"/>
        <w:jc w:val="both"/>
        <w:rPr>
          <w:rFonts w:ascii="Book Antiqua" w:hAnsi="Book Antiqua"/>
        </w:rPr>
      </w:pPr>
      <w:r w:rsidRPr="00AA7C0B">
        <w:rPr>
          <w:rFonts w:ascii="Book Antiqua" w:hAnsi="Book Antiqua"/>
        </w:rPr>
        <w:t xml:space="preserve">De igual modo, </w:t>
      </w:r>
      <w:r w:rsidRPr="00AA7C0B">
        <w:rPr>
          <w:rFonts w:ascii="Book Antiqua" w:hAnsi="Book Antiqua" w:cs="Arial"/>
        </w:rPr>
        <w:t xml:space="preserve">el inciso </w:t>
      </w:r>
      <w:r>
        <w:rPr>
          <w:rFonts w:ascii="Book Antiqua" w:hAnsi="Book Antiqua" w:cs="Arial"/>
        </w:rPr>
        <w:t>“</w:t>
      </w:r>
      <w:r w:rsidRPr="00AA7C0B">
        <w:rPr>
          <w:rFonts w:ascii="Book Antiqua" w:hAnsi="Book Antiqua" w:cs="Arial"/>
        </w:rPr>
        <w:t>C</w:t>
      </w:r>
      <w:r>
        <w:rPr>
          <w:rFonts w:ascii="Book Antiqua" w:hAnsi="Book Antiqua" w:cs="Arial"/>
        </w:rPr>
        <w:t>”</w:t>
      </w:r>
      <w:r w:rsidRPr="00AA7C0B">
        <w:rPr>
          <w:rFonts w:ascii="Book Antiqua" w:hAnsi="Book Antiqua" w:cs="Arial"/>
        </w:rPr>
        <w:t xml:space="preserve"> presenta la posibilidad de comentarios presentados por la ciudadanía con relación a desarrollo económico, servicio, entre otros temas. Sin eliminar esos escenarios ya propuestos se debe contemplar que las personas también puedan presentar sugerencias ante su planteamiento, no solo quejas.</w:t>
      </w:r>
    </w:p>
    <w:p w14:paraId="6E0631D1" w14:textId="77777777" w:rsidR="00AB0F36" w:rsidRPr="00A2707D" w:rsidRDefault="00AB0F36" w:rsidP="00AB0F36">
      <w:pPr>
        <w:pStyle w:val="ListParagraph"/>
        <w:numPr>
          <w:ilvl w:val="2"/>
          <w:numId w:val="9"/>
        </w:numPr>
        <w:spacing w:after="0" w:line="360" w:lineRule="auto"/>
        <w:jc w:val="both"/>
        <w:rPr>
          <w:rFonts w:ascii="Book Antiqua" w:hAnsi="Book Antiqua"/>
        </w:rPr>
      </w:pPr>
      <w:r w:rsidRPr="00A2707D">
        <w:rPr>
          <w:rFonts w:ascii="Book Antiqua" w:hAnsi="Book Antiqua"/>
        </w:rPr>
        <w:t>Sección 2.</w:t>
      </w:r>
      <w:r>
        <w:rPr>
          <w:rFonts w:ascii="Book Antiqua" w:hAnsi="Book Antiqua"/>
        </w:rPr>
        <w:t>6</w:t>
      </w:r>
      <w:r w:rsidRPr="00A2707D">
        <w:rPr>
          <w:rFonts w:ascii="Book Antiqua" w:hAnsi="Book Antiqua"/>
        </w:rPr>
        <w:t xml:space="preserve"> propuesta en el P. de la C. 1080</w:t>
      </w:r>
    </w:p>
    <w:p w14:paraId="7EB2111D" w14:textId="77777777" w:rsidR="00AB0F36" w:rsidRDefault="00AB0F36" w:rsidP="00AB0F36">
      <w:pPr>
        <w:pStyle w:val="ListParagraph"/>
        <w:numPr>
          <w:ilvl w:val="3"/>
          <w:numId w:val="9"/>
        </w:numPr>
        <w:spacing w:after="0" w:line="360" w:lineRule="auto"/>
        <w:jc w:val="both"/>
        <w:rPr>
          <w:rFonts w:ascii="Book Antiqua" w:hAnsi="Book Antiqua"/>
        </w:rPr>
      </w:pPr>
      <w:r>
        <w:rPr>
          <w:rFonts w:ascii="Book Antiqua" w:hAnsi="Book Antiqua"/>
        </w:rPr>
        <w:t xml:space="preserve">La Institución educativa favoreció la creación de la </w:t>
      </w:r>
      <w:r w:rsidRPr="00250C37">
        <w:rPr>
          <w:rFonts w:ascii="Book Antiqua" w:hAnsi="Book Antiqua"/>
          <w:i/>
          <w:iCs/>
        </w:rPr>
        <w:t>Declaración de Costos Estimados</w:t>
      </w:r>
      <w:r>
        <w:rPr>
          <w:rFonts w:ascii="Book Antiqua" w:hAnsi="Book Antiqua"/>
        </w:rPr>
        <w:t xml:space="preserve">, ya que podría evitar que las agencias regulen desproporcionadamente. Sin embargo, debería evaluarse el costo y el beneficio de la implementación del reglamento. </w:t>
      </w:r>
    </w:p>
    <w:p w14:paraId="10477ED9" w14:textId="77777777" w:rsidR="00AB0F36" w:rsidRPr="004C536E" w:rsidRDefault="00AB0F36" w:rsidP="00AB0F36">
      <w:pPr>
        <w:pStyle w:val="ListParagraph"/>
        <w:numPr>
          <w:ilvl w:val="2"/>
          <w:numId w:val="9"/>
        </w:numPr>
        <w:spacing w:after="0" w:line="360" w:lineRule="auto"/>
        <w:jc w:val="both"/>
        <w:rPr>
          <w:rFonts w:ascii="Book Antiqua" w:hAnsi="Book Antiqua"/>
        </w:rPr>
      </w:pPr>
      <w:r w:rsidRPr="004C536E">
        <w:rPr>
          <w:rFonts w:ascii="Book Antiqua" w:hAnsi="Book Antiqua"/>
        </w:rPr>
        <w:t>Sección 2.8 propuesta en el P. de la C. 1080</w:t>
      </w:r>
    </w:p>
    <w:p w14:paraId="21DA014F" w14:textId="77777777" w:rsidR="00AB0F36" w:rsidRPr="004C536E" w:rsidRDefault="00AB0F36" w:rsidP="00AB0F36">
      <w:pPr>
        <w:pStyle w:val="ListParagraph"/>
        <w:numPr>
          <w:ilvl w:val="3"/>
          <w:numId w:val="9"/>
        </w:numPr>
        <w:spacing w:after="0" w:line="360" w:lineRule="auto"/>
        <w:jc w:val="both"/>
        <w:rPr>
          <w:rFonts w:ascii="Book Antiqua" w:hAnsi="Book Antiqua"/>
        </w:rPr>
      </w:pPr>
      <w:r w:rsidRPr="004C536E">
        <w:rPr>
          <w:rFonts w:ascii="Book Antiqua" w:hAnsi="Book Antiqua" w:cs="Arial"/>
        </w:rPr>
        <w:t xml:space="preserve">La Escuela de Derecho de la UPR indicó que se debe examinar cómo funciona a nivel federal la </w:t>
      </w:r>
      <w:r w:rsidRPr="004C536E">
        <w:rPr>
          <w:rFonts w:ascii="Book Antiqua" w:hAnsi="Book Antiqua" w:cs="Arial"/>
          <w:i/>
          <w:iCs/>
        </w:rPr>
        <w:t>Reglamentación Negociada</w:t>
      </w:r>
      <w:r w:rsidRPr="004C536E">
        <w:rPr>
          <w:rFonts w:ascii="Book Antiqua" w:hAnsi="Book Antiqua" w:cs="Arial"/>
        </w:rPr>
        <w:t xml:space="preserve">, dado que este concepto se adoptó para las décadas de 1980 y 1990 cuando había mucho entusiasmo con los temas de mediación. Sin embargo, actualmente se utiliza muy poco en el sistema federal. Hay que examinar por qué no ha funcionado a nivel federal. </w:t>
      </w:r>
    </w:p>
    <w:p w14:paraId="4370E933" w14:textId="77777777" w:rsidR="00AB0F36" w:rsidRDefault="00AB0F36" w:rsidP="00AB0F36">
      <w:pPr>
        <w:pStyle w:val="ListParagraph"/>
        <w:numPr>
          <w:ilvl w:val="3"/>
          <w:numId w:val="9"/>
        </w:numPr>
        <w:spacing w:after="0" w:line="360" w:lineRule="auto"/>
        <w:jc w:val="both"/>
        <w:rPr>
          <w:rFonts w:ascii="Book Antiqua" w:hAnsi="Book Antiqua"/>
        </w:rPr>
      </w:pPr>
      <w:r>
        <w:rPr>
          <w:rFonts w:ascii="Book Antiqua" w:hAnsi="Book Antiqua"/>
        </w:rPr>
        <w:t xml:space="preserve">La institución sugiere establecer un comité que represente </w:t>
      </w:r>
      <w:proofErr w:type="gramStart"/>
      <w:r>
        <w:rPr>
          <w:rFonts w:ascii="Book Antiqua" w:hAnsi="Book Antiqua"/>
        </w:rPr>
        <w:t>múltiple visiones distintas</w:t>
      </w:r>
      <w:proofErr w:type="gramEnd"/>
      <w:r>
        <w:rPr>
          <w:rFonts w:ascii="Book Antiqua" w:hAnsi="Book Antiqua"/>
        </w:rPr>
        <w:t xml:space="preserve">. </w:t>
      </w:r>
    </w:p>
    <w:p w14:paraId="5DAF1787" w14:textId="77777777" w:rsidR="00AB0F36" w:rsidRPr="002E7D67" w:rsidRDefault="00AB0F36" w:rsidP="00AB0F36">
      <w:pPr>
        <w:pStyle w:val="ListParagraph"/>
        <w:numPr>
          <w:ilvl w:val="2"/>
          <w:numId w:val="9"/>
        </w:numPr>
        <w:spacing w:after="0" w:line="360" w:lineRule="auto"/>
        <w:jc w:val="both"/>
        <w:rPr>
          <w:rFonts w:ascii="Book Antiqua" w:hAnsi="Book Antiqua"/>
        </w:rPr>
      </w:pPr>
      <w:r w:rsidRPr="002E7D67">
        <w:rPr>
          <w:rFonts w:ascii="Book Antiqua" w:hAnsi="Book Antiqua"/>
        </w:rPr>
        <w:t>Sección 2.10 propuesta en el P. de la C. 1080</w:t>
      </w:r>
    </w:p>
    <w:p w14:paraId="21267342" w14:textId="77777777" w:rsidR="00AB0F36" w:rsidRPr="00250C37" w:rsidRDefault="00AB0F36" w:rsidP="00AB0F36">
      <w:pPr>
        <w:pStyle w:val="ListParagraph"/>
        <w:numPr>
          <w:ilvl w:val="3"/>
          <w:numId w:val="9"/>
        </w:numPr>
        <w:spacing w:after="0" w:line="360" w:lineRule="auto"/>
        <w:jc w:val="both"/>
        <w:rPr>
          <w:rFonts w:ascii="Book Antiqua" w:hAnsi="Book Antiqua"/>
        </w:rPr>
      </w:pPr>
      <w:r w:rsidRPr="002E7D67">
        <w:rPr>
          <w:rFonts w:ascii="Book Antiqua" w:hAnsi="Book Antiqua" w:cs="Arial"/>
        </w:rPr>
        <w:lastRenderedPageBreak/>
        <w:t>Se recomendó la utilización de un lenguaje claro, preciso, flexible y no técnico. De este modo se reduciría la necesidad de representación legal en un proceso administrativo y adjudicativo.</w:t>
      </w:r>
    </w:p>
    <w:p w14:paraId="5B205CF4" w14:textId="77777777" w:rsidR="00AB0F36" w:rsidRPr="002E7D67" w:rsidRDefault="00AB0F36" w:rsidP="00AB0F36">
      <w:pPr>
        <w:pStyle w:val="ListParagraph"/>
        <w:numPr>
          <w:ilvl w:val="2"/>
          <w:numId w:val="9"/>
        </w:numPr>
        <w:spacing w:after="0" w:line="360" w:lineRule="auto"/>
        <w:jc w:val="both"/>
        <w:rPr>
          <w:rFonts w:ascii="Book Antiqua" w:hAnsi="Book Antiqua"/>
        </w:rPr>
      </w:pPr>
      <w:r w:rsidRPr="002E7D67">
        <w:rPr>
          <w:rFonts w:ascii="Book Antiqua" w:hAnsi="Book Antiqua"/>
        </w:rPr>
        <w:t>Sección 2.14 propuesta en el P. de la C. 1080</w:t>
      </w:r>
    </w:p>
    <w:p w14:paraId="039ADC67" w14:textId="77777777" w:rsidR="00AB0F36" w:rsidRPr="002E7D67" w:rsidRDefault="00AB0F36" w:rsidP="00AB0F36">
      <w:pPr>
        <w:pStyle w:val="NoSpacing"/>
        <w:numPr>
          <w:ilvl w:val="3"/>
          <w:numId w:val="9"/>
        </w:numPr>
        <w:spacing w:line="360" w:lineRule="auto"/>
        <w:jc w:val="both"/>
        <w:rPr>
          <w:rFonts w:ascii="Book Antiqua" w:hAnsi="Book Antiqua" w:cs="Arial"/>
          <w:sz w:val="24"/>
          <w:szCs w:val="24"/>
          <w:lang w:val="es-ES"/>
        </w:rPr>
      </w:pPr>
      <w:r w:rsidRPr="002E7D67">
        <w:rPr>
          <w:rFonts w:ascii="Book Antiqua" w:hAnsi="Book Antiqua" w:cs="Arial"/>
          <w:sz w:val="24"/>
          <w:szCs w:val="24"/>
          <w:lang w:val="es-ES"/>
        </w:rPr>
        <w:t xml:space="preserve">La Escuela de Derecho de la UPR indicó que la propuesta del PC 1080 debería regresar al lenguaje de la Ley 210-2016, </w:t>
      </w:r>
      <w:r w:rsidRPr="002E7D67">
        <w:rPr>
          <w:rFonts w:ascii="Book Antiqua" w:hAnsi="Book Antiqua" w:cs="Arial"/>
          <w:i/>
          <w:iCs/>
          <w:sz w:val="24"/>
          <w:szCs w:val="24"/>
          <w:lang w:val="es-ES"/>
        </w:rPr>
        <w:t>supra</w:t>
      </w:r>
      <w:r w:rsidRPr="002E7D67">
        <w:rPr>
          <w:rFonts w:ascii="Book Antiqua" w:hAnsi="Book Antiqua" w:cs="Arial"/>
          <w:sz w:val="24"/>
          <w:szCs w:val="24"/>
          <w:lang w:val="es-ES"/>
        </w:rPr>
        <w:t>. Ello dado que no es usual que las emergencias tengan cierre y final por lo que se obliga a la agencia a completar el proceso del reglamento lo antes posible con la posibilidad de que pudiera extenderse.</w:t>
      </w:r>
    </w:p>
    <w:p w14:paraId="67061423" w14:textId="77777777" w:rsidR="00AB0F36" w:rsidRPr="00A55432" w:rsidRDefault="00AB0F36" w:rsidP="00AB0F36">
      <w:pPr>
        <w:pStyle w:val="NoSpacing"/>
        <w:numPr>
          <w:ilvl w:val="3"/>
          <w:numId w:val="9"/>
        </w:numPr>
        <w:spacing w:line="360" w:lineRule="auto"/>
        <w:jc w:val="both"/>
        <w:rPr>
          <w:rFonts w:ascii="Book Antiqua" w:hAnsi="Book Antiqua" w:cs="Arial"/>
          <w:sz w:val="24"/>
          <w:szCs w:val="24"/>
          <w:lang w:val="es-ES"/>
        </w:rPr>
      </w:pPr>
      <w:r w:rsidRPr="002E7D67">
        <w:rPr>
          <w:rFonts w:ascii="Book Antiqua" w:hAnsi="Book Antiqua" w:cs="Arial"/>
          <w:sz w:val="24"/>
          <w:szCs w:val="24"/>
          <w:lang w:val="es-ES"/>
        </w:rPr>
        <w:t>Para el deber de la revisión periódica del reglamento se sugiere un proceso de examen de cumplimiento por parte del Departamento de Estado mediante la publicación obligatoria de un informe de cumplimiento por agencia.</w:t>
      </w:r>
    </w:p>
    <w:p w14:paraId="6F3F6FCF" w14:textId="77777777" w:rsidR="00AB0F36" w:rsidRPr="002E7D67" w:rsidRDefault="00AB0F36" w:rsidP="00AB0F36">
      <w:pPr>
        <w:pStyle w:val="ListParagraph"/>
        <w:numPr>
          <w:ilvl w:val="2"/>
          <w:numId w:val="9"/>
        </w:numPr>
        <w:spacing w:after="0" w:line="360" w:lineRule="auto"/>
        <w:jc w:val="both"/>
        <w:rPr>
          <w:rFonts w:ascii="Book Antiqua" w:hAnsi="Book Antiqua"/>
        </w:rPr>
      </w:pPr>
      <w:r w:rsidRPr="002E7D67">
        <w:rPr>
          <w:rFonts w:ascii="Book Antiqua" w:hAnsi="Book Antiqua"/>
        </w:rPr>
        <w:t>Sección 2.15 propuesta en el P. de la C. 1080</w:t>
      </w:r>
    </w:p>
    <w:p w14:paraId="2920BEAD" w14:textId="42FB2418" w:rsidR="00CD5CFE" w:rsidRDefault="00AB0F36" w:rsidP="007479C5">
      <w:pPr>
        <w:pStyle w:val="ListParagraph"/>
        <w:numPr>
          <w:ilvl w:val="3"/>
          <w:numId w:val="9"/>
        </w:numPr>
        <w:spacing w:after="0" w:line="360" w:lineRule="auto"/>
        <w:jc w:val="both"/>
        <w:rPr>
          <w:rFonts w:ascii="Book Antiqua" w:hAnsi="Book Antiqua"/>
        </w:rPr>
      </w:pPr>
      <w:r w:rsidRPr="002E7D67">
        <w:rPr>
          <w:rFonts w:ascii="Book Antiqua" w:hAnsi="Book Antiqua"/>
        </w:rPr>
        <w:t xml:space="preserve">La Escuela de Derecho de la Universidad de Puerto Rico entendió innecesaria la reducción de treinta (30) días a quince </w:t>
      </w:r>
      <w:r>
        <w:rPr>
          <w:rFonts w:ascii="Book Antiqua" w:hAnsi="Book Antiqua"/>
        </w:rPr>
        <w:t>(</w:t>
      </w:r>
      <w:r w:rsidRPr="002E7D67">
        <w:rPr>
          <w:rFonts w:ascii="Book Antiqua" w:hAnsi="Book Antiqua"/>
        </w:rPr>
        <w:t>15) días el periodo para la participación ciudadan</w:t>
      </w:r>
      <w:r w:rsidR="00235512">
        <w:rPr>
          <w:rFonts w:ascii="Book Antiqua" w:hAnsi="Book Antiqua"/>
        </w:rPr>
        <w:t>a</w:t>
      </w:r>
      <w:r w:rsidRPr="002E7D67">
        <w:rPr>
          <w:rFonts w:ascii="Book Antiqua" w:hAnsi="Book Antiqua"/>
        </w:rPr>
        <w:t xml:space="preserve"> en caso de propuesta de derogación de reglamentos. </w:t>
      </w:r>
    </w:p>
    <w:p w14:paraId="66090FF2" w14:textId="77777777" w:rsidR="007479C5" w:rsidRPr="007479C5" w:rsidRDefault="007479C5" w:rsidP="007479C5">
      <w:pPr>
        <w:spacing w:after="0" w:line="360" w:lineRule="auto"/>
        <w:ind w:left="2520"/>
        <w:jc w:val="both"/>
        <w:rPr>
          <w:rFonts w:ascii="Book Antiqua" w:hAnsi="Book Antiqua"/>
        </w:rPr>
      </w:pPr>
    </w:p>
    <w:p w14:paraId="43625E6E" w14:textId="77777777" w:rsidR="00AB0F36" w:rsidRPr="0041337A" w:rsidRDefault="00AB0F36" w:rsidP="00AB0F36">
      <w:pPr>
        <w:pStyle w:val="ListParagraph"/>
        <w:numPr>
          <w:ilvl w:val="0"/>
          <w:numId w:val="9"/>
        </w:numPr>
        <w:spacing w:after="0" w:line="360" w:lineRule="auto"/>
        <w:jc w:val="both"/>
        <w:rPr>
          <w:rFonts w:ascii="Book Antiqua" w:hAnsi="Book Antiqua"/>
        </w:rPr>
      </w:pPr>
      <w:r w:rsidRPr="008925D4">
        <w:rPr>
          <w:rFonts w:ascii="Book Antiqua" w:hAnsi="Book Antiqua"/>
          <w:b/>
          <w:bCs/>
          <w:u w:val="single"/>
        </w:rPr>
        <w:t>Departamento de Estado de Puerto Rico</w:t>
      </w:r>
      <w:r w:rsidRPr="007A0015">
        <w:rPr>
          <w:rFonts w:ascii="Book Antiqua" w:hAnsi="Book Antiqua"/>
        </w:rPr>
        <w:t xml:space="preserve">, Lcda. Alondra Negrón López y </w:t>
      </w:r>
      <w:r>
        <w:rPr>
          <w:rFonts w:ascii="Book Antiqua" w:hAnsi="Book Antiqua"/>
        </w:rPr>
        <w:t xml:space="preserve">          </w:t>
      </w:r>
      <w:r w:rsidRPr="007A0015">
        <w:rPr>
          <w:rFonts w:ascii="Book Antiqua" w:hAnsi="Book Antiqua"/>
        </w:rPr>
        <w:t xml:space="preserve">Lcdo. John Nogueras.  </w:t>
      </w:r>
    </w:p>
    <w:p w14:paraId="2FCD804C" w14:textId="77777777" w:rsidR="00AB0F36" w:rsidRDefault="00AB0F36" w:rsidP="00AB0F36">
      <w:pPr>
        <w:pStyle w:val="ListParagraph"/>
        <w:numPr>
          <w:ilvl w:val="1"/>
          <w:numId w:val="9"/>
        </w:numPr>
        <w:spacing w:after="0" w:line="360" w:lineRule="auto"/>
        <w:jc w:val="both"/>
        <w:rPr>
          <w:rFonts w:ascii="Book Antiqua" w:hAnsi="Book Antiqua"/>
        </w:rPr>
      </w:pPr>
      <w:r w:rsidRPr="00DA4E0E">
        <w:rPr>
          <w:rFonts w:ascii="Book Antiqua" w:hAnsi="Book Antiqua"/>
        </w:rPr>
        <w:t xml:space="preserve">La Lcda. Negrón López </w:t>
      </w:r>
      <w:r>
        <w:rPr>
          <w:rFonts w:ascii="Book Antiqua" w:hAnsi="Book Antiqua"/>
        </w:rPr>
        <w:t xml:space="preserve">comenzó expresando que el P. de la C. 1080 atendía una necesidad de actualizar y modernizar el proceso de reglamentar y divulgar la reglamentación en Puerto Rico. </w:t>
      </w:r>
    </w:p>
    <w:p w14:paraId="79BFB162" w14:textId="63FE887E" w:rsidR="00AB0F36"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 xml:space="preserve">Indicó que el </w:t>
      </w:r>
      <w:r w:rsidRPr="00E0762C">
        <w:rPr>
          <w:rFonts w:ascii="Book Antiqua" w:hAnsi="Book Antiqua"/>
          <w:i/>
          <w:iCs/>
        </w:rPr>
        <w:t>Boletín de Reglamentos</w:t>
      </w:r>
      <w:r>
        <w:rPr>
          <w:rFonts w:ascii="Book Antiqua" w:hAnsi="Book Antiqua"/>
        </w:rPr>
        <w:t xml:space="preserve"> se asemeja a la Gaceta Oficial del Departamento de Estado para el registro de marcas. </w:t>
      </w:r>
      <w:r w:rsidR="00ED27EA">
        <w:rPr>
          <w:rFonts w:ascii="Book Antiqua" w:hAnsi="Book Antiqua"/>
        </w:rPr>
        <w:t>E</w:t>
      </w:r>
      <w:r>
        <w:rPr>
          <w:rFonts w:ascii="Book Antiqua" w:hAnsi="Book Antiqua"/>
        </w:rPr>
        <w:t xml:space="preserve">ste Boletín sustituiría los medios tradicionales de divulgación que ya utilizan las agencias. </w:t>
      </w:r>
    </w:p>
    <w:p w14:paraId="4A04EB45" w14:textId="77777777" w:rsidR="00AB0F36" w:rsidRPr="00473BCA"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lastRenderedPageBreak/>
        <w:t xml:space="preserve">Con relación al </w:t>
      </w:r>
      <w:r w:rsidRPr="00E0762C">
        <w:rPr>
          <w:rFonts w:ascii="Book Antiqua" w:hAnsi="Book Antiqua"/>
          <w:i/>
          <w:iCs/>
        </w:rPr>
        <w:t>Código de Reglamentos</w:t>
      </w:r>
      <w:r>
        <w:rPr>
          <w:rFonts w:ascii="Book Antiqua" w:hAnsi="Book Antiqua"/>
        </w:rPr>
        <w:t xml:space="preserve">, indicó que no es lo mismo que el </w:t>
      </w:r>
      <w:r w:rsidRPr="00E0762C">
        <w:rPr>
          <w:rFonts w:ascii="Book Antiqua" w:hAnsi="Book Antiqua"/>
          <w:i/>
          <w:iCs/>
        </w:rPr>
        <w:t>Registro de Reglamentos</w:t>
      </w:r>
      <w:r>
        <w:rPr>
          <w:rFonts w:ascii="Book Antiqua" w:hAnsi="Book Antiqua"/>
        </w:rPr>
        <w:t xml:space="preserve"> que actualmente existe en el Departamento de Estado. El Registro es un mero depositario de documentos, donde no </w:t>
      </w:r>
      <w:r w:rsidRPr="00473BCA">
        <w:rPr>
          <w:rFonts w:ascii="Book Antiqua" w:hAnsi="Book Antiqua"/>
        </w:rPr>
        <w:t xml:space="preserve">necesariamente se integran las enmiendas al texto de los reglamentos enmendados. Ello dificulta la búsqueda de los cambios en la reglamentación vigente. </w:t>
      </w:r>
    </w:p>
    <w:p w14:paraId="6EF55020" w14:textId="4514B8E9" w:rsidR="00A81978" w:rsidRPr="0082185F" w:rsidRDefault="00AB0F36" w:rsidP="0082185F">
      <w:pPr>
        <w:pStyle w:val="ListParagraph"/>
        <w:numPr>
          <w:ilvl w:val="1"/>
          <w:numId w:val="9"/>
        </w:numPr>
        <w:spacing w:after="0" w:line="360" w:lineRule="auto"/>
        <w:jc w:val="both"/>
        <w:rPr>
          <w:rFonts w:ascii="Book Antiqua" w:hAnsi="Book Antiqua"/>
        </w:rPr>
      </w:pPr>
      <w:r w:rsidRPr="00473BCA">
        <w:rPr>
          <w:rFonts w:ascii="Book Antiqua" w:hAnsi="Book Antiqua" w:cs="Arial"/>
        </w:rPr>
        <w:t>Asimismo, expresó que la colaboración del Depa</w:t>
      </w:r>
      <w:r>
        <w:rPr>
          <w:rFonts w:ascii="Book Antiqua" w:hAnsi="Book Antiqua" w:cs="Arial"/>
        </w:rPr>
        <w:t>r</w:t>
      </w:r>
      <w:r w:rsidRPr="00473BCA">
        <w:rPr>
          <w:rFonts w:ascii="Book Antiqua" w:hAnsi="Book Antiqua" w:cs="Arial"/>
        </w:rPr>
        <w:t xml:space="preserve">tamento de Estado con otras agencias es esencial para asumir y desarrollar la encomienda </w:t>
      </w:r>
      <w:r w:rsidR="00ED27EA">
        <w:rPr>
          <w:rFonts w:ascii="Book Antiqua" w:hAnsi="Book Antiqua" w:cs="Arial"/>
        </w:rPr>
        <w:t>del</w:t>
      </w:r>
      <w:r w:rsidRPr="00473BCA">
        <w:rPr>
          <w:rFonts w:ascii="Book Antiqua" w:hAnsi="Book Antiqua" w:cs="Arial"/>
        </w:rPr>
        <w:t xml:space="preserve"> P. de la C. 1080, la cual es vital para el beneficio del interés público, flexibilización y reducción de muchos costos y muchos procesos burocráticos que son parte del proceso creativo de los reglamentos y su publicación.</w:t>
      </w:r>
    </w:p>
    <w:p w14:paraId="1E163612" w14:textId="77777777" w:rsidR="00AB0F36" w:rsidRDefault="00AB0F36" w:rsidP="00AB0F36">
      <w:pPr>
        <w:pStyle w:val="ListParagraph"/>
        <w:numPr>
          <w:ilvl w:val="0"/>
          <w:numId w:val="9"/>
        </w:numPr>
        <w:spacing w:after="0" w:line="360" w:lineRule="auto"/>
        <w:jc w:val="both"/>
        <w:rPr>
          <w:rFonts w:ascii="Book Antiqua" w:hAnsi="Book Antiqua"/>
        </w:rPr>
      </w:pPr>
      <w:r w:rsidRPr="008925D4">
        <w:rPr>
          <w:rFonts w:ascii="Book Antiqua" w:hAnsi="Book Antiqua"/>
          <w:b/>
          <w:bCs/>
          <w:u w:val="single"/>
        </w:rPr>
        <w:t>Amigxs del Mar</w:t>
      </w:r>
      <w:r>
        <w:rPr>
          <w:rFonts w:ascii="Book Antiqua" w:hAnsi="Book Antiqua"/>
        </w:rPr>
        <w:t>, Sra. Vanessa Uriarte.</w:t>
      </w:r>
    </w:p>
    <w:p w14:paraId="552508CF" w14:textId="77777777" w:rsidR="00AB0F36"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 xml:space="preserve">Amigxs del Mar procedió a leer su ponencia a partir del segundo párrafo para realizar unos señalamientos puntuales. Entre otras cosas, observó qué las ponencias de las entidades gubernamentales se sincronizaban. Expresó, además, que la visión del gobierno dista mucho de la realidad que Amigxs del Mar observa en el día a día en los procesos de participación y organización comunitaria. </w:t>
      </w:r>
    </w:p>
    <w:p w14:paraId="08CFD6DA" w14:textId="77777777" w:rsidR="00AB0F36" w:rsidRPr="00E57F3D"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 xml:space="preserve">Como parte de las expresiones efectuadas, Amigxs del Mar se expresó con relación a la </w:t>
      </w:r>
      <w:r w:rsidRPr="000117CC">
        <w:rPr>
          <w:rFonts w:ascii="Book Antiqua" w:hAnsi="Book Antiqua"/>
          <w:i/>
          <w:iCs/>
        </w:rPr>
        <w:t>Ley de transparencia y procedimiento expedito para el acceso a la información pública</w:t>
      </w:r>
      <w:r>
        <w:rPr>
          <w:rFonts w:ascii="Book Antiqua" w:hAnsi="Book Antiqua"/>
        </w:rPr>
        <w:t xml:space="preserve">, pero éstas fueron declaradas fuera de lugar a petición del Representante Hon. Luis Pérez Ortiz, toda vez que se apartaban de los asuntos a discutirse en la </w:t>
      </w:r>
      <w:r w:rsidRPr="000117CC">
        <w:rPr>
          <w:rFonts w:ascii="Book Antiqua" w:hAnsi="Book Antiqua"/>
          <w:i/>
          <w:iCs/>
        </w:rPr>
        <w:t>Vista Pública</w:t>
      </w:r>
      <w:r>
        <w:rPr>
          <w:rFonts w:ascii="Book Antiqua" w:hAnsi="Book Antiqua"/>
        </w:rPr>
        <w:t xml:space="preserve">. </w:t>
      </w:r>
    </w:p>
    <w:p w14:paraId="28722105" w14:textId="77777777" w:rsidR="00AB0F36" w:rsidRPr="00A579E1"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Asimismo, Amigxs del Mar</w:t>
      </w:r>
      <w:r w:rsidRPr="00A579E1">
        <w:rPr>
          <w:rFonts w:ascii="Book Antiqua" w:hAnsi="Book Antiqua"/>
        </w:rPr>
        <w:t xml:space="preserve"> expresó:</w:t>
      </w:r>
    </w:p>
    <w:p w14:paraId="3D697CA8" w14:textId="77777777" w:rsidR="00AB0F36" w:rsidRPr="00A579E1" w:rsidRDefault="00AB0F36" w:rsidP="00AB0F36">
      <w:pPr>
        <w:pStyle w:val="ListParagraph"/>
        <w:numPr>
          <w:ilvl w:val="2"/>
          <w:numId w:val="9"/>
        </w:numPr>
        <w:spacing w:after="0" w:line="360" w:lineRule="auto"/>
        <w:jc w:val="both"/>
        <w:rPr>
          <w:rFonts w:ascii="Book Antiqua" w:hAnsi="Book Antiqua"/>
        </w:rPr>
      </w:pPr>
      <w:r w:rsidRPr="00A579E1">
        <w:rPr>
          <w:rFonts w:ascii="Book Antiqua" w:hAnsi="Book Antiqua" w:cs="Arial"/>
        </w:rPr>
        <w:t>El acceso a la información es uno de los pilares fundamentales para el ejercicio activo de la participación ciudadana en una democracia real, funcional y sin vicios de Estado autoritario o fascista.</w:t>
      </w:r>
    </w:p>
    <w:p w14:paraId="12E00995" w14:textId="64660A71" w:rsidR="00AB0F36" w:rsidRPr="00A579E1" w:rsidRDefault="00AB0F36" w:rsidP="00AB0F36">
      <w:pPr>
        <w:pStyle w:val="NoSpacing"/>
        <w:numPr>
          <w:ilvl w:val="2"/>
          <w:numId w:val="9"/>
        </w:numPr>
        <w:spacing w:line="360" w:lineRule="auto"/>
        <w:jc w:val="both"/>
        <w:rPr>
          <w:rFonts w:ascii="Book Antiqua" w:hAnsi="Book Antiqua" w:cs="Arial"/>
          <w:sz w:val="24"/>
          <w:szCs w:val="24"/>
          <w:lang w:val="es-ES"/>
        </w:rPr>
      </w:pPr>
      <w:r w:rsidRPr="00A579E1">
        <w:rPr>
          <w:rFonts w:ascii="Book Antiqua" w:hAnsi="Book Antiqua" w:cs="Arial"/>
          <w:sz w:val="24"/>
          <w:szCs w:val="24"/>
          <w:lang w:val="es-ES"/>
        </w:rPr>
        <w:t xml:space="preserve">Con relación a la participación ciudadana en el proceso de reglamentación gubernamental, Amigxs del Mar, alertó sobre </w:t>
      </w:r>
      <w:r w:rsidRPr="00A579E1">
        <w:rPr>
          <w:rFonts w:ascii="Book Antiqua" w:hAnsi="Book Antiqua" w:cs="Arial"/>
          <w:sz w:val="24"/>
          <w:szCs w:val="24"/>
          <w:lang w:val="es-ES"/>
        </w:rPr>
        <w:lastRenderedPageBreak/>
        <w:t xml:space="preserve">nuevos escollos para su garantía ya que, según entiende, el P. de la C. 1080 establecía nuevas trabas para la participación ciudadana activa e informada. </w:t>
      </w:r>
    </w:p>
    <w:p w14:paraId="37DC56B9" w14:textId="00D73701" w:rsidR="00AB0F36" w:rsidRPr="00A579E1" w:rsidRDefault="00AB0F36" w:rsidP="00AB0F36">
      <w:pPr>
        <w:pStyle w:val="NoSpacing"/>
        <w:numPr>
          <w:ilvl w:val="2"/>
          <w:numId w:val="9"/>
        </w:numPr>
        <w:spacing w:line="360" w:lineRule="auto"/>
        <w:jc w:val="both"/>
        <w:rPr>
          <w:rFonts w:ascii="Book Antiqua" w:hAnsi="Book Antiqua" w:cs="Arial"/>
          <w:sz w:val="24"/>
          <w:szCs w:val="24"/>
          <w:lang w:val="es-ES"/>
        </w:rPr>
      </w:pPr>
      <w:r>
        <w:rPr>
          <w:rFonts w:ascii="Book Antiqua" w:hAnsi="Book Antiqua" w:cs="Arial"/>
          <w:sz w:val="24"/>
          <w:szCs w:val="24"/>
          <w:lang w:val="es-ES"/>
        </w:rPr>
        <w:t xml:space="preserve">Relacionado al inciso “C” de la Sección 2.2 de la Ley núm. 38-2017, </w:t>
      </w:r>
      <w:r w:rsidRPr="00BF3432">
        <w:rPr>
          <w:rFonts w:ascii="Book Antiqua" w:hAnsi="Book Antiqua" w:cs="Arial"/>
          <w:i/>
          <w:iCs/>
          <w:sz w:val="24"/>
          <w:szCs w:val="24"/>
          <w:lang w:val="es-ES"/>
        </w:rPr>
        <w:t>supra</w:t>
      </w:r>
      <w:r>
        <w:rPr>
          <w:rFonts w:ascii="Book Antiqua" w:hAnsi="Book Antiqua" w:cs="Arial"/>
          <w:sz w:val="24"/>
          <w:szCs w:val="24"/>
          <w:lang w:val="es-ES"/>
        </w:rPr>
        <w:t xml:space="preserve">, donde se establecen criterios de publicidad para garantizar el acceso equitativo a la información, entendió que las medidas resultarían inadecuadas para subsanar la brecha de acceso tecnológico. Asimismo, indicó que el andamiaje legal propuesto podría a los ciudadanos, entidades sin fines de lucro y otros participantes del proceso en un estado de alerta e hipervigilancia. Igualmente, indicó, además del </w:t>
      </w:r>
      <w:r w:rsidRPr="00DB5781">
        <w:rPr>
          <w:rFonts w:ascii="Book Antiqua" w:hAnsi="Book Antiqua" w:cs="Arial"/>
          <w:i/>
          <w:iCs/>
          <w:sz w:val="24"/>
          <w:szCs w:val="24"/>
          <w:lang w:val="es-ES"/>
        </w:rPr>
        <w:t>Boletín de Reglamentos</w:t>
      </w:r>
      <w:r>
        <w:rPr>
          <w:rFonts w:ascii="Book Antiqua" w:hAnsi="Book Antiqua" w:cs="Arial"/>
          <w:sz w:val="24"/>
          <w:szCs w:val="24"/>
          <w:lang w:val="es-ES"/>
        </w:rPr>
        <w:t xml:space="preserve">, el inciso “c” resulta ambiguo en cuanto a formas adicionales de promulgación. Finalmente, expresó que el </w:t>
      </w:r>
      <w:r w:rsidRPr="00DF12E7">
        <w:rPr>
          <w:rFonts w:ascii="Book Antiqua" w:hAnsi="Book Antiqua" w:cs="Arial"/>
          <w:i/>
          <w:iCs/>
          <w:sz w:val="24"/>
          <w:szCs w:val="24"/>
          <w:lang w:val="es-ES"/>
        </w:rPr>
        <w:t>Boletín de Reglamentos</w:t>
      </w:r>
      <w:r>
        <w:rPr>
          <w:rFonts w:ascii="Book Antiqua" w:hAnsi="Book Antiqua" w:cs="Arial"/>
          <w:sz w:val="24"/>
          <w:szCs w:val="24"/>
          <w:lang w:val="es-ES"/>
        </w:rPr>
        <w:t xml:space="preserve"> debería ser una herramienta complementaria</w:t>
      </w:r>
      <w:r w:rsidR="00ED27EA">
        <w:rPr>
          <w:rFonts w:ascii="Book Antiqua" w:hAnsi="Book Antiqua" w:cs="Arial"/>
          <w:sz w:val="24"/>
          <w:szCs w:val="24"/>
          <w:lang w:val="es-ES"/>
        </w:rPr>
        <w:t xml:space="preserve"> a</w:t>
      </w:r>
      <w:r>
        <w:rPr>
          <w:rFonts w:ascii="Book Antiqua" w:hAnsi="Book Antiqua" w:cs="Arial"/>
          <w:sz w:val="24"/>
          <w:szCs w:val="24"/>
          <w:lang w:val="es-ES"/>
        </w:rPr>
        <w:t xml:space="preserve"> los mecanismos de publicidad existentes.  </w:t>
      </w:r>
    </w:p>
    <w:p w14:paraId="1AF7B686"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La inclusión del término “sustancialmente afectada” dentro de la Sección 2.5, para que una persona, natural o jurídica, pueda someter comentarios podría limitar la participación ciudadana. Según amplió, el término “sustancialmente afectada” se asemeja al de “legitimación o “</w:t>
      </w:r>
      <w:r w:rsidRPr="00F92626">
        <w:rPr>
          <w:rFonts w:ascii="Book Antiqua" w:hAnsi="Book Antiqua"/>
          <w:i/>
          <w:iCs/>
        </w:rPr>
        <w:t>standing</w:t>
      </w:r>
      <w:r>
        <w:rPr>
          <w:rFonts w:ascii="Book Antiqua" w:hAnsi="Book Antiqua"/>
        </w:rPr>
        <w:t xml:space="preserve">” jurídico. </w:t>
      </w:r>
    </w:p>
    <w:p w14:paraId="2C21F8D0"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De igual manera, señaló que la inclusión del término “sustancialmente afectada”, sugería la necesidad de probar un daño o perjuicio sustancial para poder someter comentarios con relación a una propuesta o enmienda de reglamento. </w:t>
      </w:r>
    </w:p>
    <w:p w14:paraId="2E531E01"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Asimismo, criticó la inclusión del término de “buena fe” y la expresión referente a exponer las razones o interés legítimo que justifiquen su petición, dado que sugería la necesidad de buena o mala fe de quien desee participar en los procesos de reglamentación. </w:t>
      </w:r>
    </w:p>
    <w:p w14:paraId="45B2C90E"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lastRenderedPageBreak/>
        <w:t xml:space="preserve">Indicó que debían incluirse las redes sociales como medio de difusión. </w:t>
      </w:r>
    </w:p>
    <w:p w14:paraId="544F81EE" w14:textId="21E2B9DD" w:rsidR="00AB0F36" w:rsidRPr="00AB0F36" w:rsidRDefault="00AB0F36" w:rsidP="00AB0F36">
      <w:pPr>
        <w:pStyle w:val="ListParagraph"/>
        <w:numPr>
          <w:ilvl w:val="2"/>
          <w:numId w:val="9"/>
        </w:numPr>
        <w:spacing w:after="0" w:line="360" w:lineRule="auto"/>
        <w:jc w:val="both"/>
        <w:rPr>
          <w:rFonts w:ascii="Book Antiqua" w:hAnsi="Book Antiqua"/>
        </w:rPr>
      </w:pPr>
      <w:r w:rsidRPr="006C3C50">
        <w:rPr>
          <w:rFonts w:ascii="Book Antiqua" w:hAnsi="Book Antiqua"/>
        </w:rPr>
        <w:t xml:space="preserve">Asimismo, solicitó </w:t>
      </w:r>
      <w:r w:rsidRPr="006C3C50">
        <w:rPr>
          <w:rFonts w:ascii="Book Antiqua" w:hAnsi="Book Antiqua" w:cs="Arial"/>
        </w:rPr>
        <w:t>que no se excluyan requisitos de divulgación actualmente vigentes en la Sección 2.1;  revisar el lenguaje de la medida; la eliminación de los requisitos evaluativos en relación con la legitimidad activa, los elementos de buena fe real y el interés genuino, para poder participar de los procesos de enmiendas o nueva reglamentación;  revisar y definir con claridad el inciso C, de la Sección 2.2 propuesta que establece los criterios de acceso coordinado entre el Departamento de Estado,  sus Centros de Servicios y los Gobiernos Municipales.</w:t>
      </w:r>
    </w:p>
    <w:p w14:paraId="2E75F9D6" w14:textId="77777777" w:rsidR="007479C5" w:rsidRDefault="007479C5" w:rsidP="001E1EB2">
      <w:pPr>
        <w:spacing w:after="0" w:line="276" w:lineRule="auto"/>
        <w:rPr>
          <w:rFonts w:ascii="Book Antiqua" w:eastAsia="Times New Roman" w:hAnsi="Book Antiqua" w:cs="Times New Roman"/>
          <w:b/>
          <w:bCs/>
          <w:kern w:val="0"/>
          <w14:ligatures w14:val="none"/>
        </w:rPr>
      </w:pPr>
    </w:p>
    <w:p w14:paraId="30C09981" w14:textId="4087A29B" w:rsidR="00D03212" w:rsidRDefault="00433876" w:rsidP="007479C5">
      <w:pPr>
        <w:spacing w:after="0" w:line="276" w:lineRule="auto"/>
        <w:jc w:val="center"/>
        <w:rPr>
          <w:rFonts w:ascii="Book Antiqua" w:eastAsia="Times New Roman" w:hAnsi="Book Antiqua" w:cs="Times New Roman"/>
          <w:b/>
          <w:bCs/>
          <w:kern w:val="0"/>
          <w14:ligatures w14:val="none"/>
        </w:rPr>
      </w:pPr>
      <w:r w:rsidRPr="005F1042">
        <w:rPr>
          <w:rFonts w:ascii="Book Antiqua" w:eastAsia="Times New Roman" w:hAnsi="Book Antiqua" w:cs="Times New Roman"/>
          <w:b/>
          <w:bCs/>
          <w:kern w:val="0"/>
          <w14:ligatures w14:val="none"/>
        </w:rPr>
        <w:t>IMPACTO ECONÓMICO</w:t>
      </w:r>
    </w:p>
    <w:p w14:paraId="7CA100F3" w14:textId="77777777" w:rsidR="00890910" w:rsidRDefault="00890910" w:rsidP="00890910">
      <w:pPr>
        <w:spacing w:after="0" w:line="276" w:lineRule="auto"/>
        <w:rPr>
          <w:rFonts w:ascii="Book Antiqua" w:eastAsia="Times New Roman" w:hAnsi="Book Antiqua" w:cs="Times New Roman"/>
          <w:b/>
          <w:bCs/>
          <w:kern w:val="0"/>
          <w14:ligatures w14:val="none"/>
        </w:rPr>
      </w:pPr>
    </w:p>
    <w:p w14:paraId="074958AE" w14:textId="63FC7366" w:rsidR="00890910" w:rsidRPr="00890910" w:rsidRDefault="00890910" w:rsidP="00890910">
      <w:pPr>
        <w:spacing w:after="0" w:line="360" w:lineRule="auto"/>
        <w:ind w:firstLine="720"/>
        <w:jc w:val="both"/>
        <w:rPr>
          <w:rFonts w:ascii="Book Antiqua" w:eastAsia="Times New Roman" w:hAnsi="Book Antiqua" w:cs="Times New Roman"/>
          <w:kern w:val="0"/>
          <w14:ligatures w14:val="none"/>
        </w:rPr>
      </w:pPr>
      <w:r w:rsidRPr="00890910">
        <w:rPr>
          <w:rFonts w:ascii="Book Antiqua" w:eastAsia="Times New Roman" w:hAnsi="Book Antiqua" w:cs="Times New Roman"/>
          <w:kern w:val="0"/>
          <w14:ligatures w14:val="none"/>
        </w:rPr>
        <w:t xml:space="preserve">Según lo expresado en el Informe de la OPAL, la medida no generaría un impacto fiscal significativo, y requeriría $77,000.00 anuales, aproximadamente, para la creación del </w:t>
      </w:r>
      <w:r w:rsidRPr="00890910">
        <w:rPr>
          <w:rFonts w:ascii="Book Antiqua" w:eastAsia="Times New Roman" w:hAnsi="Book Antiqua" w:cs="Times New Roman"/>
          <w:i/>
          <w:iCs/>
          <w:kern w:val="0"/>
          <w14:ligatures w14:val="none"/>
        </w:rPr>
        <w:t>Código de Reglamentos</w:t>
      </w:r>
      <w:r w:rsidRPr="00890910">
        <w:rPr>
          <w:rFonts w:ascii="Book Antiqua" w:eastAsia="Times New Roman" w:hAnsi="Book Antiqua" w:cs="Times New Roman"/>
          <w:kern w:val="0"/>
          <w14:ligatures w14:val="none"/>
        </w:rPr>
        <w:t>.</w:t>
      </w:r>
      <w:r>
        <w:rPr>
          <w:rStyle w:val="FootnoteReference"/>
          <w:rFonts w:ascii="Book Antiqua" w:eastAsia="Times New Roman" w:hAnsi="Book Antiqua"/>
          <w:kern w:val="0"/>
          <w14:ligatures w14:val="none"/>
        </w:rPr>
        <w:footnoteReference w:id="115"/>
      </w:r>
      <w:r w:rsidRPr="00890910">
        <w:rPr>
          <w:rFonts w:ascii="Book Antiqua" w:eastAsia="Times New Roman" w:hAnsi="Book Antiqua" w:cs="Times New Roman"/>
          <w:kern w:val="0"/>
          <w14:ligatures w14:val="none"/>
        </w:rPr>
        <w:t xml:space="preserve"> Sin embargo, según las expresiones del Departamento de Estado, la medida podría requerir que se le reasigne una partida de </w:t>
      </w:r>
      <w:r w:rsidRPr="00890910">
        <w:rPr>
          <w:rFonts w:ascii="Book Antiqua" w:hAnsi="Book Antiqua"/>
        </w:rPr>
        <w:t xml:space="preserve">$1,276,800.00, actualmente </w:t>
      </w:r>
      <w:r>
        <w:rPr>
          <w:rFonts w:ascii="Book Antiqua" w:hAnsi="Book Antiqua"/>
        </w:rPr>
        <w:t xml:space="preserve">asignada a la </w:t>
      </w:r>
      <w:r w:rsidRPr="004F7549">
        <w:rPr>
          <w:rFonts w:ascii="Book Antiqua" w:hAnsi="Book Antiqua"/>
        </w:rPr>
        <w:t>Autoridad del Distrito de Convenciones</w:t>
      </w:r>
      <w:r>
        <w:rPr>
          <w:rFonts w:ascii="Book Antiqua" w:hAnsi="Book Antiqua"/>
        </w:rPr>
        <w:t>.</w:t>
      </w:r>
      <w:r>
        <w:rPr>
          <w:rStyle w:val="FootnoteReference"/>
          <w:rFonts w:ascii="Book Antiqua" w:hAnsi="Book Antiqua"/>
        </w:rPr>
        <w:footnoteReference w:id="116"/>
      </w:r>
    </w:p>
    <w:p w14:paraId="73332327" w14:textId="77777777" w:rsidR="007479C5" w:rsidRPr="007479C5" w:rsidRDefault="007479C5" w:rsidP="007479C5">
      <w:pPr>
        <w:spacing w:after="0" w:line="276" w:lineRule="auto"/>
        <w:jc w:val="center"/>
        <w:rPr>
          <w:rFonts w:ascii="Book Antiqua" w:eastAsia="Times New Roman" w:hAnsi="Book Antiqua" w:cs="Times New Roman"/>
          <w:b/>
          <w:bCs/>
          <w:kern w:val="0"/>
          <w14:ligatures w14:val="none"/>
        </w:rPr>
      </w:pPr>
    </w:p>
    <w:p w14:paraId="27245D47" w14:textId="498F04A5" w:rsidR="00A54AF0" w:rsidRPr="005F1042" w:rsidRDefault="00A54AF0" w:rsidP="00A54AF0">
      <w:pPr>
        <w:spacing w:after="0" w:line="240" w:lineRule="auto"/>
        <w:jc w:val="center"/>
        <w:rPr>
          <w:rFonts w:ascii="Book Antiqua" w:eastAsia="Times New Roman" w:hAnsi="Book Antiqua" w:cs="Times New Roman"/>
          <w:b/>
          <w:kern w:val="0"/>
          <w14:ligatures w14:val="none"/>
        </w:rPr>
      </w:pPr>
      <w:r w:rsidRPr="005F1042">
        <w:rPr>
          <w:rFonts w:ascii="Book Antiqua" w:eastAsia="Times New Roman" w:hAnsi="Book Antiqua" w:cs="Times New Roman"/>
          <w:b/>
          <w:kern w:val="0"/>
          <w14:ligatures w14:val="none"/>
        </w:rPr>
        <w:t>ANÁLISIS DE LA MEDIDA</w:t>
      </w:r>
    </w:p>
    <w:p w14:paraId="0C8A9031" w14:textId="77777777" w:rsidR="005F1042" w:rsidRPr="005F1042" w:rsidRDefault="005F1042" w:rsidP="00A54AF0">
      <w:pPr>
        <w:spacing w:after="0" w:line="240" w:lineRule="auto"/>
        <w:jc w:val="center"/>
        <w:rPr>
          <w:rFonts w:ascii="Book Antiqua" w:eastAsia="Times New Roman" w:hAnsi="Book Antiqua" w:cs="Times New Roman"/>
          <w:b/>
          <w:kern w:val="0"/>
          <w14:ligatures w14:val="none"/>
        </w:rPr>
      </w:pPr>
    </w:p>
    <w:p w14:paraId="26808BC8" w14:textId="5D4E15C2" w:rsidR="00CE6DAA" w:rsidRPr="00F814E0" w:rsidRDefault="00CE6DAA" w:rsidP="00F814E0">
      <w:pPr>
        <w:pStyle w:val="ListParagraph"/>
        <w:numPr>
          <w:ilvl w:val="0"/>
          <w:numId w:val="8"/>
        </w:numPr>
        <w:spacing w:before="200" w:after="100" w:line="320" w:lineRule="auto"/>
        <w:ind w:left="360"/>
        <w:jc w:val="center"/>
        <w:rPr>
          <w:rFonts w:ascii="Book Antiqua" w:hAnsi="Book Antiqua"/>
          <w:u w:val="single"/>
        </w:rPr>
      </w:pPr>
      <w:r w:rsidRPr="00F814E0">
        <w:rPr>
          <w:rFonts w:ascii="Book Antiqua" w:hAnsi="Book Antiqua"/>
          <w:u w:val="single"/>
        </w:rPr>
        <w:t>Trasfondo y Política Pública</w:t>
      </w:r>
    </w:p>
    <w:p w14:paraId="2C7F383F" w14:textId="329B4E55" w:rsidR="00CE6DAA" w:rsidRPr="00AB7D98" w:rsidRDefault="00CE6DAA" w:rsidP="00CE6DAA">
      <w:pPr>
        <w:spacing w:after="200" w:line="360" w:lineRule="auto"/>
        <w:ind w:firstLine="720"/>
        <w:jc w:val="both"/>
        <w:rPr>
          <w:rFonts w:ascii="Book Antiqua" w:hAnsi="Book Antiqua"/>
        </w:rPr>
      </w:pPr>
      <w:r w:rsidRPr="00AB7D98">
        <w:rPr>
          <w:rFonts w:ascii="Book Antiqua" w:hAnsi="Book Antiqua"/>
        </w:rPr>
        <w:t>La presente iniciativa legislativa responde a una agenda de política pública orientada a la modernización del aparato administrativo gubernamental. La Gobernadora de Puerto Rico, Hon. Jenniffer A. González Colón, mediante el Boletín Administrativo Núm. OE-2025-009</w:t>
      </w:r>
      <w:r w:rsidR="00BB6A49">
        <w:rPr>
          <w:rStyle w:val="FootnoteReference"/>
          <w:rFonts w:ascii="Book Antiqua" w:hAnsi="Book Antiqua"/>
        </w:rPr>
        <w:footnoteReference w:id="117"/>
      </w:r>
      <w:r w:rsidRPr="00AB7D98">
        <w:rPr>
          <w:rFonts w:ascii="Book Antiqua" w:hAnsi="Book Antiqua"/>
        </w:rPr>
        <w:t xml:space="preserve">, estableció la Iniciativa para la Desreglamentación </w:t>
      </w:r>
      <w:r w:rsidRPr="00AB7D98">
        <w:rPr>
          <w:rFonts w:ascii="Book Antiqua" w:hAnsi="Book Antiqua"/>
        </w:rPr>
        <w:lastRenderedPageBreak/>
        <w:t>y Eficiencia Administrativa (IDEA), cuyo propósito es la revisión y racionalización integral de las estructuras regulatorias vigentes en Puerto Rico.</w:t>
      </w:r>
    </w:p>
    <w:p w14:paraId="279D9265" w14:textId="1D5945F9" w:rsidR="00CE6DAA" w:rsidRPr="00AB7D98" w:rsidRDefault="00CE6DAA" w:rsidP="00CE6DAA">
      <w:pPr>
        <w:spacing w:after="200" w:line="360" w:lineRule="auto"/>
        <w:ind w:firstLine="720"/>
        <w:jc w:val="both"/>
        <w:rPr>
          <w:rFonts w:ascii="Book Antiqua" w:hAnsi="Book Antiqua"/>
        </w:rPr>
      </w:pPr>
      <w:r w:rsidRPr="00AB7D98">
        <w:rPr>
          <w:rFonts w:ascii="Book Antiqua" w:hAnsi="Book Antiqua"/>
        </w:rPr>
        <w:t xml:space="preserve">Los trabajos iniciales realizados al amparo de IDEA produjeron un diagnóstico contundente sobre el estado de la reglamentación administrativa en nuestra jurisdicción. Según el informe rendido, existen aproximadamente cuatro mil ciento sesenta (4,160) reglamentos y enmiendas activas; el noventa por ciento (90%) de la reglamentación vigente no ha sido objeto de revisión en más de cinco (5) años; y la antigüedad promedio de los reglamentos asciende a </w:t>
      </w:r>
      <w:proofErr w:type="gramStart"/>
      <w:r w:rsidRPr="00AB7D98">
        <w:rPr>
          <w:rFonts w:ascii="Book Antiqua" w:hAnsi="Book Antiqua"/>
        </w:rPr>
        <w:t>veintidós</w:t>
      </w:r>
      <w:r w:rsidR="00E01A23">
        <w:rPr>
          <w:rFonts w:ascii="Book Antiqua" w:hAnsi="Book Antiqua"/>
        </w:rPr>
        <w:t xml:space="preserve"> punto</w:t>
      </w:r>
      <w:proofErr w:type="gramEnd"/>
      <w:r w:rsidR="00E01A23">
        <w:rPr>
          <w:rFonts w:ascii="Book Antiqua" w:hAnsi="Book Antiqua"/>
        </w:rPr>
        <w:t xml:space="preserve"> dieciséis</w:t>
      </w:r>
      <w:r w:rsidRPr="00AB7D98">
        <w:rPr>
          <w:rFonts w:ascii="Book Antiqua" w:hAnsi="Book Antiqua"/>
        </w:rPr>
        <w:t xml:space="preserve"> (22.16) años. Estos hallazgos coinciden con observaciones previas de la Oficina del Inspector General, que documentaron niveles preocupantes de incumplimiento con el deber de revisión periódica que ya contempla la LPAU vigente.</w:t>
      </w:r>
    </w:p>
    <w:p w14:paraId="6305E76F" w14:textId="77777777" w:rsidR="00CE6DAA" w:rsidRPr="00AB7D98" w:rsidRDefault="00CE6DAA" w:rsidP="00CE6DAA">
      <w:pPr>
        <w:spacing w:after="200" w:line="360" w:lineRule="auto"/>
        <w:ind w:firstLine="720"/>
        <w:jc w:val="both"/>
        <w:rPr>
          <w:rFonts w:ascii="Book Antiqua" w:hAnsi="Book Antiqua"/>
        </w:rPr>
      </w:pPr>
      <w:r w:rsidRPr="00AB7D98">
        <w:rPr>
          <w:rFonts w:ascii="Book Antiqua" w:hAnsi="Book Antiqua"/>
        </w:rPr>
        <w:t>El diagnóstico anterior pone de manifiesto una realidad ineludible. El marco procesal contenido en el Capítulo II de la LPAU, originalmente concebido en 1988 y revisado parcialmente en 2017, descansa en presupuestos institucionales y tecnológicos que la realidad ha rebasado. La exigencia de publicación de avisos en periódicos de circulación general, por ejemplo, supone una ficción jurídica que vincula el conocimiento ciudadano a un medio que ha perdido alcance y penetración en las últimas dos décadas. De igual forma, la inexistencia de un repositorio centralizado y digital de la reglamentación vigente impide a la ciudadanía, al sector privado y al propio gobierno conocer con certeza el estado del derecho administrativo aplicable.</w:t>
      </w:r>
    </w:p>
    <w:p w14:paraId="748C76BF" w14:textId="77777777" w:rsidR="00CE6DAA" w:rsidRPr="00AB7D98" w:rsidRDefault="00CE6DAA" w:rsidP="00CE6DAA">
      <w:pPr>
        <w:spacing w:after="200" w:line="360" w:lineRule="auto"/>
        <w:ind w:firstLine="720"/>
        <w:jc w:val="both"/>
        <w:rPr>
          <w:rFonts w:ascii="Book Antiqua" w:hAnsi="Book Antiqua"/>
        </w:rPr>
      </w:pPr>
      <w:r w:rsidRPr="00AB7D98">
        <w:rPr>
          <w:rFonts w:ascii="Book Antiqua" w:hAnsi="Book Antiqua"/>
        </w:rPr>
        <w:t xml:space="preserve">Esta Comisión coincide con la apreciación de los deponentes en cuanto a que la modernización del marco regulatorio constituye una pieza estratégica para la competitividad económica de Puerto Rico y para el fortalecimiento de la confianza ciudadana en la gestión pública. Como acertadamente expuso el Departamento de Estado en su memorial explicativo suplementado, la medida “constituye un avance significativo </w:t>
      </w:r>
      <w:r w:rsidRPr="00AB7D98">
        <w:rPr>
          <w:rFonts w:ascii="Book Antiqua" w:hAnsi="Book Antiqua"/>
        </w:rPr>
        <w:lastRenderedPageBreak/>
        <w:t>en el derecho administrativo” y “nos posiciona en el objetivo de asegurar la competitividad entendida como la capacidad de Puerto Rico para atraer y retener inversión, talento, capital y actividad empresarial”.</w:t>
      </w:r>
    </w:p>
    <w:p w14:paraId="4BB46D08" w14:textId="32E31FD0" w:rsidR="00CE6DAA" w:rsidRPr="00F814E0" w:rsidRDefault="00CE6DAA" w:rsidP="00F814E0">
      <w:pPr>
        <w:pStyle w:val="ListParagraph"/>
        <w:numPr>
          <w:ilvl w:val="0"/>
          <w:numId w:val="8"/>
        </w:numPr>
        <w:spacing w:before="200" w:after="100" w:line="320" w:lineRule="auto"/>
        <w:ind w:left="360"/>
        <w:jc w:val="center"/>
        <w:rPr>
          <w:rFonts w:ascii="Book Antiqua" w:hAnsi="Book Antiqua"/>
          <w:u w:val="single"/>
        </w:rPr>
      </w:pPr>
      <w:r w:rsidRPr="00F814E0">
        <w:rPr>
          <w:rFonts w:ascii="Book Antiqua" w:hAnsi="Book Antiqua"/>
          <w:u w:val="single"/>
        </w:rPr>
        <w:t>Marco de Referencia</w:t>
      </w:r>
    </w:p>
    <w:p w14:paraId="63C7981B" w14:textId="25FD7483" w:rsidR="00CE6DAA" w:rsidRPr="00AB7D98" w:rsidRDefault="00CE6DAA" w:rsidP="00CE6DAA">
      <w:pPr>
        <w:spacing w:after="200" w:line="360" w:lineRule="auto"/>
        <w:ind w:firstLine="720"/>
        <w:jc w:val="both"/>
        <w:rPr>
          <w:rFonts w:ascii="Book Antiqua" w:hAnsi="Book Antiqua"/>
        </w:rPr>
      </w:pPr>
      <w:r w:rsidRPr="00AB7D98">
        <w:rPr>
          <w:rFonts w:ascii="Book Antiqua" w:hAnsi="Book Antiqua"/>
        </w:rPr>
        <w:t xml:space="preserve">El Proyecto se inserta dentro de una corriente de reforma administrativa que han adoptado múltiples jurisdicciones estatales. Los modelos consultados incluyen el </w:t>
      </w:r>
      <w:r w:rsidRPr="00BC3AFC">
        <w:rPr>
          <w:rFonts w:ascii="Book Antiqua" w:hAnsi="Book Antiqua"/>
          <w:i/>
          <w:iCs/>
        </w:rPr>
        <w:t>Administrative Procedure Act</w:t>
      </w:r>
      <w:r w:rsidRPr="00AB7D98">
        <w:rPr>
          <w:rFonts w:ascii="Book Antiqua" w:hAnsi="Book Antiqua"/>
        </w:rPr>
        <w:t xml:space="preserve"> del estado de Florida, en particular sus Secciones 120.536, 120.54(2)(b), 120.54(6) y 120.541; el programa Lean y la Pits and Peeves Roundtable Initiative del estado de Colorado; el </w:t>
      </w:r>
      <w:r w:rsidRPr="00BC3AFC">
        <w:rPr>
          <w:rFonts w:ascii="Book Antiqua" w:hAnsi="Book Antiqua"/>
          <w:i/>
          <w:iCs/>
        </w:rPr>
        <w:t>5 Year Review Report</w:t>
      </w:r>
      <w:r w:rsidRPr="00AB7D98">
        <w:rPr>
          <w:rFonts w:ascii="Book Antiqua" w:hAnsi="Book Antiqua"/>
        </w:rPr>
        <w:t xml:space="preserve"> del estado de Arizona; el </w:t>
      </w:r>
      <w:r w:rsidRPr="00BC3AFC">
        <w:rPr>
          <w:rFonts w:ascii="Book Antiqua" w:hAnsi="Book Antiqua"/>
          <w:i/>
          <w:iCs/>
        </w:rPr>
        <w:t>Administrative Rules Review Form</w:t>
      </w:r>
      <w:r w:rsidRPr="00AB7D98">
        <w:rPr>
          <w:rFonts w:ascii="Book Antiqua" w:hAnsi="Book Antiqua"/>
        </w:rPr>
        <w:t xml:space="preserve"> del estado de Idaho; el </w:t>
      </w:r>
      <w:r w:rsidRPr="00BC3AFC">
        <w:rPr>
          <w:rFonts w:ascii="Book Antiqua" w:hAnsi="Book Antiqua"/>
          <w:i/>
          <w:iCs/>
        </w:rPr>
        <w:t>Red Tape Reduction Act</w:t>
      </w:r>
      <w:r w:rsidRPr="00AB7D98">
        <w:rPr>
          <w:rFonts w:ascii="Book Antiqua" w:hAnsi="Book Antiqua"/>
        </w:rPr>
        <w:t xml:space="preserve"> del estado de Kentucky; y la Orden Ejecutiva 15 07 del estado de Rhode Island. A nivel federal, las disposiciones del Proyecto sobre el Boletín y el Código de Reglamentos emulan</w:t>
      </w:r>
      <w:r w:rsidR="00BC3AFC">
        <w:rPr>
          <w:rFonts w:ascii="Book Antiqua" w:hAnsi="Book Antiqua"/>
        </w:rPr>
        <w:t xml:space="preserve"> </w:t>
      </w:r>
      <w:r w:rsidRPr="00AB7D98">
        <w:rPr>
          <w:rFonts w:ascii="Book Antiqua" w:hAnsi="Book Antiqua"/>
        </w:rPr>
        <w:t xml:space="preserve">las estructuras del </w:t>
      </w:r>
      <w:r w:rsidRPr="00BC3AFC">
        <w:rPr>
          <w:rFonts w:ascii="Book Antiqua" w:hAnsi="Book Antiqua"/>
          <w:i/>
          <w:iCs/>
        </w:rPr>
        <w:t>Federal Register</w:t>
      </w:r>
      <w:r w:rsidRPr="00AB7D98">
        <w:rPr>
          <w:rFonts w:ascii="Book Antiqua" w:hAnsi="Book Antiqua"/>
        </w:rPr>
        <w:t xml:space="preserve"> y el </w:t>
      </w:r>
      <w:r w:rsidRPr="00BC3AFC">
        <w:rPr>
          <w:rFonts w:ascii="Book Antiqua" w:hAnsi="Book Antiqua"/>
          <w:i/>
          <w:iCs/>
        </w:rPr>
        <w:t>Code of Federal Regulations</w:t>
      </w:r>
      <w:r w:rsidRPr="00AB7D98">
        <w:rPr>
          <w:rFonts w:ascii="Book Antiqua" w:hAnsi="Book Antiqua"/>
        </w:rPr>
        <w:t>.</w:t>
      </w:r>
    </w:p>
    <w:p w14:paraId="7B233998" w14:textId="77777777" w:rsidR="00CE6DAA" w:rsidRPr="00AB7D98" w:rsidRDefault="00CE6DAA" w:rsidP="00B94A55">
      <w:pPr>
        <w:spacing w:after="0" w:line="360" w:lineRule="auto"/>
        <w:ind w:firstLine="720"/>
        <w:jc w:val="both"/>
        <w:rPr>
          <w:rFonts w:ascii="Book Antiqua" w:hAnsi="Book Antiqua"/>
        </w:rPr>
      </w:pPr>
      <w:r w:rsidRPr="00AB7D98">
        <w:rPr>
          <w:rFonts w:ascii="Book Antiqua" w:hAnsi="Book Antiqua"/>
        </w:rPr>
        <w:t>La incorporación de estos modelos a la realidad puertorriqueña ha sido objeto de adaptación cuidadosa, respetando las particularidades del ordenamiento jurídico local y el principio de proporcionalidad regulatoria. La medida no constituye una transplantación mecánica de normativa foránea, sino una síntesis de las mejores prácticas, calibrada a la capacidad institucional y a las necesidades específicas de Puerto Rico.</w:t>
      </w:r>
    </w:p>
    <w:p w14:paraId="11656ABE" w14:textId="5775AC34" w:rsidR="00CE6DAA" w:rsidRPr="00F814E0" w:rsidRDefault="00CE6DAA" w:rsidP="00F814E0">
      <w:pPr>
        <w:pStyle w:val="ListParagraph"/>
        <w:numPr>
          <w:ilvl w:val="0"/>
          <w:numId w:val="8"/>
        </w:numPr>
        <w:spacing w:before="200" w:after="100" w:line="320" w:lineRule="auto"/>
        <w:ind w:left="360"/>
        <w:jc w:val="center"/>
        <w:rPr>
          <w:rFonts w:ascii="Book Antiqua" w:hAnsi="Book Antiqua"/>
          <w:u w:val="single"/>
        </w:rPr>
      </w:pPr>
      <w:r w:rsidRPr="00F814E0">
        <w:rPr>
          <w:rFonts w:ascii="Book Antiqua" w:hAnsi="Book Antiqua"/>
          <w:u w:val="single"/>
        </w:rPr>
        <w:t>Armonización con el Ordenamiento Vigente</w:t>
      </w:r>
    </w:p>
    <w:p w14:paraId="7ABCAB80" w14:textId="4B9A7CEE" w:rsidR="00CE6DAA" w:rsidRPr="00AB7D98" w:rsidRDefault="00CE6DAA" w:rsidP="00792F5A">
      <w:pPr>
        <w:spacing w:after="0" w:line="360" w:lineRule="auto"/>
        <w:ind w:firstLine="720"/>
        <w:jc w:val="both"/>
        <w:rPr>
          <w:rFonts w:ascii="Book Antiqua" w:hAnsi="Book Antiqua"/>
        </w:rPr>
      </w:pPr>
      <w:r w:rsidRPr="00D41452">
        <w:rPr>
          <w:rFonts w:ascii="Book Antiqua" w:hAnsi="Book Antiqua"/>
        </w:rPr>
        <w:t>El Proyecto armoniza con la política pública previamente establecida por la Asamblea Legislativa en materia de gobierno electrónico y transformación digital. En particular, la medida resulta cónsona con la Ley Núm. 151</w:t>
      </w:r>
      <w:r w:rsidR="00D41452" w:rsidRPr="00D41452">
        <w:rPr>
          <w:rFonts w:ascii="Book Antiqua" w:hAnsi="Book Antiqua"/>
        </w:rPr>
        <w:t>-</w:t>
      </w:r>
      <w:r w:rsidRPr="00D41452">
        <w:rPr>
          <w:rFonts w:ascii="Book Antiqua" w:hAnsi="Book Antiqua"/>
        </w:rPr>
        <w:t xml:space="preserve">2004, según enmendada, conocida como </w:t>
      </w:r>
      <w:r w:rsidRPr="00D41452">
        <w:rPr>
          <w:rFonts w:ascii="Book Antiqua" w:hAnsi="Book Antiqua"/>
          <w:i/>
          <w:iCs/>
        </w:rPr>
        <w:t>Ley de Gobierno Electrónico</w:t>
      </w:r>
      <w:r w:rsidR="00D41452" w:rsidRPr="00D41452">
        <w:rPr>
          <w:rStyle w:val="FootnoteReference"/>
          <w:rFonts w:ascii="Book Antiqua" w:hAnsi="Book Antiqua"/>
          <w:i/>
          <w:iCs/>
        </w:rPr>
        <w:footnoteReference w:id="118"/>
      </w:r>
      <w:r w:rsidRPr="00D41452">
        <w:rPr>
          <w:rFonts w:ascii="Book Antiqua" w:hAnsi="Book Antiqua"/>
        </w:rPr>
        <w:t>; la Ley Núm. 75</w:t>
      </w:r>
      <w:r w:rsidR="00D41452" w:rsidRPr="00D41452">
        <w:rPr>
          <w:rFonts w:ascii="Book Antiqua" w:hAnsi="Book Antiqua"/>
        </w:rPr>
        <w:t>-</w:t>
      </w:r>
      <w:r w:rsidRPr="00D41452">
        <w:rPr>
          <w:rFonts w:ascii="Book Antiqua" w:hAnsi="Book Antiqua"/>
        </w:rPr>
        <w:t xml:space="preserve">2019, según enmendada, </w:t>
      </w:r>
      <w:r w:rsidRPr="00D41452">
        <w:rPr>
          <w:rFonts w:ascii="Book Antiqua" w:hAnsi="Book Antiqua"/>
        </w:rPr>
        <w:lastRenderedPageBreak/>
        <w:t xml:space="preserve">conocida como </w:t>
      </w:r>
      <w:r w:rsidRPr="00D41452">
        <w:rPr>
          <w:rFonts w:ascii="Book Antiqua" w:hAnsi="Book Antiqua"/>
          <w:i/>
          <w:iCs/>
        </w:rPr>
        <w:t>Ley de la Puerto Rico Innovation and Technology Service</w:t>
      </w:r>
      <w:r w:rsidR="00D41452" w:rsidRPr="00D41452">
        <w:rPr>
          <w:rStyle w:val="FootnoteReference"/>
          <w:rFonts w:ascii="Book Antiqua" w:hAnsi="Book Antiqua"/>
          <w:i/>
          <w:iCs/>
        </w:rPr>
        <w:footnoteReference w:id="119"/>
      </w:r>
      <w:r w:rsidRPr="00D41452">
        <w:rPr>
          <w:rFonts w:ascii="Book Antiqua" w:hAnsi="Book Antiqua"/>
        </w:rPr>
        <w:t>; la Ley Núm. 148</w:t>
      </w:r>
      <w:r w:rsidR="00D41452" w:rsidRPr="00D41452">
        <w:rPr>
          <w:rFonts w:ascii="Book Antiqua" w:hAnsi="Book Antiqua"/>
        </w:rPr>
        <w:t>-</w:t>
      </w:r>
      <w:r w:rsidRPr="00D41452">
        <w:rPr>
          <w:rFonts w:ascii="Book Antiqua" w:hAnsi="Book Antiqua"/>
        </w:rPr>
        <w:t xml:space="preserve">2006, según enmendada, conocida como </w:t>
      </w:r>
      <w:r w:rsidRPr="00D41452">
        <w:rPr>
          <w:rFonts w:ascii="Book Antiqua" w:hAnsi="Book Antiqua"/>
          <w:i/>
          <w:iCs/>
        </w:rPr>
        <w:t>Ley de Transacciones Electrónicas</w:t>
      </w:r>
      <w:r w:rsidR="00D41452" w:rsidRPr="00D41452">
        <w:rPr>
          <w:rStyle w:val="FootnoteReference"/>
          <w:rFonts w:ascii="Book Antiqua" w:hAnsi="Book Antiqua"/>
          <w:i/>
          <w:iCs/>
        </w:rPr>
        <w:footnoteReference w:id="120"/>
      </w:r>
      <w:r w:rsidRPr="00D41452">
        <w:rPr>
          <w:rFonts w:ascii="Book Antiqua" w:hAnsi="Book Antiqua"/>
        </w:rPr>
        <w:t>; y la Ley Núm. 16</w:t>
      </w:r>
      <w:r w:rsidR="000B2860" w:rsidRPr="00D41452">
        <w:rPr>
          <w:rFonts w:ascii="Book Antiqua" w:hAnsi="Book Antiqua"/>
        </w:rPr>
        <w:t>-</w:t>
      </w:r>
      <w:r w:rsidRPr="00D41452">
        <w:rPr>
          <w:rFonts w:ascii="Book Antiqua" w:hAnsi="Book Antiqua"/>
        </w:rPr>
        <w:t>2025, que enmendó la propia LPAU</w:t>
      </w:r>
      <w:r w:rsidR="000B2860">
        <w:rPr>
          <w:rFonts w:ascii="Book Antiqua" w:hAnsi="Book Antiqua"/>
        </w:rPr>
        <w:t>,</w:t>
      </w:r>
      <w:r w:rsidRPr="00AB7D98">
        <w:rPr>
          <w:rFonts w:ascii="Book Antiqua" w:hAnsi="Book Antiqua"/>
        </w:rPr>
        <w:t xml:space="preserve"> para integrar la tecnología en los procedimientos adjudicativos.</w:t>
      </w:r>
    </w:p>
    <w:p w14:paraId="57171042" w14:textId="04023645" w:rsidR="006A3C2B" w:rsidRDefault="00CE6DAA" w:rsidP="00BB6A49">
      <w:pPr>
        <w:spacing w:line="360" w:lineRule="auto"/>
        <w:ind w:firstLine="720"/>
        <w:jc w:val="both"/>
        <w:rPr>
          <w:rFonts w:ascii="Book Antiqua" w:hAnsi="Book Antiqua"/>
        </w:rPr>
      </w:pPr>
      <w:r w:rsidRPr="00AB7D98">
        <w:rPr>
          <w:rFonts w:ascii="Book Antiqua" w:hAnsi="Book Antiqua"/>
        </w:rPr>
        <w:t xml:space="preserve">Como recientemente puntualizara nuestro Tribunal Supremo en </w:t>
      </w:r>
      <w:r w:rsidRPr="006A717B">
        <w:rPr>
          <w:rFonts w:ascii="Book Antiqua" w:hAnsi="Book Antiqua"/>
          <w:i/>
          <w:iCs/>
        </w:rPr>
        <w:t>Tricoche Matos v. Freire Div. of K.M.A. Associates of PR, Inc.</w:t>
      </w:r>
      <w:r w:rsidR="00D41452" w:rsidRPr="006A717B">
        <w:rPr>
          <w:rStyle w:val="FootnoteReference"/>
          <w:rFonts w:ascii="Book Antiqua" w:hAnsi="Book Antiqua"/>
        </w:rPr>
        <w:footnoteReference w:id="121"/>
      </w:r>
      <w:r w:rsidRPr="00AB7D98">
        <w:rPr>
          <w:rFonts w:ascii="Book Antiqua" w:hAnsi="Book Antiqua"/>
        </w:rPr>
        <w:t>, “no podemos obviar que existe una clara política pública del Estado dirigida a incorporar el uso de tecnologías de la información en el funcionamiento gubernamental”. El P. de la C. 1080 representa una extensión natural y necesaria de esa política pública al ámbito específico del procedimiento reglamentario.</w:t>
      </w:r>
    </w:p>
    <w:p w14:paraId="61E4EBF4" w14:textId="17D89A7D" w:rsidR="00BC3AFC" w:rsidRPr="00BB6A49" w:rsidRDefault="009C28D3" w:rsidP="00BC3AFC">
      <w:pPr>
        <w:pStyle w:val="ListParagraph"/>
        <w:numPr>
          <w:ilvl w:val="0"/>
          <w:numId w:val="8"/>
        </w:numPr>
        <w:spacing w:after="200" w:line="360" w:lineRule="auto"/>
        <w:ind w:left="450"/>
        <w:jc w:val="center"/>
        <w:rPr>
          <w:rFonts w:ascii="Book Antiqua" w:hAnsi="Book Antiqua"/>
          <w:u w:val="single"/>
        </w:rPr>
      </w:pPr>
      <w:r w:rsidRPr="00BB6A49">
        <w:rPr>
          <w:rFonts w:ascii="Book Antiqua" w:hAnsi="Book Antiqua"/>
          <w:u w:val="single"/>
        </w:rPr>
        <w:t xml:space="preserve">Modificaciones más significativas </w:t>
      </w:r>
      <w:r w:rsidR="00BB6A49" w:rsidRPr="00BB6A49">
        <w:rPr>
          <w:rFonts w:ascii="Book Antiqua" w:hAnsi="Book Antiqua"/>
          <w:u w:val="single"/>
        </w:rPr>
        <w:t>contenidas en el entirillado electrónico</w:t>
      </w:r>
    </w:p>
    <w:p w14:paraId="754F77B5" w14:textId="77777777"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Conforme al riguroso examen de las ponencias y memoriales recibidos, así como al análisis comparado con otras jurisdicciones, esta Comisión propone las siguientes enmiendas al P. de la C. 1080. La discusión se organiza por sección del Proyecto y refleja, en cada caso, la fuente de la recomendación y la razón institucional para su adopción.</w:t>
      </w:r>
    </w:p>
    <w:p w14:paraId="04B05783" w14:textId="220D8B46" w:rsidR="00BC3AFC" w:rsidRPr="004470A2" w:rsidRDefault="00BC3AFC" w:rsidP="004470A2">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Sección 1.3.  Definiciones (Artículo 1 del Proyecto)</w:t>
      </w:r>
    </w:p>
    <w:p w14:paraId="7C1A00B2" w14:textId="77777777" w:rsid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realizan enmiendas técnicas para asegurar la precisión y consistencia de las definiciones añadidas. En particular, se aclara la definición de “</w:t>
      </w:r>
      <w:r w:rsidRPr="004470A2">
        <w:rPr>
          <w:rFonts w:ascii="Book Antiqua" w:eastAsia="Times New Roman" w:hAnsi="Book Antiqua" w:cs="Times New Roman"/>
          <w:i/>
          <w:iCs/>
          <w:kern w:val="0"/>
          <w14:ligatures w14:val="none"/>
        </w:rPr>
        <w:t>Boletín</w:t>
      </w:r>
      <w:r w:rsidRPr="00BC3AFC">
        <w:rPr>
          <w:rFonts w:ascii="Book Antiqua" w:eastAsia="Times New Roman" w:hAnsi="Book Antiqua" w:cs="Times New Roman"/>
          <w:kern w:val="0"/>
          <w14:ligatures w14:val="none"/>
        </w:rPr>
        <w:t>” para reflejar las funciones ampliadas que se le encomiendan, y se precisa la definición de “</w:t>
      </w:r>
      <w:r w:rsidRPr="004470A2">
        <w:rPr>
          <w:rFonts w:ascii="Book Antiqua" w:eastAsia="Times New Roman" w:hAnsi="Book Antiqua" w:cs="Times New Roman"/>
          <w:i/>
          <w:iCs/>
          <w:kern w:val="0"/>
          <w14:ligatures w14:val="none"/>
        </w:rPr>
        <w:t>Código</w:t>
      </w:r>
      <w:r w:rsidRPr="00BC3AFC">
        <w:rPr>
          <w:rFonts w:ascii="Book Antiqua" w:eastAsia="Times New Roman" w:hAnsi="Book Antiqua" w:cs="Times New Roman"/>
          <w:kern w:val="0"/>
          <w14:ligatures w14:val="none"/>
        </w:rPr>
        <w:t>” para reflejar su carácter sistemático.</w:t>
      </w:r>
    </w:p>
    <w:p w14:paraId="22512217" w14:textId="77777777" w:rsidR="001E1EB2" w:rsidRPr="00BC3AFC" w:rsidRDefault="001E1EB2" w:rsidP="00BC3AFC">
      <w:pPr>
        <w:spacing w:after="200" w:line="360" w:lineRule="auto"/>
        <w:ind w:firstLine="720"/>
        <w:jc w:val="both"/>
        <w:rPr>
          <w:rFonts w:ascii="Book Antiqua" w:eastAsia="Times New Roman" w:hAnsi="Book Antiqua" w:cs="Times New Roman"/>
          <w:kern w:val="0"/>
          <w14:ligatures w14:val="none"/>
        </w:rPr>
      </w:pPr>
    </w:p>
    <w:p w14:paraId="0C99B124" w14:textId="7B58300C" w:rsidR="00BC3AFC" w:rsidRPr="004470A2" w:rsidRDefault="00BC3AFC" w:rsidP="004470A2">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Sección 2.1.  Autoridad para Adoptar Reglamentos (Artículo 2)</w:t>
      </w:r>
    </w:p>
    <w:p w14:paraId="7F2D6AF2" w14:textId="4E078CA5" w:rsid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lastRenderedPageBreak/>
        <w:t>Esta sección se conserv</w:t>
      </w:r>
      <w:r w:rsidR="001E1EB2">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en sustancia. Acogiendo la observación del Prof. Vázquez Irizarry, la Comisión reconoc</w:t>
      </w:r>
      <w:r w:rsidR="001E1EB2">
        <w:rPr>
          <w:rFonts w:ascii="Book Antiqua" w:eastAsia="Times New Roman" w:hAnsi="Book Antiqua" w:cs="Times New Roman"/>
          <w:kern w:val="0"/>
          <w14:ligatures w14:val="none"/>
        </w:rPr>
        <w:t>ió</w:t>
      </w:r>
      <w:r w:rsidRPr="00BC3AFC">
        <w:rPr>
          <w:rFonts w:ascii="Book Antiqua" w:eastAsia="Times New Roman" w:hAnsi="Book Antiqua" w:cs="Times New Roman"/>
          <w:kern w:val="0"/>
          <w14:ligatures w14:val="none"/>
        </w:rPr>
        <w:t xml:space="preserve"> que la codificación del principio de delegación restrictiva produce el efecto saludable de permitir que la impugnación de un reglamento por carencia de base legal pueda ser litigada bajo la Sección 2.13 ante el Tribunal de Apelaciones, en lugar de fragmentarse entre impugnaciones procesales y sustantivas como ocurre bajo el régimen vigente. Este resultado añad</w:t>
      </w:r>
      <w:r w:rsidR="001E1EB2">
        <w:rPr>
          <w:rFonts w:ascii="Book Antiqua" w:eastAsia="Times New Roman" w:hAnsi="Book Antiqua" w:cs="Times New Roman"/>
          <w:kern w:val="0"/>
          <w14:ligatures w14:val="none"/>
        </w:rPr>
        <w:t>ió</w:t>
      </w:r>
      <w:r w:rsidRPr="00BC3AFC">
        <w:rPr>
          <w:rFonts w:ascii="Book Antiqua" w:eastAsia="Times New Roman" w:hAnsi="Book Antiqua" w:cs="Times New Roman"/>
          <w:kern w:val="0"/>
          <w14:ligatures w14:val="none"/>
        </w:rPr>
        <w:t xml:space="preserve"> eficiencia procesal y fortalece la previsibilidad del derecho administrativo.</w:t>
      </w:r>
      <w:r w:rsidR="0063783F">
        <w:rPr>
          <w:rFonts w:ascii="Book Antiqua" w:eastAsia="Times New Roman" w:hAnsi="Book Antiqua" w:cs="Times New Roman"/>
          <w:kern w:val="0"/>
          <w14:ligatures w14:val="none"/>
        </w:rPr>
        <w:t xml:space="preserve"> </w:t>
      </w:r>
    </w:p>
    <w:p w14:paraId="56C9EAAD" w14:textId="58A3BE08" w:rsidR="0063783F" w:rsidRPr="00BC3AFC" w:rsidRDefault="0063783F" w:rsidP="00BC3AFC">
      <w:pPr>
        <w:spacing w:after="200" w:line="360"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Por otra parte, se elimin</w:t>
      </w:r>
      <w:r w:rsidR="001E1EB2">
        <w:rPr>
          <w:rFonts w:ascii="Book Antiqua" w:eastAsia="Times New Roman" w:hAnsi="Book Antiqua" w:cs="Times New Roman"/>
          <w:kern w:val="0"/>
          <w14:ligatures w14:val="none"/>
        </w:rPr>
        <w:t>ó</w:t>
      </w:r>
      <w:r>
        <w:rPr>
          <w:rFonts w:ascii="Book Antiqua" w:eastAsia="Times New Roman" w:hAnsi="Book Antiqua" w:cs="Times New Roman"/>
          <w:kern w:val="0"/>
          <w14:ligatures w14:val="none"/>
        </w:rPr>
        <w:t xml:space="preserve"> lo relativo a la Reglamentación Negociada. </w:t>
      </w:r>
    </w:p>
    <w:p w14:paraId="0C6CC0F3" w14:textId="71DEA6D6" w:rsidR="00BC3AFC" w:rsidRPr="004470A2" w:rsidRDefault="00BC3AFC" w:rsidP="004470A2">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Sección 2.2.  Boletín de Reglamentos de Puerto Rico (Artículo 3)</w:t>
      </w:r>
    </w:p>
    <w:p w14:paraId="4332E7A5" w14:textId="3EC49085"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acog</w:t>
      </w:r>
      <w:r w:rsidR="001E1EB2">
        <w:rPr>
          <w:rFonts w:ascii="Book Antiqua" w:eastAsia="Times New Roman" w:hAnsi="Book Antiqua" w:cs="Times New Roman"/>
          <w:kern w:val="0"/>
          <w14:ligatures w14:val="none"/>
        </w:rPr>
        <w:t>ió</w:t>
      </w:r>
      <w:r w:rsidRPr="00BC3AFC">
        <w:rPr>
          <w:rFonts w:ascii="Book Antiqua" w:eastAsia="Times New Roman" w:hAnsi="Book Antiqua" w:cs="Times New Roman"/>
          <w:kern w:val="0"/>
          <w14:ligatures w14:val="none"/>
        </w:rPr>
        <w:t xml:space="preserve"> sustancialmente las recomendaciones del Prof. Vázquez Irizarry. Se enumeran formalmente los incisos (a), (b) y (c) que el texto original dejaba sin marcador. Se introducen, además, los siguientes refinamientos.</w:t>
      </w:r>
    </w:p>
    <w:p w14:paraId="12ED75B8" w14:textId="1717EB3D"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Primero, se incorpor</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un mandato afirmativo de difusión del Boletín en redes sociales, ya sea a través de cuentas oficiales del Departamento de Estado, de las agencias respectivas o de una cuenta institucional del propio Boletín.</w:t>
      </w:r>
    </w:p>
    <w:p w14:paraId="3AC9BFFA" w14:textId="7A044524"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Segundo, se restablec</w:t>
      </w:r>
      <w:r w:rsidR="00765955">
        <w:rPr>
          <w:rFonts w:ascii="Book Antiqua" w:eastAsia="Times New Roman" w:hAnsi="Book Antiqua" w:cs="Times New Roman"/>
          <w:kern w:val="0"/>
          <w14:ligatures w14:val="none"/>
        </w:rPr>
        <w:t>ió</w:t>
      </w:r>
      <w:r w:rsidRPr="00BC3AFC">
        <w:rPr>
          <w:rFonts w:ascii="Book Antiqua" w:eastAsia="Times New Roman" w:hAnsi="Book Antiqua" w:cs="Times New Roman"/>
          <w:kern w:val="0"/>
          <w14:ligatures w14:val="none"/>
        </w:rPr>
        <w:t>, con adaptación al formato digital, la lista de suscriptores que recibirán notificaciones electrónicas sobre procesos de reglamentación, instrumento que contemplaba la Sección 2.1 derogada de la LPAU bajo la Ley Núm. 210 de 2016.</w:t>
      </w:r>
    </w:p>
    <w:p w14:paraId="68D6B322" w14:textId="1A82A051"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Tercero, se asegur</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que el Boletín contenga, además del aviso inicial, los documentos principales del expediente administrativo, en términos análogos a los del portal federal www.regulations.gov, lo cual fortalece la transparencia y facilita el escrutinio público.</w:t>
      </w:r>
    </w:p>
    <w:p w14:paraId="0FA30CFA" w14:textId="473244DA"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Cuarto, se precis</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que el espacio para sugerencias ciudadanas permitirá tanto la escritura directa como la presentación de documentos formales.</w:t>
      </w:r>
    </w:p>
    <w:p w14:paraId="1CE79FBF" w14:textId="57C76055" w:rsidR="006A717B" w:rsidRPr="00BC3AFC" w:rsidRDefault="00BC3AFC" w:rsidP="00765955">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Quinto, se distingu</w:t>
      </w:r>
      <w:r w:rsidR="00765955">
        <w:rPr>
          <w:rFonts w:ascii="Book Antiqua" w:eastAsia="Times New Roman" w:hAnsi="Book Antiqua" w:cs="Times New Roman"/>
          <w:kern w:val="0"/>
          <w14:ligatures w14:val="none"/>
        </w:rPr>
        <w:t>ió</w:t>
      </w:r>
      <w:r w:rsidRPr="00BC3AFC">
        <w:rPr>
          <w:rFonts w:ascii="Book Antiqua" w:eastAsia="Times New Roman" w:hAnsi="Book Antiqua" w:cs="Times New Roman"/>
          <w:kern w:val="0"/>
          <w14:ligatures w14:val="none"/>
        </w:rPr>
        <w:t xml:space="preserve"> con claridad el </w:t>
      </w:r>
      <w:r w:rsidRPr="00765955">
        <w:rPr>
          <w:rFonts w:ascii="Book Antiqua" w:eastAsia="Times New Roman" w:hAnsi="Book Antiqua" w:cs="Times New Roman"/>
          <w:i/>
          <w:iCs/>
          <w:kern w:val="0"/>
          <w14:ligatures w14:val="none"/>
        </w:rPr>
        <w:t>Registro de Reglamentos</w:t>
      </w:r>
      <w:r w:rsidRPr="00BC3AFC">
        <w:rPr>
          <w:rFonts w:ascii="Book Antiqua" w:eastAsia="Times New Roman" w:hAnsi="Book Antiqua" w:cs="Times New Roman"/>
          <w:kern w:val="0"/>
          <w14:ligatures w14:val="none"/>
        </w:rPr>
        <w:t>, como compilación histórica de los reglamentos radicados, del Código de Reglamentos, que tendrá organización sectorial y temática.</w:t>
      </w:r>
    </w:p>
    <w:p w14:paraId="07EF947C" w14:textId="1FEA071E" w:rsidR="00BC3AFC" w:rsidRPr="006A717B" w:rsidRDefault="00BC3AFC" w:rsidP="004470A2">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6A717B">
        <w:rPr>
          <w:rFonts w:ascii="Book Antiqua" w:eastAsia="Times New Roman" w:hAnsi="Book Antiqua" w:cs="Times New Roman"/>
          <w:kern w:val="0"/>
          <w14:ligatures w14:val="none"/>
        </w:rPr>
        <w:lastRenderedPageBreak/>
        <w:t>Sección 2.3.  Código de Reglamentos de Puerto Rico (Artículo 4)</w:t>
      </w:r>
    </w:p>
    <w:p w14:paraId="0D20172A" w14:textId="00CE383B"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aprovech</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la oportunidad para corregir el error tipográfico “portar electrónico” por “portal electrónico” en la subsección sobre </w:t>
      </w:r>
      <w:r w:rsidRPr="00765955">
        <w:rPr>
          <w:rFonts w:ascii="Book Antiqua" w:eastAsia="Times New Roman" w:hAnsi="Book Antiqua" w:cs="Times New Roman"/>
          <w:i/>
          <w:iCs/>
          <w:kern w:val="0"/>
          <w14:ligatures w14:val="none"/>
        </w:rPr>
        <w:t>Publicación y Acceso</w:t>
      </w:r>
      <w:r w:rsidRPr="00BC3AFC">
        <w:rPr>
          <w:rFonts w:ascii="Book Antiqua" w:eastAsia="Times New Roman" w:hAnsi="Book Antiqua" w:cs="Times New Roman"/>
          <w:kern w:val="0"/>
          <w14:ligatures w14:val="none"/>
        </w:rPr>
        <w:t>, así como para enumerar formalmente los incisos.</w:t>
      </w:r>
    </w:p>
    <w:p w14:paraId="23256FFD" w14:textId="372E2F44" w:rsidR="00BC3AFC" w:rsidRPr="004470A2" w:rsidRDefault="00BC3AFC" w:rsidP="004470A2">
      <w:pPr>
        <w:pStyle w:val="ListParagraph"/>
        <w:numPr>
          <w:ilvl w:val="1"/>
          <w:numId w:val="8"/>
        </w:numPr>
        <w:spacing w:before="200" w:after="100" w:line="276"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Sección 2.4.  Notificación de Propuesta de Adopción o Enmienda de Reglamentos (Artículo 5)</w:t>
      </w:r>
    </w:p>
    <w:p w14:paraId="6E460C8E" w14:textId="1F69FF86"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introdu</w:t>
      </w:r>
      <w:r w:rsidR="00765955">
        <w:rPr>
          <w:rFonts w:ascii="Book Antiqua" w:eastAsia="Times New Roman" w:hAnsi="Book Antiqua" w:cs="Times New Roman"/>
          <w:kern w:val="0"/>
          <w14:ligatures w14:val="none"/>
        </w:rPr>
        <w:t>jeron</w:t>
      </w:r>
      <w:r w:rsidRPr="00BC3AFC">
        <w:rPr>
          <w:rFonts w:ascii="Book Antiqua" w:eastAsia="Times New Roman" w:hAnsi="Book Antiqua" w:cs="Times New Roman"/>
          <w:kern w:val="0"/>
          <w14:ligatures w14:val="none"/>
        </w:rPr>
        <w:t xml:space="preserve"> las siguientes enmiendas, recogiendo las recomendaciones del Prof. Vázquez Irizarry, la Oficina del Contralor Electoral y Amigxs del MAR.</w:t>
      </w:r>
    </w:p>
    <w:p w14:paraId="105CA703" w14:textId="0D0D551E"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Primero, se restablec</w:t>
      </w:r>
      <w:r w:rsidR="00765955">
        <w:rPr>
          <w:rFonts w:ascii="Book Antiqua" w:eastAsia="Times New Roman" w:hAnsi="Book Antiqua" w:cs="Times New Roman"/>
          <w:kern w:val="0"/>
          <w14:ligatures w14:val="none"/>
        </w:rPr>
        <w:t>ió</w:t>
      </w:r>
      <w:r w:rsidRPr="00BC3AFC">
        <w:rPr>
          <w:rFonts w:ascii="Book Antiqua" w:eastAsia="Times New Roman" w:hAnsi="Book Antiqua" w:cs="Times New Roman"/>
          <w:kern w:val="0"/>
          <w14:ligatures w14:val="none"/>
        </w:rPr>
        <w:t xml:space="preserve"> la obligación de pautar avisos en periódicos regionales y en emisoras de radio de difusión local cuando la propuesta reglamentaria afecte directamente a una comunidad de residentes específica, conservando el patrón originalmente dispuesto por la Sec. 2.1 vigente.</w:t>
      </w:r>
    </w:p>
    <w:p w14:paraId="4D7FE8A5" w14:textId="0032E4BA"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Segundo, se incorpor</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como requisito del aviso la información sobre el derecho a solicitar la celebración de una vista pública, atendiendo la inadvertencia del texto original.</w:t>
      </w:r>
    </w:p>
    <w:p w14:paraId="3F0CD184" w14:textId="51A84E68"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Tercero, se sustituy</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la referencia genérica a “dirección electrónica” por “enlace directo al texto completo del reglamento”, reconociendo que el Boletín constituye una plataforma digital que permite la hipervinculación (</w:t>
      </w:r>
      <w:r w:rsidRPr="00BB6A49">
        <w:rPr>
          <w:rFonts w:ascii="Book Antiqua" w:eastAsia="Times New Roman" w:hAnsi="Book Antiqua" w:cs="Times New Roman"/>
          <w:i/>
          <w:iCs/>
          <w:kern w:val="0"/>
          <w14:ligatures w14:val="none"/>
        </w:rPr>
        <w:t>hyperlink</w:t>
      </w:r>
      <w:r w:rsidRPr="00BC3AFC">
        <w:rPr>
          <w:rFonts w:ascii="Book Antiqua" w:eastAsia="Times New Roman" w:hAnsi="Book Antiqua" w:cs="Times New Roman"/>
          <w:kern w:val="0"/>
          <w14:ligatures w14:val="none"/>
        </w:rPr>
        <w:t>).</w:t>
      </w:r>
    </w:p>
    <w:p w14:paraId="79C51C49" w14:textId="4006FB68" w:rsidR="009C28D3" w:rsidRDefault="00BC3AFC" w:rsidP="009C28D3">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Cuarto, se precis</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conforme la recomendación de la Oficina del Contralor Electoral, que la exención del Artículo 10.006 de la Ley 222 2011 aplica únicamente a los avisos publicados en el Boletín, el portal electrónico de la agencia y las redes sociales. Los avisos difundidos por otros medios (radio, televisión o </w:t>
      </w:r>
      <w:proofErr w:type="gramStart"/>
      <w:r w:rsidRPr="00BC3AFC">
        <w:rPr>
          <w:rFonts w:ascii="Book Antiqua" w:eastAsia="Times New Roman" w:hAnsi="Book Antiqua" w:cs="Times New Roman"/>
          <w:kern w:val="0"/>
          <w14:ligatures w14:val="none"/>
        </w:rPr>
        <w:t>prensa escrita</w:t>
      </w:r>
      <w:proofErr w:type="gramEnd"/>
      <w:r w:rsidRPr="00BC3AFC">
        <w:rPr>
          <w:rFonts w:ascii="Book Antiqua" w:eastAsia="Times New Roman" w:hAnsi="Book Antiqua" w:cs="Times New Roman"/>
          <w:kern w:val="0"/>
          <w14:ligatures w14:val="none"/>
        </w:rPr>
        <w:t>) deberán cumplir con el trámite expedito de cinco (5) días laborables que dispone dicho Artículo 10.006. Se preserva, además, la facultad de la OCE para revisar el contenido publicado a los fines de garantizar el cumplimiento con la veda publicitaria.</w:t>
      </w:r>
    </w:p>
    <w:p w14:paraId="33B919E3" w14:textId="64CBCEB0" w:rsidR="00BC3AFC" w:rsidRPr="004470A2" w:rsidRDefault="00BC3AFC" w:rsidP="004470A2">
      <w:pPr>
        <w:pStyle w:val="ListParagraph"/>
        <w:numPr>
          <w:ilvl w:val="1"/>
          <w:numId w:val="8"/>
        </w:numPr>
        <w:spacing w:after="200" w:line="360"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Sección 2.5.  Participación Ciudadana (Artículo 6)</w:t>
      </w:r>
    </w:p>
    <w:p w14:paraId="5F22DABA" w14:textId="7F72E4C3"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introdu</w:t>
      </w:r>
      <w:r w:rsidR="00765955">
        <w:rPr>
          <w:rFonts w:ascii="Book Antiqua" w:eastAsia="Times New Roman" w:hAnsi="Book Antiqua" w:cs="Times New Roman"/>
          <w:kern w:val="0"/>
          <w14:ligatures w14:val="none"/>
        </w:rPr>
        <w:t>jeron</w:t>
      </w:r>
      <w:r w:rsidRPr="00BC3AFC">
        <w:rPr>
          <w:rFonts w:ascii="Book Antiqua" w:eastAsia="Times New Roman" w:hAnsi="Book Antiqua" w:cs="Times New Roman"/>
          <w:kern w:val="0"/>
          <w14:ligatures w14:val="none"/>
        </w:rPr>
        <w:t xml:space="preserve"> las siguientes enmiendas, recogiendo las recomendaciones del Prof. Vázquez Irizarry y de Amigxs del MAR.</w:t>
      </w:r>
    </w:p>
    <w:p w14:paraId="572DF36D" w14:textId="3F0514FE"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lastRenderedPageBreak/>
        <w:t>Primero, se elimin</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la frase “de buena fe” como requisito para que un ciudadano pueda solicitar la celebración de una vista pública. Como acertadamente expusieron el Prof. Vázquez y Amigxs del MAR, dicha exigencia denota un escepticismo no saludable hacia el espacio de participación ciudadana e introduce un parámetro de subjetividad innecesario, máxime cuando la decisión sobre la celebración de la vista ya es discrecional para la agencia.</w:t>
      </w:r>
    </w:p>
    <w:p w14:paraId="18E07EFB" w14:textId="341DC869"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Segundo, se sustituy</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el criterio de “sustancialmente afectada” por “afectada o interesada”, evitando la asimilación impropia a la doctrina de legitimación activa propia del foro judicial y promoviendo una participación ciudadana inclusiva.</w:t>
      </w:r>
    </w:p>
    <w:p w14:paraId="7774299D" w14:textId="49356B45"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Tercero, se añad</w:t>
      </w:r>
      <w:r w:rsidR="00765955">
        <w:rPr>
          <w:rFonts w:ascii="Book Antiqua" w:eastAsia="Times New Roman" w:hAnsi="Book Antiqua" w:cs="Times New Roman"/>
          <w:kern w:val="0"/>
          <w14:ligatures w14:val="none"/>
        </w:rPr>
        <w:t>ió</w:t>
      </w:r>
      <w:r w:rsidRPr="00BC3AFC">
        <w:rPr>
          <w:rFonts w:ascii="Book Antiqua" w:eastAsia="Times New Roman" w:hAnsi="Book Antiqua" w:cs="Times New Roman"/>
          <w:kern w:val="0"/>
          <w14:ligatures w14:val="none"/>
        </w:rPr>
        <w:t xml:space="preserve"> la obligación de que la agencia diseñe el proceso de notificación y selección de fecha, hora y lugar de las vistas públicas de manera que se propicie y facilite la mayor participación ciudadana posible.</w:t>
      </w:r>
    </w:p>
    <w:p w14:paraId="3E6D6259" w14:textId="4BE546EB"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Cuarto, se establec</w:t>
      </w:r>
      <w:r w:rsidR="00765955">
        <w:rPr>
          <w:rFonts w:ascii="Book Antiqua" w:eastAsia="Times New Roman" w:hAnsi="Book Antiqua" w:cs="Times New Roman"/>
          <w:kern w:val="0"/>
          <w14:ligatures w14:val="none"/>
        </w:rPr>
        <w:t>ió</w:t>
      </w:r>
      <w:r w:rsidRPr="00BC3AFC">
        <w:rPr>
          <w:rFonts w:ascii="Book Antiqua" w:eastAsia="Times New Roman" w:hAnsi="Book Antiqua" w:cs="Times New Roman"/>
          <w:kern w:val="0"/>
          <w14:ligatures w14:val="none"/>
        </w:rPr>
        <w:t xml:space="preserve"> el deber de las agencias de preparar un informe anual sobre los comentarios recibidos en sus portales electrónicos y la manera en que fueron atendidos, informe que se publicará en el Boletín como parte del expediente público.</w:t>
      </w:r>
    </w:p>
    <w:p w14:paraId="0562C2FB" w14:textId="4FF30AE7" w:rsidR="00BC3AFC" w:rsidRPr="0063783F" w:rsidRDefault="00BC3AFC" w:rsidP="00BC3AFC">
      <w:pPr>
        <w:spacing w:after="200" w:line="360" w:lineRule="auto"/>
        <w:ind w:firstLine="720"/>
        <w:jc w:val="both"/>
        <w:rPr>
          <w:rFonts w:ascii="Book Antiqua" w:eastAsia="Times New Roman" w:hAnsi="Book Antiqua" w:cs="Times New Roman"/>
          <w:kern w:val="0"/>
          <w14:ligatures w14:val="none"/>
        </w:rPr>
      </w:pPr>
      <w:r w:rsidRPr="0063783F">
        <w:rPr>
          <w:rFonts w:ascii="Book Antiqua" w:eastAsia="Times New Roman" w:hAnsi="Book Antiqua" w:cs="Times New Roman"/>
          <w:kern w:val="0"/>
          <w14:ligatures w14:val="none"/>
        </w:rPr>
        <w:t xml:space="preserve">Quinto, </w:t>
      </w:r>
      <w:r w:rsidR="00765955">
        <w:rPr>
          <w:rFonts w:ascii="Book Antiqua" w:eastAsia="Times New Roman" w:hAnsi="Book Antiqua" w:cs="Times New Roman"/>
          <w:kern w:val="0"/>
          <w14:ligatures w14:val="none"/>
        </w:rPr>
        <w:t>se eliminaron</w:t>
      </w:r>
      <w:r w:rsidR="000F7370">
        <w:rPr>
          <w:rFonts w:ascii="Book Antiqua" w:eastAsia="Times New Roman" w:hAnsi="Book Antiqua" w:cs="Times New Roman"/>
          <w:kern w:val="0"/>
          <w14:ligatures w14:val="none"/>
        </w:rPr>
        <w:t xml:space="preserve"> de los </w:t>
      </w:r>
      <w:r w:rsidR="0063783F" w:rsidRPr="0063783F">
        <w:rPr>
          <w:rFonts w:ascii="Book Antiqua" w:eastAsia="Times New Roman" w:hAnsi="Book Antiqua" w:cs="Times New Roman"/>
          <w:kern w:val="0"/>
          <w14:ligatures w14:val="none"/>
        </w:rPr>
        <w:t xml:space="preserve">incisos </w:t>
      </w:r>
      <w:r w:rsidR="0063783F">
        <w:rPr>
          <w:rFonts w:ascii="Book Antiqua" w:eastAsia="Times New Roman" w:hAnsi="Book Antiqua" w:cs="Times New Roman"/>
          <w:kern w:val="0"/>
          <w14:ligatures w14:val="none"/>
        </w:rPr>
        <w:t>(c)</w:t>
      </w:r>
      <w:r w:rsidR="0063783F" w:rsidRPr="0063783F">
        <w:rPr>
          <w:rFonts w:ascii="Book Antiqua" w:eastAsia="Times New Roman" w:hAnsi="Book Antiqua" w:cs="Times New Roman"/>
          <w:kern w:val="0"/>
          <w14:ligatures w14:val="none"/>
        </w:rPr>
        <w:t xml:space="preserve"> y</w:t>
      </w:r>
      <w:r w:rsidR="0063783F">
        <w:rPr>
          <w:rFonts w:ascii="Book Antiqua" w:eastAsia="Times New Roman" w:hAnsi="Book Antiqua" w:cs="Times New Roman"/>
          <w:kern w:val="0"/>
          <w14:ligatures w14:val="none"/>
        </w:rPr>
        <w:t xml:space="preserve"> (d). </w:t>
      </w:r>
    </w:p>
    <w:p w14:paraId="38DED812" w14:textId="258BCA88" w:rsidR="00BC3AFC" w:rsidRPr="004470A2" w:rsidRDefault="00BC3AFC" w:rsidP="004470A2">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Sección 2.6.  Declaración de Costos Estimados (Artículo 7)</w:t>
      </w:r>
    </w:p>
    <w:p w14:paraId="58140FEA" w14:textId="77777777" w:rsidR="00BC3AFC" w:rsidRPr="004470A2" w:rsidRDefault="00BC3AFC" w:rsidP="00BC3AFC">
      <w:pPr>
        <w:spacing w:after="200" w:line="360" w:lineRule="auto"/>
        <w:ind w:firstLine="720"/>
        <w:jc w:val="both"/>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 incorporan las siguientes enmiendas, atendiendo las observaciones doctrinales del Prof. Vázquez Irizarry.</w:t>
      </w:r>
    </w:p>
    <w:p w14:paraId="14B37AFF" w14:textId="34F00EFD" w:rsidR="00BC3AFC" w:rsidRPr="004470A2" w:rsidRDefault="00BC3AFC" w:rsidP="00BC3AFC">
      <w:pPr>
        <w:spacing w:after="200" w:line="360" w:lineRule="auto"/>
        <w:ind w:firstLine="720"/>
        <w:jc w:val="both"/>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Primero, se reconcili</w:t>
      </w:r>
      <w:r w:rsidR="00765955">
        <w:rPr>
          <w:rFonts w:ascii="Book Antiqua" w:eastAsia="Times New Roman" w:hAnsi="Book Antiqua" w:cs="Times New Roman"/>
          <w:kern w:val="0"/>
          <w14:ligatures w14:val="none"/>
        </w:rPr>
        <w:t>ó</w:t>
      </w:r>
      <w:r w:rsidRPr="004470A2">
        <w:rPr>
          <w:rFonts w:ascii="Book Antiqua" w:eastAsia="Times New Roman" w:hAnsi="Book Antiqua" w:cs="Times New Roman"/>
          <w:kern w:val="0"/>
          <w14:ligatures w14:val="none"/>
        </w:rPr>
        <w:t xml:space="preserve"> la Declaración de Costos Estimados con el análisis costo beneficio que ya exige la actual Sección 2.5(b) de la LPAU, incorporado por la Ley Núm. 47 de 2015. En consecuencia, la DCE deberá incluir, además de la estimación de costos, una ponderación cualitativa de los beneficios esperados de la reglamentación propuesta. Esta enmienda subsana lo que el Prof. Vázquez calificó acertadamente como un potencial sesgo anti regulatorio del texto original.</w:t>
      </w:r>
    </w:p>
    <w:p w14:paraId="44824D32" w14:textId="30AEA686" w:rsidR="00BC3AFC" w:rsidRPr="004470A2" w:rsidRDefault="00BC3AFC" w:rsidP="00BC3AFC">
      <w:pPr>
        <w:spacing w:after="200" w:line="360" w:lineRule="auto"/>
        <w:ind w:firstLine="720"/>
        <w:jc w:val="both"/>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lastRenderedPageBreak/>
        <w:t>Segundo, se establec</w:t>
      </w:r>
      <w:r w:rsidR="00765955">
        <w:rPr>
          <w:rFonts w:ascii="Book Antiqua" w:eastAsia="Times New Roman" w:hAnsi="Book Antiqua" w:cs="Times New Roman"/>
          <w:kern w:val="0"/>
          <w14:ligatures w14:val="none"/>
        </w:rPr>
        <w:t>ió</w:t>
      </w:r>
      <w:r w:rsidRPr="004470A2">
        <w:rPr>
          <w:rFonts w:ascii="Book Antiqua" w:eastAsia="Times New Roman" w:hAnsi="Book Antiqua" w:cs="Times New Roman"/>
          <w:kern w:val="0"/>
          <w14:ligatures w14:val="none"/>
        </w:rPr>
        <w:t xml:space="preserve"> la armonización de la DCE con el análisis de flexibilidad administrativa que exige el Artículo 5 de la Ley Núm. 454 de 28 de diciembre de 2000, conocida como “Ley de Flexibilidad Administrativa y Reglamentaria para el Pequeño Negocio”, evitando la duplicidad de procedimientos analíticos.</w:t>
      </w:r>
    </w:p>
    <w:p w14:paraId="55D858B8" w14:textId="5C8CB253" w:rsid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Tercero, se facult</w:t>
      </w:r>
      <w:r w:rsidR="00765955">
        <w:rPr>
          <w:rFonts w:ascii="Book Antiqua" w:eastAsia="Times New Roman" w:hAnsi="Book Antiqua" w:cs="Times New Roman"/>
          <w:kern w:val="0"/>
          <w14:ligatures w14:val="none"/>
        </w:rPr>
        <w:t>ó</w:t>
      </w:r>
      <w:r w:rsidRPr="004470A2">
        <w:rPr>
          <w:rFonts w:ascii="Book Antiqua" w:eastAsia="Times New Roman" w:hAnsi="Book Antiqua" w:cs="Times New Roman"/>
          <w:kern w:val="0"/>
          <w14:ligatures w14:val="none"/>
        </w:rPr>
        <w:t xml:space="preserve"> a la Oficina de Gerencia y Presupuesto y al Departamento de Desarrollo Económico y Comercio para desarrollar, mediante orden administrativa conjunta, guías y modelos que faciliten la preparación de la DCE por las agencias, particularmente cuando se trate de reglamentación de incentivos contributivos o de carácter económicamente complejo.</w:t>
      </w:r>
    </w:p>
    <w:p w14:paraId="7CFBFB85" w14:textId="741D0132" w:rsidR="004470A2" w:rsidRPr="00BC3AFC" w:rsidRDefault="004470A2" w:rsidP="00BC3AFC">
      <w:pPr>
        <w:spacing w:after="200" w:line="360"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Cuarto, se establec</w:t>
      </w:r>
      <w:r w:rsidR="00765955">
        <w:rPr>
          <w:rFonts w:ascii="Book Antiqua" w:eastAsia="Times New Roman" w:hAnsi="Book Antiqua" w:cs="Times New Roman"/>
          <w:kern w:val="0"/>
          <w14:ligatures w14:val="none"/>
        </w:rPr>
        <w:t>ió</w:t>
      </w:r>
      <w:r>
        <w:rPr>
          <w:rFonts w:ascii="Book Antiqua" w:eastAsia="Times New Roman" w:hAnsi="Book Antiqua" w:cs="Times New Roman"/>
          <w:kern w:val="0"/>
          <w14:ligatures w14:val="none"/>
        </w:rPr>
        <w:t xml:space="preserve"> una obligación a las agencias e instrumentalidades con un presupuesto consolidado de cien millones de dólares ($100,000,000.00) o más. </w:t>
      </w:r>
    </w:p>
    <w:p w14:paraId="67D077B6" w14:textId="5A3C53C8" w:rsidR="00BC3AFC" w:rsidRPr="0063783F" w:rsidRDefault="00BC3AFC" w:rsidP="0063783F">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63783F">
        <w:rPr>
          <w:rFonts w:ascii="Book Antiqua" w:eastAsia="Times New Roman" w:hAnsi="Book Antiqua" w:cs="Times New Roman"/>
          <w:kern w:val="0"/>
          <w14:ligatures w14:val="none"/>
        </w:rPr>
        <w:t>Sección 2.8.  Reglamentación Negociada (</w:t>
      </w:r>
      <w:r w:rsidR="0063783F" w:rsidRPr="0063783F">
        <w:rPr>
          <w:rFonts w:ascii="Book Antiqua" w:eastAsia="Times New Roman" w:hAnsi="Book Antiqua" w:cs="Times New Roman"/>
          <w:kern w:val="0"/>
          <w14:ligatures w14:val="none"/>
        </w:rPr>
        <w:t xml:space="preserve">antiguo </w:t>
      </w:r>
      <w:r w:rsidRPr="0063783F">
        <w:rPr>
          <w:rFonts w:ascii="Book Antiqua" w:eastAsia="Times New Roman" w:hAnsi="Book Antiqua" w:cs="Times New Roman"/>
          <w:kern w:val="0"/>
          <w14:ligatures w14:val="none"/>
        </w:rPr>
        <w:t>Artículo 9)</w:t>
      </w:r>
    </w:p>
    <w:p w14:paraId="72014776" w14:textId="4F8439BD" w:rsidR="009C28D3" w:rsidRPr="009C28D3" w:rsidRDefault="009C28D3" w:rsidP="009C28D3">
      <w:pPr>
        <w:spacing w:before="200" w:after="100" w:line="319" w:lineRule="auto"/>
        <w:ind w:firstLine="720"/>
        <w:jc w:val="both"/>
        <w:rPr>
          <w:rFonts w:ascii="Book Antiqua" w:eastAsia="Times New Roman" w:hAnsi="Book Antiqua" w:cs="Times New Roman"/>
          <w:kern w:val="0"/>
          <w14:ligatures w14:val="none"/>
        </w:rPr>
      </w:pPr>
      <w:r w:rsidRPr="009C28D3">
        <w:rPr>
          <w:rFonts w:ascii="Book Antiqua" w:eastAsia="Times New Roman" w:hAnsi="Book Antiqua" w:cs="Times New Roman"/>
          <w:kern w:val="0"/>
          <w14:ligatures w14:val="none"/>
        </w:rPr>
        <w:t>Se elimin</w:t>
      </w:r>
      <w:r w:rsidR="00765955">
        <w:rPr>
          <w:rFonts w:ascii="Book Antiqua" w:eastAsia="Times New Roman" w:hAnsi="Book Antiqua" w:cs="Times New Roman"/>
          <w:kern w:val="0"/>
          <w14:ligatures w14:val="none"/>
        </w:rPr>
        <w:t>ó</w:t>
      </w:r>
      <w:r w:rsidRPr="009C28D3">
        <w:rPr>
          <w:rFonts w:ascii="Book Antiqua" w:eastAsia="Times New Roman" w:hAnsi="Book Antiqua" w:cs="Times New Roman"/>
          <w:kern w:val="0"/>
          <w14:ligatures w14:val="none"/>
        </w:rPr>
        <w:t xml:space="preserve"> el contenido relacionado a la </w:t>
      </w:r>
      <w:r>
        <w:rPr>
          <w:rFonts w:ascii="Book Antiqua" w:eastAsia="Times New Roman" w:hAnsi="Book Antiqua" w:cs="Times New Roman"/>
          <w:kern w:val="0"/>
          <w14:ligatures w14:val="none"/>
        </w:rPr>
        <w:t>r</w:t>
      </w:r>
      <w:r w:rsidRPr="009C28D3">
        <w:rPr>
          <w:rFonts w:ascii="Book Antiqua" w:eastAsia="Times New Roman" w:hAnsi="Book Antiqua" w:cs="Times New Roman"/>
          <w:kern w:val="0"/>
          <w14:ligatures w14:val="none"/>
        </w:rPr>
        <w:t xml:space="preserve">eglamentación negociada, por entender que el proceso es parte de el procedimiento de reglamentación actual, en donde se recoge el insumo de distintos participantes.  </w:t>
      </w:r>
      <w:r>
        <w:rPr>
          <w:rFonts w:ascii="Book Antiqua" w:eastAsia="Times New Roman" w:hAnsi="Book Antiqua" w:cs="Times New Roman"/>
          <w:kern w:val="0"/>
          <w14:ligatures w14:val="none"/>
        </w:rPr>
        <w:t xml:space="preserve">De igual modo, </w:t>
      </w:r>
      <w:r w:rsidR="0063783F">
        <w:rPr>
          <w:rFonts w:ascii="Book Antiqua" w:eastAsia="Times New Roman" w:hAnsi="Book Antiqua" w:cs="Times New Roman"/>
          <w:kern w:val="0"/>
          <w14:ligatures w14:val="none"/>
        </w:rPr>
        <w:t>la reducción en su uso dentro de la jurisdicción estadounidense también incidió</w:t>
      </w:r>
      <w:r>
        <w:rPr>
          <w:rFonts w:ascii="Book Antiqua" w:eastAsia="Times New Roman" w:hAnsi="Book Antiqua" w:cs="Times New Roman"/>
          <w:kern w:val="0"/>
          <w14:ligatures w14:val="none"/>
        </w:rPr>
        <w:t xml:space="preserve"> en esta determinación. </w:t>
      </w:r>
    </w:p>
    <w:p w14:paraId="2636DD82" w14:textId="3C4798AE" w:rsidR="00BC3AFC" w:rsidRPr="0063783F" w:rsidRDefault="00BC3AFC" w:rsidP="0063783F">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63783F">
        <w:rPr>
          <w:rFonts w:ascii="Book Antiqua" w:eastAsia="Times New Roman" w:hAnsi="Book Antiqua" w:cs="Times New Roman"/>
          <w:kern w:val="0"/>
          <w14:ligatures w14:val="none"/>
        </w:rPr>
        <w:t xml:space="preserve">Sección 2.9.  </w:t>
      </w:r>
      <w:proofErr w:type="gramStart"/>
      <w:r w:rsidRPr="0063783F">
        <w:rPr>
          <w:rFonts w:ascii="Book Antiqua" w:eastAsia="Times New Roman" w:hAnsi="Book Antiqua" w:cs="Times New Roman"/>
          <w:kern w:val="0"/>
          <w14:ligatures w14:val="none"/>
        </w:rPr>
        <w:t>Guías a Seguir</w:t>
      </w:r>
      <w:proofErr w:type="gramEnd"/>
      <w:r w:rsidRPr="0063783F">
        <w:rPr>
          <w:rFonts w:ascii="Book Antiqua" w:eastAsia="Times New Roman" w:hAnsi="Book Antiqua" w:cs="Times New Roman"/>
          <w:kern w:val="0"/>
          <w14:ligatures w14:val="none"/>
        </w:rPr>
        <w:t xml:space="preserve"> por las Agencias (Artículo </w:t>
      </w:r>
      <w:r w:rsidR="0063783F" w:rsidRPr="0063783F">
        <w:rPr>
          <w:rFonts w:ascii="Book Antiqua" w:eastAsia="Times New Roman" w:hAnsi="Book Antiqua" w:cs="Times New Roman"/>
          <w:kern w:val="0"/>
          <w14:ligatures w14:val="none"/>
        </w:rPr>
        <w:t>9</w:t>
      </w:r>
      <w:r w:rsidRPr="0063783F">
        <w:rPr>
          <w:rFonts w:ascii="Book Antiqua" w:eastAsia="Times New Roman" w:hAnsi="Book Antiqua" w:cs="Times New Roman"/>
          <w:kern w:val="0"/>
          <w14:ligatures w14:val="none"/>
        </w:rPr>
        <w:t>)</w:t>
      </w:r>
    </w:p>
    <w:p w14:paraId="21DC7E86" w14:textId="2C9379DE" w:rsid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aclar</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que el reglamento modelo preparado por el </w:t>
      </w:r>
      <w:proofErr w:type="gramStart"/>
      <w:r w:rsidRPr="00BC3AFC">
        <w:rPr>
          <w:rFonts w:ascii="Book Antiqua" w:eastAsia="Times New Roman" w:hAnsi="Book Antiqua" w:cs="Times New Roman"/>
          <w:kern w:val="0"/>
          <w14:ligatures w14:val="none"/>
        </w:rPr>
        <w:t>Secretario</w:t>
      </w:r>
      <w:proofErr w:type="gramEnd"/>
      <w:r w:rsidRPr="00BC3AFC">
        <w:rPr>
          <w:rFonts w:ascii="Book Antiqua" w:eastAsia="Times New Roman" w:hAnsi="Book Antiqua" w:cs="Times New Roman"/>
          <w:kern w:val="0"/>
          <w14:ligatures w14:val="none"/>
        </w:rPr>
        <w:t xml:space="preserve"> de Estado tendrá vigencia en aquellas agencias que tengan obligación de reglamentar la materia, excepto en aquellas que ya hayan aprobado reglamentación propia sobre la materia, sea con anterioridad o con posterioridad al modelo del </w:t>
      </w:r>
      <w:proofErr w:type="gramStart"/>
      <w:r w:rsidRPr="00BC3AFC">
        <w:rPr>
          <w:rFonts w:ascii="Book Antiqua" w:eastAsia="Times New Roman" w:hAnsi="Book Antiqua" w:cs="Times New Roman"/>
          <w:kern w:val="0"/>
          <w14:ligatures w14:val="none"/>
        </w:rPr>
        <w:t>Secretario</w:t>
      </w:r>
      <w:proofErr w:type="gramEnd"/>
      <w:r w:rsidRPr="00BC3AFC">
        <w:rPr>
          <w:rFonts w:ascii="Book Antiqua" w:eastAsia="Times New Roman" w:hAnsi="Book Antiqua" w:cs="Times New Roman"/>
          <w:kern w:val="0"/>
          <w14:ligatures w14:val="none"/>
        </w:rPr>
        <w:t>. Este ajuste, recomendado por el Prof. Vázquez, resguarda la autonomía reglamentaria de las agencias y reconoce que el rol del Departamento de Estado debe ser suplir el vacío de inacción, no imponer contenido sustantivo a las agencias.</w:t>
      </w:r>
    </w:p>
    <w:p w14:paraId="7651521E" w14:textId="77777777" w:rsidR="006A717B" w:rsidRDefault="006A717B" w:rsidP="00BC3AFC">
      <w:pPr>
        <w:spacing w:after="200" w:line="360" w:lineRule="auto"/>
        <w:ind w:firstLine="720"/>
        <w:jc w:val="both"/>
        <w:rPr>
          <w:rFonts w:ascii="Book Antiqua" w:eastAsia="Times New Roman" w:hAnsi="Book Antiqua" w:cs="Times New Roman"/>
          <w:kern w:val="0"/>
          <w14:ligatures w14:val="none"/>
        </w:rPr>
      </w:pPr>
    </w:p>
    <w:p w14:paraId="274D14BF" w14:textId="77777777" w:rsidR="006A717B" w:rsidRPr="00BC3AFC" w:rsidRDefault="006A717B" w:rsidP="00BC3AFC">
      <w:pPr>
        <w:spacing w:after="200" w:line="360" w:lineRule="auto"/>
        <w:ind w:firstLine="720"/>
        <w:jc w:val="both"/>
        <w:rPr>
          <w:rFonts w:ascii="Book Antiqua" w:eastAsia="Times New Roman" w:hAnsi="Book Antiqua" w:cs="Times New Roman"/>
          <w:kern w:val="0"/>
          <w14:ligatures w14:val="none"/>
        </w:rPr>
      </w:pPr>
    </w:p>
    <w:p w14:paraId="22EE9A4C" w14:textId="7D472DBA" w:rsidR="00BC3AFC" w:rsidRPr="004470A2" w:rsidRDefault="00BC3AFC" w:rsidP="004470A2">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lastRenderedPageBreak/>
        <w:t>Sección 2.10.  Contenido, Estilo y Forma del Reglamento Final (Artículo 1</w:t>
      </w:r>
      <w:r w:rsidR="0063783F">
        <w:rPr>
          <w:rFonts w:ascii="Book Antiqua" w:eastAsia="Times New Roman" w:hAnsi="Book Antiqua" w:cs="Times New Roman"/>
          <w:kern w:val="0"/>
          <w14:ligatures w14:val="none"/>
        </w:rPr>
        <w:t>0</w:t>
      </w:r>
      <w:r w:rsidRPr="004470A2">
        <w:rPr>
          <w:rFonts w:ascii="Book Antiqua" w:eastAsia="Times New Roman" w:hAnsi="Book Antiqua" w:cs="Times New Roman"/>
          <w:kern w:val="0"/>
          <w14:ligatures w14:val="none"/>
        </w:rPr>
        <w:t>)</w:t>
      </w:r>
    </w:p>
    <w:p w14:paraId="36A21141" w14:textId="026F11F8"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concili</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el inciso (b), que conserva el lenguaje vigente sobre la inclusión de un resumen ejecutivo con análisis de costos y beneficios, con la nueva exigencia de la DCE establecida en la Sección 2.6. Adicionalmente, se incorpor</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un mandato general a las agencias para simplificar no solo el lenguaje técnico, sino también la complejidad procesal y los formularios, a fin de que la ciudadanía pueda participar de los procesos administrativos sin necesidad imperativa de representación legal.</w:t>
      </w:r>
    </w:p>
    <w:p w14:paraId="027CB492" w14:textId="70407BC6" w:rsidR="00BC3AFC" w:rsidRPr="004470A2" w:rsidRDefault="00BC3AFC" w:rsidP="004470A2">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Sección 2.14.  Reglamentación Durante Emergencias (Artículo 1</w:t>
      </w:r>
      <w:r w:rsidR="006229F1">
        <w:rPr>
          <w:rFonts w:ascii="Book Antiqua" w:eastAsia="Times New Roman" w:hAnsi="Book Antiqua" w:cs="Times New Roman"/>
          <w:kern w:val="0"/>
          <w14:ligatures w14:val="none"/>
        </w:rPr>
        <w:t>4</w:t>
      </w:r>
      <w:r w:rsidRPr="004470A2">
        <w:rPr>
          <w:rFonts w:ascii="Book Antiqua" w:eastAsia="Times New Roman" w:hAnsi="Book Antiqua" w:cs="Times New Roman"/>
          <w:kern w:val="0"/>
          <w14:ligatures w14:val="none"/>
        </w:rPr>
        <w:t>)</w:t>
      </w:r>
    </w:p>
    <w:p w14:paraId="0528033C" w14:textId="5607E818"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incorpor</w:t>
      </w:r>
      <w:r w:rsidR="00A7562E">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atendiendo la recomendación del Prof. Vázquez Irizarry, el régimen de plazos que contemplaba la derogada Ley Núm. 210</w:t>
      </w:r>
      <w:r w:rsidR="00A7562E">
        <w:rPr>
          <w:rFonts w:ascii="Book Antiqua" w:eastAsia="Times New Roman" w:hAnsi="Book Antiqua" w:cs="Times New Roman"/>
          <w:kern w:val="0"/>
          <w14:ligatures w14:val="none"/>
        </w:rPr>
        <w:t>-</w:t>
      </w:r>
      <w:r w:rsidRPr="00BC3AFC">
        <w:rPr>
          <w:rFonts w:ascii="Book Antiqua" w:eastAsia="Times New Roman" w:hAnsi="Book Antiqua" w:cs="Times New Roman"/>
          <w:kern w:val="0"/>
          <w14:ligatures w14:val="none"/>
        </w:rPr>
        <w:t>2016 para los reglamentos de emergencia. En síntesis, la vigencia inicial del reglamento de emergencia no excederá noventa (90) días, prorrogables por una única vez por sesenta (60) días adicionales. Transcurrido ese término, el reglamento de emergencia solo conservará vigencia si la agencia ha completado el procedimiento ordinario de adopción establecido en esta Ley. Este ajuste cierra una laguna histórica del régimen vigente, que ha permitido que reglamentos de emergencia perduren indefinidamente sin que se complete el procedimiento ordinario.</w:t>
      </w:r>
    </w:p>
    <w:p w14:paraId="6B10BF22" w14:textId="394336C8" w:rsidR="00BC3AFC" w:rsidRPr="004470A2" w:rsidRDefault="00BC3AFC" w:rsidP="009C28D3">
      <w:pPr>
        <w:pStyle w:val="ListParagraph"/>
        <w:numPr>
          <w:ilvl w:val="1"/>
          <w:numId w:val="8"/>
        </w:numPr>
        <w:spacing w:before="200" w:after="100" w:line="319" w:lineRule="auto"/>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Sección 2.15.  Derogación de Reglamentos (Artículo 1</w:t>
      </w:r>
      <w:r w:rsidR="006229F1">
        <w:rPr>
          <w:rFonts w:ascii="Book Antiqua" w:eastAsia="Times New Roman" w:hAnsi="Book Antiqua" w:cs="Times New Roman"/>
          <w:kern w:val="0"/>
          <w14:ligatures w14:val="none"/>
        </w:rPr>
        <w:t>5</w:t>
      </w:r>
      <w:r w:rsidRPr="004470A2">
        <w:rPr>
          <w:rFonts w:ascii="Book Antiqua" w:eastAsia="Times New Roman" w:hAnsi="Book Antiqua" w:cs="Times New Roman"/>
          <w:kern w:val="0"/>
          <w14:ligatures w14:val="none"/>
        </w:rPr>
        <w:t>)</w:t>
      </w:r>
    </w:p>
    <w:p w14:paraId="7C815DDF" w14:textId="057F842D"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mant</w:t>
      </w:r>
      <w:r w:rsidR="00A7562E">
        <w:rPr>
          <w:rFonts w:ascii="Book Antiqua" w:eastAsia="Times New Roman" w:hAnsi="Book Antiqua" w:cs="Times New Roman"/>
          <w:kern w:val="0"/>
          <w14:ligatures w14:val="none"/>
        </w:rPr>
        <w:t>uvo</w:t>
      </w:r>
      <w:r w:rsidRPr="00BC3AFC">
        <w:rPr>
          <w:rFonts w:ascii="Book Antiqua" w:eastAsia="Times New Roman" w:hAnsi="Book Antiqua" w:cs="Times New Roman"/>
          <w:kern w:val="0"/>
          <w14:ligatures w14:val="none"/>
        </w:rPr>
        <w:t xml:space="preserve"> el procedimiento expedito que persigue el Proyecto, pero se incorpora el balance recomendado al disponer que, cuando una persona afectada o interesada solicite la celebración de una vista pública sobre la derogación propuesta, la agencia tendrá la facultad discrecional de concederla. Esta enmienda preserva la celeridad como regla general y reserva el mecanismo de la vista pública para circunstancias en que su celebración resulte conveniente.</w:t>
      </w:r>
    </w:p>
    <w:p w14:paraId="09FB1F8A" w14:textId="1BD193D0" w:rsidR="00BC3AFC" w:rsidRPr="004470A2" w:rsidRDefault="00BC3AFC" w:rsidP="006229F1">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Sección 2.16.  Deber de Revisión Periódica de Reglamentos (Artículo 1</w:t>
      </w:r>
      <w:r w:rsidR="006229F1">
        <w:rPr>
          <w:rFonts w:ascii="Book Antiqua" w:eastAsia="Times New Roman" w:hAnsi="Book Antiqua" w:cs="Times New Roman"/>
          <w:kern w:val="0"/>
          <w14:ligatures w14:val="none"/>
        </w:rPr>
        <w:t>6</w:t>
      </w:r>
      <w:r w:rsidRPr="004470A2">
        <w:rPr>
          <w:rFonts w:ascii="Book Antiqua" w:eastAsia="Times New Roman" w:hAnsi="Book Antiqua" w:cs="Times New Roman"/>
          <w:kern w:val="0"/>
          <w14:ligatures w14:val="none"/>
        </w:rPr>
        <w:t>)</w:t>
      </w:r>
    </w:p>
    <w:p w14:paraId="22180003" w14:textId="45E87D93" w:rsidR="004470A2" w:rsidRPr="00BC3AFC" w:rsidRDefault="00BC3AFC" w:rsidP="006229F1">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incorpor</w:t>
      </w:r>
      <w:r w:rsidR="00A7562E">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la recomendación del Prof. Vázquez Irizarry de que el Departamento de Estado prepare un informe anual de cumplimiento de las agencias con el deber de </w:t>
      </w:r>
      <w:r w:rsidRPr="00BC3AFC">
        <w:rPr>
          <w:rFonts w:ascii="Book Antiqua" w:eastAsia="Times New Roman" w:hAnsi="Book Antiqua" w:cs="Times New Roman"/>
          <w:kern w:val="0"/>
          <w14:ligatures w14:val="none"/>
        </w:rPr>
        <w:lastRenderedPageBreak/>
        <w:t>revisión periódica, el cual deberá publicarse en el Boletín, además de remitirse a la Gobernadora y a la Asamblea Legislativa. Esta enmienda fortalece el carácter público y fiscalizable del mecanismo.</w:t>
      </w:r>
    </w:p>
    <w:p w14:paraId="45BEDD1B" w14:textId="59B56DEA" w:rsidR="00BC3AFC" w:rsidRPr="004470A2" w:rsidRDefault="00BC3AFC" w:rsidP="006229F1">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Sección 2.17.  Documentos Guía (Artículo 1</w:t>
      </w:r>
      <w:r w:rsidR="006229F1">
        <w:rPr>
          <w:rFonts w:ascii="Book Antiqua" w:eastAsia="Times New Roman" w:hAnsi="Book Antiqua" w:cs="Times New Roman"/>
          <w:kern w:val="0"/>
          <w14:ligatures w14:val="none"/>
        </w:rPr>
        <w:t>7</w:t>
      </w:r>
      <w:r w:rsidRPr="004470A2">
        <w:rPr>
          <w:rFonts w:ascii="Book Antiqua" w:eastAsia="Times New Roman" w:hAnsi="Book Antiqua" w:cs="Times New Roman"/>
          <w:kern w:val="0"/>
          <w14:ligatures w14:val="none"/>
        </w:rPr>
        <w:t>)</w:t>
      </w:r>
    </w:p>
    <w:p w14:paraId="46352A9B" w14:textId="6E402699"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preserv</w:t>
      </w:r>
      <w:r w:rsidR="00A7562E">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expresamente el lenguaje del actual inciso (d) de la Sección 2.20 de la LPAU vigente, conforme al cual los documentos guía no son vinculantes sobre la agencia en los procesos adjudicativos y, de apartarse de su contenido, la agencia debe ofrecer una explicación razonable. La preservación de este principio responde a la observación del Prof. Vázquez Irizarry, en cuanto a que se trata de una norma doctrinalmente correcta cuya derogación parecía inadvertida en el Proyecto presentado.</w:t>
      </w:r>
    </w:p>
    <w:p w14:paraId="00B045F8" w14:textId="780E582E" w:rsidR="00BC3AFC" w:rsidRPr="004470A2" w:rsidRDefault="00BC3AFC" w:rsidP="004470A2">
      <w:pPr>
        <w:pStyle w:val="ListParagraph"/>
        <w:numPr>
          <w:ilvl w:val="1"/>
          <w:numId w:val="8"/>
        </w:numPr>
        <w:spacing w:before="200" w:after="100" w:line="276"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Disposiciones Adicionales sobre Apoyo Técnico y Plazo de Adecuación Reglamentaria</w:t>
      </w:r>
    </w:p>
    <w:p w14:paraId="0578DD6A" w14:textId="12A6D8B6"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Recogiendo las recomendaciones del Departamento de Estado y de PRITS, se incorpor</w:t>
      </w:r>
      <w:r w:rsidR="00A7562E">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al Artículo 24 (Disposiciones Transitorias) dos disposiciones de operatividad.</w:t>
      </w:r>
    </w:p>
    <w:p w14:paraId="08D2E655" w14:textId="6538A1CF"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Primero, se orden</w:t>
      </w:r>
      <w:r w:rsidR="00A7562E">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al </w:t>
      </w:r>
      <w:r w:rsidRPr="009C28D3">
        <w:rPr>
          <w:rFonts w:ascii="Book Antiqua" w:eastAsia="Times New Roman" w:hAnsi="Book Antiqua" w:cs="Times New Roman"/>
          <w:i/>
          <w:iCs/>
          <w:kern w:val="0"/>
          <w14:ligatures w14:val="none"/>
        </w:rPr>
        <w:t>Puerto Rico Innovation and Technology Service</w:t>
      </w:r>
      <w:r w:rsidRPr="00BC3AFC">
        <w:rPr>
          <w:rFonts w:ascii="Book Antiqua" w:eastAsia="Times New Roman" w:hAnsi="Book Antiqua" w:cs="Times New Roman"/>
          <w:kern w:val="0"/>
          <w14:ligatures w14:val="none"/>
        </w:rPr>
        <w:t xml:space="preserve"> asistir al Departamento de Estado y a las agencias en la ejecución de las disposiciones de esta Ley, a tenor con la Ley Núm. 75 de 2019 y la Ley Núm. 148 de 2006.</w:t>
      </w:r>
    </w:p>
    <w:p w14:paraId="1DDAFA0B" w14:textId="7583BC4A"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Segundo, se requi</w:t>
      </w:r>
      <w:r w:rsidR="00A7562E">
        <w:rPr>
          <w:rFonts w:ascii="Book Antiqua" w:eastAsia="Times New Roman" w:hAnsi="Book Antiqua" w:cs="Times New Roman"/>
          <w:kern w:val="0"/>
          <w14:ligatures w14:val="none"/>
        </w:rPr>
        <w:t>rió</w:t>
      </w:r>
      <w:r w:rsidRPr="00BC3AFC">
        <w:rPr>
          <w:rFonts w:ascii="Book Antiqua" w:eastAsia="Times New Roman" w:hAnsi="Book Antiqua" w:cs="Times New Roman"/>
          <w:kern w:val="0"/>
          <w14:ligatures w14:val="none"/>
        </w:rPr>
        <w:t xml:space="preserve"> a las agencias adoptar, enmendar o sustituir la reglamentación necesaria para el cumplimiento de las disposiciones de esta Ley dentro de los ciento ochenta (180) días contados desde su aprobación.</w:t>
      </w:r>
    </w:p>
    <w:p w14:paraId="74B7442D" w14:textId="181CB394" w:rsidR="00BC3AFC" w:rsidRPr="004470A2" w:rsidRDefault="00BC3AFC" w:rsidP="004470A2">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Correcciones de Estilo y Ortografía</w:t>
      </w:r>
    </w:p>
    <w:p w14:paraId="755230AE" w14:textId="6C5A12A2" w:rsidR="009C28D3" w:rsidRPr="009C28D3"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realiza</w:t>
      </w:r>
      <w:r w:rsidR="00A7562E">
        <w:rPr>
          <w:rFonts w:ascii="Book Antiqua" w:eastAsia="Times New Roman" w:hAnsi="Book Antiqua" w:cs="Times New Roman"/>
          <w:kern w:val="0"/>
          <w14:ligatures w14:val="none"/>
        </w:rPr>
        <w:t>ron</w:t>
      </w:r>
      <w:r w:rsidRPr="00BC3AFC">
        <w:rPr>
          <w:rFonts w:ascii="Book Antiqua" w:eastAsia="Times New Roman" w:hAnsi="Book Antiqua" w:cs="Times New Roman"/>
          <w:kern w:val="0"/>
          <w14:ligatures w14:val="none"/>
        </w:rPr>
        <w:t xml:space="preserve"> correcciones tipográficas evidentes en el texto del Proyecto. En particular, se corrige “portar electrónico” por “portal electrónico” en las Secciones 2.2(c) y 2.3(c); se corrige “atende” por “atiende” en la Sección 2.4(b)(ii); y se corrige “se busca resolverse” por “se busca resolver” en la Sección 2.4(b)(iv). Se atiende, además, una redacción defectuosa en la Sección 2.16, donde se corrige “Una determinación el </w:t>
      </w:r>
      <w:r w:rsidRPr="00BC3AFC">
        <w:rPr>
          <w:rFonts w:ascii="Book Antiqua" w:eastAsia="Times New Roman" w:hAnsi="Book Antiqua" w:cs="Times New Roman"/>
          <w:kern w:val="0"/>
          <w14:ligatures w14:val="none"/>
        </w:rPr>
        <w:lastRenderedPageBreak/>
        <w:t xml:space="preserve">reglamento no es más </w:t>
      </w:r>
      <w:proofErr w:type="gramStart"/>
      <w:r w:rsidRPr="00BC3AFC">
        <w:rPr>
          <w:rFonts w:ascii="Book Antiqua" w:eastAsia="Times New Roman" w:hAnsi="Book Antiqua" w:cs="Times New Roman"/>
          <w:kern w:val="0"/>
          <w14:ligatures w14:val="none"/>
        </w:rPr>
        <w:t>estricta</w:t>
      </w:r>
      <w:proofErr w:type="gramEnd"/>
      <w:r w:rsidRPr="00BC3AFC">
        <w:rPr>
          <w:rFonts w:ascii="Book Antiqua" w:eastAsia="Times New Roman" w:hAnsi="Book Antiqua" w:cs="Times New Roman"/>
          <w:kern w:val="0"/>
          <w14:ligatures w14:val="none"/>
        </w:rPr>
        <w:t>” por “Una determinación de si el reglamento es más estricto”.</w:t>
      </w:r>
    </w:p>
    <w:p w14:paraId="6AA413CC" w14:textId="67047936" w:rsidR="00A54AF0" w:rsidRPr="005F1042" w:rsidRDefault="00A54AF0" w:rsidP="00A54AF0">
      <w:pPr>
        <w:keepNext/>
        <w:spacing w:after="0" w:line="240" w:lineRule="auto"/>
        <w:jc w:val="center"/>
        <w:outlineLvl w:val="2"/>
        <w:rPr>
          <w:rFonts w:ascii="Book Antiqua" w:eastAsia="Times New Roman" w:hAnsi="Book Antiqua" w:cs="Times New Roman"/>
          <w:b/>
          <w:bCs/>
          <w:spacing w:val="-3"/>
          <w:kern w:val="0"/>
          <w:lang w:val="es-ES" w:eastAsia="x-none"/>
          <w14:ligatures w14:val="none"/>
        </w:rPr>
      </w:pPr>
      <w:r w:rsidRPr="005F1042">
        <w:rPr>
          <w:rFonts w:ascii="Book Antiqua" w:eastAsia="Times New Roman" w:hAnsi="Book Antiqua" w:cs="Times New Roman"/>
          <w:b/>
          <w:bCs/>
          <w:spacing w:val="-3"/>
          <w:kern w:val="0"/>
          <w:lang w:val="es-ES" w:eastAsia="x-none"/>
          <w14:ligatures w14:val="none"/>
        </w:rPr>
        <w:t>CONCLUSIÓN</w:t>
      </w:r>
    </w:p>
    <w:p w14:paraId="339877AA" w14:textId="77777777" w:rsidR="00A54AF0" w:rsidRDefault="00A54AF0" w:rsidP="00A54AF0">
      <w:pPr>
        <w:spacing w:after="0" w:line="240" w:lineRule="auto"/>
        <w:jc w:val="both"/>
        <w:rPr>
          <w:rFonts w:ascii="Book Antiqua" w:eastAsia="Times New Roman" w:hAnsi="Book Antiqua" w:cs="Times New Roman"/>
          <w:kern w:val="0"/>
          <w14:ligatures w14:val="none"/>
        </w:rPr>
      </w:pPr>
    </w:p>
    <w:p w14:paraId="76968A3B" w14:textId="6897C7A2" w:rsidR="00075A72" w:rsidRPr="00075A72" w:rsidRDefault="00075A72" w:rsidP="009C28D3">
      <w:pPr>
        <w:spacing w:after="0" w:line="360" w:lineRule="auto"/>
        <w:ind w:firstLine="720"/>
        <w:jc w:val="both"/>
        <w:rPr>
          <w:rFonts w:ascii="Times New Roman" w:hAnsi="Times New Roman" w:cs="Times New Roman"/>
          <w:lang w:val="es-ES_tradnl"/>
        </w:rPr>
      </w:pPr>
      <w:r>
        <w:rPr>
          <w:rFonts w:ascii="Times New Roman" w:hAnsi="Times New Roman" w:cs="Times New Roman"/>
          <w:lang w:val="es-ES_tradnl"/>
        </w:rPr>
        <w:t xml:space="preserve">Por los fundamentos expuestos, la </w:t>
      </w:r>
      <w:r w:rsidR="00A0477E">
        <w:rPr>
          <w:rFonts w:ascii="Times New Roman" w:hAnsi="Times New Roman" w:cs="Times New Roman"/>
          <w:lang w:val="es-ES_tradnl"/>
        </w:rPr>
        <w:t>CRED</w:t>
      </w:r>
      <w:r>
        <w:rPr>
          <w:rFonts w:ascii="Times New Roman" w:hAnsi="Times New Roman" w:cs="Times New Roman"/>
          <w:lang w:val="es-ES_tradnl"/>
        </w:rPr>
        <w:t xml:space="preserve">, luego de un análisis ponderado del P. de la C. </w:t>
      </w:r>
      <w:r w:rsidR="00A0477E">
        <w:rPr>
          <w:rFonts w:ascii="Times New Roman" w:hAnsi="Times New Roman" w:cs="Times New Roman"/>
          <w:lang w:val="es-ES_tradnl"/>
        </w:rPr>
        <w:t xml:space="preserve">1080, </w:t>
      </w:r>
      <w:r>
        <w:rPr>
          <w:rFonts w:ascii="Times New Roman" w:hAnsi="Times New Roman" w:cs="Times New Roman"/>
          <w:lang w:val="es-ES_tradnl"/>
        </w:rPr>
        <w:t>los memoriales recibidos</w:t>
      </w:r>
      <w:r w:rsidR="00A0477E">
        <w:rPr>
          <w:rFonts w:ascii="Times New Roman" w:hAnsi="Times New Roman" w:cs="Times New Roman"/>
          <w:lang w:val="es-ES_tradnl"/>
        </w:rPr>
        <w:t xml:space="preserve">, las expresiones recibidas en la </w:t>
      </w:r>
      <w:r w:rsidR="00A0477E" w:rsidRPr="00A7562E">
        <w:rPr>
          <w:rFonts w:ascii="Times New Roman" w:hAnsi="Times New Roman" w:cs="Times New Roman"/>
          <w:i/>
          <w:iCs/>
          <w:lang w:val="es-ES_tradnl"/>
        </w:rPr>
        <w:t>Vista Pública</w:t>
      </w:r>
      <w:r w:rsidR="00A0477E">
        <w:rPr>
          <w:rFonts w:ascii="Times New Roman" w:hAnsi="Times New Roman" w:cs="Times New Roman"/>
          <w:lang w:val="es-ES_tradnl"/>
        </w:rPr>
        <w:t xml:space="preserve"> del 9 de marzo de 2026, y la evaluación de literatura relacionado </w:t>
      </w:r>
      <w:r w:rsidR="00A7562E">
        <w:rPr>
          <w:rFonts w:ascii="Times New Roman" w:hAnsi="Times New Roman" w:cs="Times New Roman"/>
          <w:lang w:val="es-ES_tradnl"/>
        </w:rPr>
        <w:t>a los temas aquí tratados</w:t>
      </w:r>
      <w:r w:rsidR="00A0477E">
        <w:rPr>
          <w:rFonts w:ascii="Times New Roman" w:hAnsi="Times New Roman" w:cs="Times New Roman"/>
          <w:lang w:val="es-ES_tradnl"/>
        </w:rPr>
        <w:t>,</w:t>
      </w:r>
      <w:r>
        <w:rPr>
          <w:rFonts w:ascii="Times New Roman" w:hAnsi="Times New Roman" w:cs="Times New Roman"/>
          <w:lang w:val="es-ES_tradnl"/>
        </w:rPr>
        <w:t xml:space="preserve"> concluye que la medida atiende </w:t>
      </w:r>
      <w:r w:rsidR="00A0477E">
        <w:rPr>
          <w:rFonts w:ascii="Times New Roman" w:hAnsi="Times New Roman" w:cs="Times New Roman"/>
          <w:lang w:val="es-ES_tradnl"/>
        </w:rPr>
        <w:t xml:space="preserve">un llamado de actualizar y modernizar los procedimientos administrativos. No empero, entendemos que hay ciertas figuras que podrían resultar inefectivas, considerando la realidad puertorriqueña, y la experiencia de algunas jurisdicciones. </w:t>
      </w:r>
    </w:p>
    <w:p w14:paraId="02BEC319" w14:textId="02626031" w:rsidR="00A54AF0" w:rsidRPr="00792F5A" w:rsidRDefault="00075A72" w:rsidP="009C28D3">
      <w:pPr>
        <w:spacing w:after="200" w:line="360" w:lineRule="auto"/>
        <w:ind w:firstLine="720"/>
        <w:jc w:val="both"/>
        <w:rPr>
          <w:rFonts w:ascii="Times New Roman" w:hAnsi="Times New Roman" w:cs="Times New Roman"/>
          <w:lang w:val="es-ES_tradnl"/>
        </w:rPr>
      </w:pPr>
      <w:r w:rsidRPr="00075A72">
        <w:rPr>
          <w:rFonts w:ascii="Times New Roman" w:hAnsi="Times New Roman" w:cs="Times New Roman"/>
          <w:lang w:val="es-ES_tradnl"/>
        </w:rPr>
        <w:t xml:space="preserve">Por todo lo cual, </w:t>
      </w:r>
      <w:r w:rsidR="00A0477E">
        <w:rPr>
          <w:rFonts w:ascii="Times New Roman" w:hAnsi="Times New Roman" w:cs="Times New Roman"/>
          <w:lang w:val="es-ES_tradnl"/>
        </w:rPr>
        <w:t xml:space="preserve">la CRED </w:t>
      </w:r>
      <w:r w:rsidRPr="00075A72">
        <w:rPr>
          <w:rFonts w:ascii="Times New Roman" w:hAnsi="Times New Roman" w:cs="Times New Roman"/>
          <w:lang w:val="es-ES_tradnl"/>
        </w:rPr>
        <w:t xml:space="preserve">recomienda la aprobación del </w:t>
      </w:r>
      <w:r w:rsidR="00A0477E">
        <w:rPr>
          <w:rFonts w:ascii="Times New Roman" w:hAnsi="Times New Roman" w:cs="Times New Roman"/>
          <w:lang w:val="es-ES_tradnl"/>
        </w:rPr>
        <w:t>P. de la C. 1080,</w:t>
      </w:r>
      <w:r w:rsidRPr="00075A72">
        <w:rPr>
          <w:rFonts w:ascii="Times New Roman" w:hAnsi="Times New Roman" w:cs="Times New Roman"/>
          <w:lang w:val="es-ES_tradnl"/>
        </w:rPr>
        <w:t xml:space="preserve"> con las enmiendas </w:t>
      </w:r>
      <w:r>
        <w:rPr>
          <w:rFonts w:ascii="Times New Roman" w:hAnsi="Times New Roman" w:cs="Times New Roman"/>
          <w:lang w:val="es-ES_tradnl"/>
        </w:rPr>
        <w:t xml:space="preserve">propuesta en el entirillado electrónico que acompaña </w:t>
      </w:r>
      <w:r w:rsidR="000F7370">
        <w:rPr>
          <w:rFonts w:ascii="Times New Roman" w:hAnsi="Times New Roman" w:cs="Times New Roman"/>
          <w:lang w:val="es-ES_tradnl"/>
        </w:rPr>
        <w:t xml:space="preserve">a </w:t>
      </w:r>
      <w:r>
        <w:rPr>
          <w:rFonts w:ascii="Times New Roman" w:hAnsi="Times New Roman" w:cs="Times New Roman"/>
          <w:lang w:val="es-ES_tradnl"/>
        </w:rPr>
        <w:t xml:space="preserve">este informe. </w:t>
      </w:r>
    </w:p>
    <w:p w14:paraId="6B4F35C6" w14:textId="77777777" w:rsidR="00A54AF0" w:rsidRPr="005F1042" w:rsidRDefault="00A54AF0" w:rsidP="00AC29DB">
      <w:pPr>
        <w:spacing w:after="0" w:line="240" w:lineRule="auto"/>
        <w:ind w:firstLine="720"/>
        <w:rPr>
          <w:rFonts w:ascii="Book Antiqua" w:eastAsia="Times New Roman" w:hAnsi="Book Antiqua" w:cs="Times New Roman"/>
          <w:kern w:val="0"/>
          <w:lang w:eastAsia="x-none"/>
          <w14:ligatures w14:val="none"/>
        </w:rPr>
      </w:pPr>
      <w:r w:rsidRPr="005F1042">
        <w:rPr>
          <w:rFonts w:ascii="Book Antiqua" w:eastAsia="Times New Roman" w:hAnsi="Book Antiqua" w:cs="Times New Roman"/>
          <w:kern w:val="0"/>
          <w:lang w:eastAsia="x-none"/>
          <w14:ligatures w14:val="none"/>
        </w:rPr>
        <w:t>Respetuosamente sometido,</w:t>
      </w:r>
    </w:p>
    <w:p w14:paraId="58CEE6C4" w14:textId="77777777" w:rsidR="00A54AF0" w:rsidRPr="005F1042" w:rsidRDefault="00A54AF0" w:rsidP="00A54AF0">
      <w:pPr>
        <w:spacing w:after="0" w:line="240" w:lineRule="auto"/>
        <w:rPr>
          <w:rFonts w:ascii="Book Antiqua" w:eastAsia="Times New Roman" w:hAnsi="Book Antiqua" w:cs="Times New Roman"/>
          <w:kern w:val="0"/>
          <w:sz w:val="22"/>
          <w:szCs w:val="22"/>
          <w:lang w:eastAsia="x-none"/>
          <w14:ligatures w14:val="none"/>
        </w:rPr>
      </w:pPr>
    </w:p>
    <w:p w14:paraId="615F6C7E" w14:textId="77777777" w:rsidR="00AB7D4B" w:rsidRPr="005F1042" w:rsidRDefault="00AB7D4B" w:rsidP="00AC29DB">
      <w:pPr>
        <w:spacing w:after="0" w:line="240" w:lineRule="auto"/>
        <w:jc w:val="both"/>
        <w:rPr>
          <w:rFonts w:ascii="Book Antiqua" w:eastAsia="Times New Roman" w:hAnsi="Book Antiqua" w:cs="Times New Roman"/>
          <w:kern w:val="0"/>
          <w:sz w:val="22"/>
          <w:szCs w:val="22"/>
          <w:lang w:eastAsia="x-none"/>
          <w14:ligatures w14:val="none"/>
        </w:rPr>
      </w:pPr>
    </w:p>
    <w:p w14:paraId="2B509771" w14:textId="77777777" w:rsidR="00AB7D4B" w:rsidRPr="005F1042" w:rsidRDefault="00AB7D4B" w:rsidP="00AC29DB">
      <w:pPr>
        <w:spacing w:after="0" w:line="240" w:lineRule="auto"/>
        <w:jc w:val="both"/>
        <w:rPr>
          <w:rFonts w:ascii="Book Antiqua" w:eastAsia="Times New Roman" w:hAnsi="Book Antiqua" w:cs="Times New Roman"/>
          <w:kern w:val="0"/>
          <w:sz w:val="22"/>
          <w:szCs w:val="22"/>
          <w:lang w:eastAsia="x-none"/>
          <w14:ligatures w14:val="none"/>
        </w:rPr>
      </w:pPr>
    </w:p>
    <w:p w14:paraId="5AE1325A" w14:textId="24D21A88" w:rsidR="00A54AF0" w:rsidRPr="005F1042" w:rsidRDefault="00A54AF0" w:rsidP="00AC29DB">
      <w:pPr>
        <w:spacing w:after="0" w:line="240" w:lineRule="auto"/>
        <w:jc w:val="both"/>
        <w:rPr>
          <w:rFonts w:ascii="Book Antiqua" w:eastAsia="Times New Roman" w:hAnsi="Book Antiqua" w:cs="Times New Roman"/>
          <w:b/>
          <w:bCs/>
          <w:kern w:val="0"/>
          <w:sz w:val="22"/>
          <w:szCs w:val="22"/>
          <w:lang w:eastAsia="x-none"/>
          <w14:ligatures w14:val="none"/>
        </w:rPr>
      </w:pPr>
      <w:r w:rsidRPr="005F1042">
        <w:rPr>
          <w:rFonts w:ascii="Book Antiqua" w:eastAsia="Times New Roman" w:hAnsi="Book Antiqua" w:cs="Times New Roman"/>
          <w:b/>
          <w:bCs/>
          <w:kern w:val="0"/>
          <w:sz w:val="22"/>
          <w:szCs w:val="22"/>
          <w:lang w:eastAsia="x-none"/>
          <w14:ligatures w14:val="none"/>
        </w:rPr>
        <w:t>Hon. Ángel A. Morey Noble</w:t>
      </w:r>
      <w:r w:rsidRPr="005F1042">
        <w:rPr>
          <w:rFonts w:ascii="Book Antiqua" w:eastAsia="Times New Roman" w:hAnsi="Book Antiqua" w:cs="Times New Roman"/>
          <w:b/>
          <w:bCs/>
          <w:kern w:val="0"/>
          <w:sz w:val="22"/>
          <w:szCs w:val="22"/>
          <w:lang w:eastAsia="x-none"/>
          <w14:ligatures w14:val="none"/>
        </w:rPr>
        <w:tab/>
        <w:t xml:space="preserve"> </w:t>
      </w:r>
    </w:p>
    <w:p w14:paraId="0C55918C" w14:textId="77777777" w:rsidR="00A54AF0" w:rsidRPr="005F1042" w:rsidRDefault="00A54AF0" w:rsidP="00AC29DB">
      <w:pPr>
        <w:spacing w:after="0" w:line="240" w:lineRule="auto"/>
        <w:jc w:val="both"/>
        <w:rPr>
          <w:rFonts w:ascii="Book Antiqua" w:eastAsia="Times New Roman" w:hAnsi="Book Antiqua" w:cs="Times New Roman"/>
          <w:i/>
          <w:iCs/>
          <w:kern w:val="0"/>
          <w:sz w:val="22"/>
          <w:szCs w:val="22"/>
          <w:lang w:eastAsia="x-none"/>
          <w14:ligatures w14:val="none"/>
        </w:rPr>
      </w:pPr>
      <w:r w:rsidRPr="005F1042">
        <w:rPr>
          <w:rFonts w:ascii="Book Antiqua" w:eastAsia="Times New Roman" w:hAnsi="Book Antiqua" w:cs="Times New Roman"/>
          <w:i/>
          <w:iCs/>
          <w:kern w:val="0"/>
          <w:sz w:val="22"/>
          <w:szCs w:val="22"/>
          <w:lang w:eastAsia="x-none"/>
          <w14:ligatures w14:val="none"/>
        </w:rPr>
        <w:t>Presidente</w:t>
      </w:r>
      <w:r w:rsidRPr="005F1042">
        <w:rPr>
          <w:rFonts w:ascii="Book Antiqua" w:eastAsia="Times New Roman" w:hAnsi="Book Antiqua" w:cs="Times New Roman"/>
          <w:i/>
          <w:iCs/>
          <w:kern w:val="0"/>
          <w:sz w:val="22"/>
          <w:szCs w:val="22"/>
          <w:lang w:eastAsia="x-none"/>
          <w14:ligatures w14:val="none"/>
        </w:rPr>
        <w:tab/>
      </w:r>
      <w:r w:rsidRPr="005F1042">
        <w:rPr>
          <w:rFonts w:ascii="Book Antiqua" w:eastAsia="Times New Roman" w:hAnsi="Book Antiqua" w:cs="Times New Roman"/>
          <w:i/>
          <w:iCs/>
          <w:kern w:val="0"/>
          <w:sz w:val="22"/>
          <w:szCs w:val="22"/>
          <w:lang w:eastAsia="x-none"/>
          <w14:ligatures w14:val="none"/>
        </w:rPr>
        <w:tab/>
      </w:r>
      <w:r w:rsidRPr="005F1042">
        <w:rPr>
          <w:rFonts w:ascii="Book Antiqua" w:eastAsia="Times New Roman" w:hAnsi="Book Antiqua" w:cs="Times New Roman"/>
          <w:i/>
          <w:iCs/>
          <w:kern w:val="0"/>
          <w:sz w:val="22"/>
          <w:szCs w:val="22"/>
          <w:lang w:eastAsia="x-none"/>
          <w14:ligatures w14:val="none"/>
        </w:rPr>
        <w:tab/>
      </w:r>
      <w:r w:rsidRPr="005F1042">
        <w:rPr>
          <w:rFonts w:ascii="Book Antiqua" w:eastAsia="Times New Roman" w:hAnsi="Book Antiqua" w:cs="Times New Roman"/>
          <w:i/>
          <w:iCs/>
          <w:kern w:val="0"/>
          <w:sz w:val="22"/>
          <w:szCs w:val="22"/>
          <w:lang w:eastAsia="x-none"/>
          <w14:ligatures w14:val="none"/>
        </w:rPr>
        <w:tab/>
      </w:r>
      <w:r w:rsidRPr="005F1042">
        <w:rPr>
          <w:rFonts w:ascii="Book Antiqua" w:eastAsia="Times New Roman" w:hAnsi="Book Antiqua" w:cs="Times New Roman"/>
          <w:i/>
          <w:iCs/>
          <w:kern w:val="0"/>
          <w:sz w:val="22"/>
          <w:szCs w:val="22"/>
          <w:lang w:eastAsia="x-none"/>
          <w14:ligatures w14:val="none"/>
        </w:rPr>
        <w:tab/>
      </w:r>
      <w:r w:rsidRPr="005F1042">
        <w:rPr>
          <w:rFonts w:ascii="Book Antiqua" w:eastAsia="Times New Roman" w:hAnsi="Book Antiqua" w:cs="Times New Roman"/>
          <w:i/>
          <w:iCs/>
          <w:kern w:val="0"/>
          <w:sz w:val="22"/>
          <w:szCs w:val="22"/>
          <w:lang w:eastAsia="x-none"/>
          <w14:ligatures w14:val="none"/>
        </w:rPr>
        <w:tab/>
      </w:r>
      <w:r w:rsidRPr="005F1042">
        <w:rPr>
          <w:rFonts w:ascii="Book Antiqua" w:eastAsia="Times New Roman" w:hAnsi="Book Antiqua" w:cs="Times New Roman"/>
          <w:i/>
          <w:iCs/>
          <w:kern w:val="0"/>
          <w:sz w:val="22"/>
          <w:szCs w:val="22"/>
          <w:lang w:eastAsia="x-none"/>
          <w14:ligatures w14:val="none"/>
        </w:rPr>
        <w:tab/>
      </w:r>
      <w:r w:rsidRPr="005F1042">
        <w:rPr>
          <w:rFonts w:ascii="Book Antiqua" w:eastAsia="Times New Roman" w:hAnsi="Book Antiqua" w:cs="Times New Roman"/>
          <w:i/>
          <w:iCs/>
          <w:kern w:val="0"/>
          <w:sz w:val="22"/>
          <w:szCs w:val="22"/>
          <w:lang w:eastAsia="x-none"/>
          <w14:ligatures w14:val="none"/>
        </w:rPr>
        <w:tab/>
      </w:r>
      <w:r w:rsidRPr="005F1042">
        <w:rPr>
          <w:rFonts w:ascii="Book Antiqua" w:eastAsia="Times New Roman" w:hAnsi="Book Antiqua" w:cs="Times New Roman"/>
          <w:i/>
          <w:iCs/>
          <w:kern w:val="0"/>
          <w:sz w:val="22"/>
          <w:szCs w:val="22"/>
          <w:lang w:eastAsia="x-none"/>
          <w14:ligatures w14:val="none"/>
        </w:rPr>
        <w:tab/>
      </w:r>
      <w:r w:rsidRPr="005F1042">
        <w:rPr>
          <w:rFonts w:ascii="Book Antiqua" w:eastAsia="Times New Roman" w:hAnsi="Book Antiqua" w:cs="Times New Roman"/>
          <w:i/>
          <w:iCs/>
          <w:kern w:val="0"/>
          <w:sz w:val="22"/>
          <w:szCs w:val="22"/>
          <w:lang w:eastAsia="x-none"/>
          <w14:ligatures w14:val="none"/>
        </w:rPr>
        <w:tab/>
      </w:r>
    </w:p>
    <w:p w14:paraId="60E9B1BB" w14:textId="047D4680" w:rsidR="00A54AF0" w:rsidRPr="005F1042" w:rsidRDefault="00A54AF0" w:rsidP="00AC29DB">
      <w:pPr>
        <w:spacing w:after="0" w:line="240" w:lineRule="auto"/>
        <w:ind w:left="5760" w:hanging="5760"/>
        <w:jc w:val="both"/>
        <w:rPr>
          <w:rFonts w:ascii="Book Antiqua" w:eastAsia="Times New Roman" w:hAnsi="Book Antiqua" w:cs="Times New Roman"/>
          <w:kern w:val="0"/>
          <w:sz w:val="22"/>
          <w:szCs w:val="22"/>
          <w:lang w:eastAsia="x-none"/>
          <w14:ligatures w14:val="none"/>
        </w:rPr>
      </w:pPr>
      <w:r w:rsidRPr="005F1042">
        <w:rPr>
          <w:rFonts w:ascii="Book Antiqua" w:eastAsia="Times New Roman" w:hAnsi="Book Antiqua" w:cs="Times New Roman"/>
          <w:kern w:val="0"/>
          <w:sz w:val="22"/>
          <w:szCs w:val="22"/>
          <w:lang w:val="es-ES" w:eastAsia="x-none"/>
          <w14:ligatures w14:val="none"/>
        </w:rPr>
        <w:t>Comisión de Reorganización Eficiencia y Diligencia</w:t>
      </w:r>
    </w:p>
    <w:sectPr w:rsidR="00A54AF0" w:rsidRPr="005F104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4F915" w14:textId="77777777" w:rsidR="0038748D" w:rsidRDefault="0038748D" w:rsidP="00A54AF0">
      <w:pPr>
        <w:spacing w:after="0" w:line="240" w:lineRule="auto"/>
      </w:pPr>
      <w:r>
        <w:separator/>
      </w:r>
    </w:p>
  </w:endnote>
  <w:endnote w:type="continuationSeparator" w:id="0">
    <w:p w14:paraId="2CA88995" w14:textId="77777777" w:rsidR="0038748D" w:rsidRDefault="0038748D" w:rsidP="00A5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1965145132"/>
      <w:docPartObj>
        <w:docPartGallery w:val="Page Numbers (Bottom of Page)"/>
        <w:docPartUnique/>
      </w:docPartObj>
    </w:sdtPr>
    <w:sdtEndPr>
      <w:rPr>
        <w:noProof/>
      </w:rPr>
    </w:sdtEndPr>
    <w:sdtContent>
      <w:p w14:paraId="2E9CC3E1" w14:textId="26FDF672" w:rsidR="00E97F9B" w:rsidRPr="00AD7EF3" w:rsidRDefault="00E97F9B">
        <w:pPr>
          <w:pStyle w:val="Footer"/>
          <w:jc w:val="center"/>
          <w:rPr>
            <w:rFonts w:ascii="Book Antiqua" w:hAnsi="Book Antiqua"/>
          </w:rPr>
        </w:pPr>
        <w:r w:rsidRPr="00AD7EF3">
          <w:rPr>
            <w:rFonts w:ascii="Book Antiqua" w:hAnsi="Book Antiqua"/>
          </w:rPr>
          <w:fldChar w:fldCharType="begin"/>
        </w:r>
        <w:r w:rsidRPr="00AD7EF3">
          <w:rPr>
            <w:rFonts w:ascii="Book Antiqua" w:hAnsi="Book Antiqua"/>
          </w:rPr>
          <w:instrText xml:space="preserve"> PAGE   \* MERGEFORMAT </w:instrText>
        </w:r>
        <w:r w:rsidRPr="00AD7EF3">
          <w:rPr>
            <w:rFonts w:ascii="Book Antiqua" w:hAnsi="Book Antiqua"/>
          </w:rPr>
          <w:fldChar w:fldCharType="separate"/>
        </w:r>
        <w:r w:rsidRPr="00AD7EF3">
          <w:rPr>
            <w:rFonts w:ascii="Book Antiqua" w:hAnsi="Book Antiqua"/>
            <w:noProof/>
          </w:rPr>
          <w:t>2</w:t>
        </w:r>
        <w:r w:rsidRPr="00AD7EF3">
          <w:rPr>
            <w:rFonts w:ascii="Book Antiqua" w:hAnsi="Book Antiqua"/>
            <w:noProof/>
          </w:rPr>
          <w:fldChar w:fldCharType="end"/>
        </w:r>
      </w:p>
    </w:sdtContent>
  </w:sdt>
  <w:p w14:paraId="1A90F815" w14:textId="77777777" w:rsidR="00E97F9B" w:rsidRDefault="00E97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E19C9" w14:textId="77777777" w:rsidR="0038748D" w:rsidRDefault="0038748D" w:rsidP="00A54AF0">
      <w:pPr>
        <w:spacing w:after="0" w:line="240" w:lineRule="auto"/>
      </w:pPr>
      <w:r>
        <w:separator/>
      </w:r>
    </w:p>
  </w:footnote>
  <w:footnote w:type="continuationSeparator" w:id="0">
    <w:p w14:paraId="5470C4CF" w14:textId="77777777" w:rsidR="0038748D" w:rsidRDefault="0038748D" w:rsidP="00A54AF0">
      <w:pPr>
        <w:spacing w:after="0" w:line="240" w:lineRule="auto"/>
      </w:pPr>
      <w:r>
        <w:continuationSeparator/>
      </w:r>
    </w:p>
  </w:footnote>
  <w:footnote w:id="1">
    <w:p w14:paraId="4B663ACD" w14:textId="548ACAB8" w:rsidR="00824BFE" w:rsidRPr="00D24E1E" w:rsidRDefault="00824BFE">
      <w:pPr>
        <w:pStyle w:val="FootnoteText"/>
        <w:rPr>
          <w:rFonts w:ascii="Book Antiqua" w:hAnsi="Book Antiqua"/>
          <w:lang w:val="es-ES"/>
        </w:rPr>
      </w:pPr>
      <w:r w:rsidRPr="008445AB">
        <w:rPr>
          <w:rStyle w:val="FootnoteReference"/>
          <w:rFonts w:ascii="Book Antiqua" w:hAnsi="Book Antiqua"/>
        </w:rPr>
        <w:footnoteRef/>
      </w:r>
      <w:r w:rsidRPr="008445AB">
        <w:rPr>
          <w:rFonts w:ascii="Book Antiqua" w:hAnsi="Book Antiqua"/>
        </w:rPr>
        <w:t xml:space="preserve"> </w:t>
      </w:r>
      <w:r w:rsidR="008445AB" w:rsidRPr="008445AB">
        <w:rPr>
          <w:rFonts w:ascii="Book Antiqua" w:hAnsi="Book Antiqua"/>
        </w:rPr>
        <w:tab/>
        <w:t xml:space="preserve">Departamento de Estado, Memorial Explicativo, pág. 4 (23 de febrero de 2026). </w:t>
      </w:r>
    </w:p>
  </w:footnote>
  <w:footnote w:id="2">
    <w:p w14:paraId="52573BAB" w14:textId="6E689491" w:rsidR="00824BFE" w:rsidRPr="00D24E1E" w:rsidRDefault="00824BFE">
      <w:pPr>
        <w:pStyle w:val="FootnoteText"/>
        <w:rPr>
          <w:rFonts w:ascii="Book Antiqua" w:hAnsi="Book Antiqua"/>
          <w:lang w:val="es-ES"/>
        </w:rPr>
      </w:pPr>
      <w:r w:rsidRPr="008445AB">
        <w:rPr>
          <w:rStyle w:val="FootnoteReference"/>
          <w:rFonts w:ascii="Book Antiqua" w:hAnsi="Book Antiqua"/>
        </w:rPr>
        <w:footnoteRef/>
      </w:r>
      <w:r w:rsidRPr="008445AB">
        <w:rPr>
          <w:rFonts w:ascii="Book Antiqua" w:hAnsi="Book Antiqua"/>
        </w:rPr>
        <w:t xml:space="preserve"> </w:t>
      </w:r>
      <w:r w:rsidR="008445AB" w:rsidRPr="008445AB">
        <w:rPr>
          <w:rFonts w:ascii="Book Antiqua" w:hAnsi="Book Antiqua"/>
        </w:rPr>
        <w:tab/>
      </w:r>
      <w:r w:rsidR="008445AB" w:rsidRPr="008445AB">
        <w:rPr>
          <w:rFonts w:ascii="Book Antiqua" w:hAnsi="Book Antiqua"/>
          <w:i/>
          <w:iCs/>
        </w:rPr>
        <w:t>Íd</w:t>
      </w:r>
      <w:r w:rsidR="008445AB" w:rsidRPr="008445AB">
        <w:rPr>
          <w:rFonts w:ascii="Book Antiqua" w:hAnsi="Book Antiqua"/>
        </w:rPr>
        <w:t xml:space="preserve">., pág. 3. </w:t>
      </w:r>
    </w:p>
  </w:footnote>
  <w:footnote w:id="3">
    <w:p w14:paraId="616F0A2E" w14:textId="609E9624" w:rsidR="00824BFE" w:rsidRPr="00D24E1E" w:rsidRDefault="00824BFE">
      <w:pPr>
        <w:pStyle w:val="FootnoteText"/>
        <w:rPr>
          <w:rFonts w:ascii="Book Antiqua" w:hAnsi="Book Antiqua"/>
          <w:lang w:val="es-ES"/>
        </w:rPr>
      </w:pPr>
      <w:r w:rsidRPr="008445AB">
        <w:rPr>
          <w:rStyle w:val="FootnoteReference"/>
          <w:rFonts w:ascii="Book Antiqua" w:hAnsi="Book Antiqua"/>
        </w:rPr>
        <w:footnoteRef/>
      </w:r>
      <w:r w:rsidRPr="008445AB">
        <w:rPr>
          <w:rFonts w:ascii="Book Antiqua" w:hAnsi="Book Antiqua"/>
        </w:rPr>
        <w:t xml:space="preserve"> </w:t>
      </w:r>
      <w:r w:rsidR="008445AB" w:rsidRPr="008445AB">
        <w:rPr>
          <w:rFonts w:ascii="Book Antiqua" w:hAnsi="Book Antiqua"/>
        </w:rPr>
        <w:tab/>
      </w:r>
      <w:r w:rsidR="008445AB" w:rsidRPr="008445AB">
        <w:rPr>
          <w:rFonts w:ascii="Book Antiqua" w:hAnsi="Book Antiqua"/>
          <w:i/>
          <w:iCs/>
        </w:rPr>
        <w:t>Íd</w:t>
      </w:r>
      <w:r w:rsidR="008445AB" w:rsidRPr="008445AB">
        <w:rPr>
          <w:rFonts w:ascii="Book Antiqua" w:hAnsi="Book Antiqua"/>
        </w:rPr>
        <w:t xml:space="preserve">., pág. 4. </w:t>
      </w:r>
    </w:p>
  </w:footnote>
  <w:footnote w:id="4">
    <w:p w14:paraId="675CBDBA" w14:textId="34421B76" w:rsidR="00824BFE" w:rsidRPr="00D24E1E" w:rsidRDefault="00824BFE">
      <w:pPr>
        <w:pStyle w:val="FootnoteText"/>
        <w:rPr>
          <w:lang w:val="es-ES"/>
        </w:rPr>
      </w:pPr>
      <w:r w:rsidRPr="008445AB">
        <w:rPr>
          <w:rStyle w:val="FootnoteReference"/>
          <w:rFonts w:ascii="Book Antiqua" w:hAnsi="Book Antiqua"/>
        </w:rPr>
        <w:footnoteRef/>
      </w:r>
      <w:r w:rsidRPr="00D24E1E">
        <w:rPr>
          <w:lang w:val="es-ES"/>
        </w:rPr>
        <w:t xml:space="preserve"> </w:t>
      </w:r>
      <w:r w:rsidR="00A81978" w:rsidRPr="00D24E1E">
        <w:rPr>
          <w:lang w:val="es-ES"/>
        </w:rPr>
        <w:tab/>
      </w:r>
      <w:r w:rsidR="00A81978" w:rsidRPr="00D24E1E">
        <w:rPr>
          <w:rFonts w:ascii="Book Antiqua" w:hAnsi="Book Antiqua"/>
          <w:lang w:val="es-ES"/>
        </w:rPr>
        <w:t>Departamento de Estado, Memorial Explicativo, pág. 4 (18 de febrero de 2026).</w:t>
      </w:r>
    </w:p>
  </w:footnote>
  <w:footnote w:id="5">
    <w:p w14:paraId="1F6A3D2F" w14:textId="3FC639AA" w:rsidR="00824BFE" w:rsidRPr="00D24E1E" w:rsidRDefault="00824BFE" w:rsidP="009D593E">
      <w:pPr>
        <w:pStyle w:val="FootnoteText"/>
        <w:ind w:left="720" w:hanging="720"/>
        <w:jc w:val="both"/>
        <w:rPr>
          <w:rFonts w:ascii="Book Antiqua" w:hAnsi="Book Antiqua"/>
          <w:lang w:val="es-ES"/>
        </w:rPr>
      </w:pPr>
      <w:r w:rsidRPr="00CD09BE">
        <w:rPr>
          <w:rStyle w:val="FootnoteReference"/>
          <w:rFonts w:ascii="Book Antiqua" w:hAnsi="Book Antiqua"/>
        </w:rPr>
        <w:footnoteRef/>
      </w:r>
      <w:r w:rsidRPr="00D24E1E">
        <w:rPr>
          <w:rFonts w:ascii="Book Antiqua" w:hAnsi="Book Antiqua"/>
          <w:lang w:val="es-ES"/>
        </w:rPr>
        <w:t xml:space="preserve"> </w:t>
      </w:r>
      <w:r w:rsidR="008445AB" w:rsidRPr="00D24E1E">
        <w:rPr>
          <w:rFonts w:ascii="Book Antiqua" w:hAnsi="Book Antiqua"/>
          <w:lang w:val="es-ES"/>
        </w:rPr>
        <w:tab/>
      </w:r>
      <w:r w:rsidR="000C232E" w:rsidRPr="00D24E1E">
        <w:rPr>
          <w:rFonts w:ascii="Book Antiqua" w:hAnsi="Book Antiqua"/>
          <w:i/>
          <w:iCs/>
          <w:lang w:val="es-ES"/>
        </w:rPr>
        <w:t>Íd</w:t>
      </w:r>
      <w:r w:rsidR="000C232E" w:rsidRPr="00D24E1E">
        <w:rPr>
          <w:rFonts w:ascii="Book Antiqua" w:hAnsi="Book Antiqua"/>
          <w:lang w:val="es-ES"/>
        </w:rPr>
        <w:t>.</w:t>
      </w:r>
      <w:r w:rsidR="008445AB" w:rsidRPr="00D24E1E">
        <w:rPr>
          <w:rFonts w:ascii="Book Antiqua" w:hAnsi="Book Antiqua"/>
          <w:lang w:val="es-ES"/>
        </w:rPr>
        <w:t xml:space="preserve"> </w:t>
      </w:r>
    </w:p>
  </w:footnote>
  <w:footnote w:id="6">
    <w:p w14:paraId="21C01BAE" w14:textId="5B72B881" w:rsidR="00824BFE" w:rsidRPr="00D24E1E" w:rsidRDefault="00824BFE" w:rsidP="009D593E">
      <w:pPr>
        <w:pStyle w:val="FootnoteText"/>
        <w:ind w:left="720" w:hanging="720"/>
        <w:jc w:val="both"/>
        <w:rPr>
          <w:rFonts w:ascii="Book Antiqua" w:hAnsi="Book Antiqua"/>
          <w:lang w:val="es-ES"/>
        </w:rPr>
      </w:pPr>
      <w:r w:rsidRPr="00CD09BE">
        <w:rPr>
          <w:rStyle w:val="FootnoteReference"/>
          <w:rFonts w:ascii="Book Antiqua" w:hAnsi="Book Antiqua"/>
        </w:rPr>
        <w:footnoteRef/>
      </w:r>
      <w:r w:rsidRPr="00D24E1E">
        <w:rPr>
          <w:rFonts w:ascii="Book Antiqua" w:hAnsi="Book Antiqua"/>
          <w:lang w:val="es-ES"/>
        </w:rPr>
        <w:t xml:space="preserve"> </w:t>
      </w:r>
      <w:r w:rsidR="00465CE2" w:rsidRPr="00D24E1E">
        <w:rPr>
          <w:rFonts w:ascii="Book Antiqua" w:hAnsi="Book Antiqua"/>
          <w:lang w:val="es-ES"/>
        </w:rPr>
        <w:tab/>
        <w:t>Departamento de Estado, Memorial Explicativo, pág. 4 (23 de febrero de 2026).</w:t>
      </w:r>
    </w:p>
  </w:footnote>
  <w:footnote w:id="7">
    <w:p w14:paraId="08FE41C3" w14:textId="2A682BC8" w:rsidR="00D619D1" w:rsidRPr="00D24E1E" w:rsidRDefault="00D619D1" w:rsidP="009D593E">
      <w:pPr>
        <w:pStyle w:val="FootnoteText"/>
        <w:ind w:left="720" w:hanging="720"/>
        <w:jc w:val="both"/>
        <w:rPr>
          <w:rFonts w:ascii="Book Antiqua" w:hAnsi="Book Antiqua"/>
          <w:lang w:val="es-ES"/>
        </w:rPr>
      </w:pPr>
      <w:r w:rsidRPr="00CD09BE">
        <w:rPr>
          <w:rStyle w:val="FootnoteReference"/>
          <w:rFonts w:ascii="Book Antiqua" w:hAnsi="Book Antiqua"/>
        </w:rPr>
        <w:footnoteRef/>
      </w:r>
      <w:r w:rsidR="00753E0F" w:rsidRPr="00D24E1E">
        <w:rPr>
          <w:rFonts w:ascii="Book Antiqua" w:hAnsi="Book Antiqua"/>
          <w:lang w:val="es-ES"/>
        </w:rPr>
        <w:tab/>
        <w:t xml:space="preserve">Departamento de Justicia &amp; Iniciativa de Desregulación y Eficiencia Administrativa (IDEA), </w:t>
      </w:r>
      <w:r w:rsidR="00753E0F" w:rsidRPr="00D24E1E">
        <w:rPr>
          <w:rFonts w:ascii="Book Antiqua" w:hAnsi="Book Antiqua"/>
          <w:i/>
          <w:iCs/>
          <w:lang w:val="es-ES"/>
        </w:rPr>
        <w:t>Re: Comentarios sobre el P. de la C. 1080 (A-107)</w:t>
      </w:r>
      <w:r w:rsidR="00753E0F" w:rsidRPr="00D24E1E">
        <w:rPr>
          <w:rFonts w:ascii="Book Antiqua" w:hAnsi="Book Antiqua"/>
          <w:lang w:val="es-ES"/>
        </w:rPr>
        <w:t xml:space="preserve">, pág. </w:t>
      </w:r>
      <w:r w:rsidR="00E26E8C" w:rsidRPr="00D24E1E">
        <w:rPr>
          <w:rFonts w:ascii="Book Antiqua" w:hAnsi="Book Antiqua"/>
          <w:lang w:val="es-ES"/>
        </w:rPr>
        <w:t>1.</w:t>
      </w:r>
    </w:p>
  </w:footnote>
  <w:footnote w:id="8">
    <w:p w14:paraId="45801E12" w14:textId="268E543F" w:rsidR="00EC4DB4" w:rsidRPr="004470A2" w:rsidRDefault="00EC4DB4" w:rsidP="009D593E">
      <w:pPr>
        <w:pStyle w:val="FootnoteText"/>
        <w:jc w:val="both"/>
        <w:rPr>
          <w:rFonts w:ascii="Book Antiqua" w:hAnsi="Book Antiqua"/>
        </w:rPr>
      </w:pPr>
      <w:r w:rsidRPr="00CD09BE">
        <w:rPr>
          <w:rStyle w:val="FootnoteReference"/>
          <w:rFonts w:ascii="Book Antiqua" w:hAnsi="Book Antiqua"/>
        </w:rPr>
        <w:footnoteRef/>
      </w:r>
      <w:r w:rsidRPr="00CD09BE">
        <w:rPr>
          <w:rFonts w:ascii="Book Antiqua" w:hAnsi="Book Antiqua"/>
        </w:rPr>
        <w:t xml:space="preserve"> </w:t>
      </w:r>
      <w:r w:rsidRPr="004470A2">
        <w:rPr>
          <w:rFonts w:ascii="Book Antiqua" w:hAnsi="Book Antiqua"/>
        </w:rPr>
        <w:tab/>
      </w:r>
      <w:r w:rsidR="00CD09BE" w:rsidRPr="004470A2">
        <w:rPr>
          <w:rFonts w:ascii="Book Antiqua" w:hAnsi="Book Antiqua"/>
          <w:i/>
          <w:iCs/>
        </w:rPr>
        <w:t>Íd</w:t>
      </w:r>
      <w:r w:rsidR="00CD09BE" w:rsidRPr="004470A2">
        <w:rPr>
          <w:rFonts w:ascii="Book Antiqua" w:hAnsi="Book Antiqua"/>
        </w:rPr>
        <w:t>., pág. 12.</w:t>
      </w:r>
    </w:p>
  </w:footnote>
  <w:footnote w:id="9">
    <w:p w14:paraId="2CCC649C" w14:textId="7C23AF23" w:rsidR="00D619D1" w:rsidRPr="00CD09BE" w:rsidRDefault="00D619D1" w:rsidP="009D593E">
      <w:pPr>
        <w:pStyle w:val="FootnoteText"/>
        <w:tabs>
          <w:tab w:val="left" w:pos="945"/>
        </w:tabs>
        <w:ind w:left="720" w:hanging="720"/>
        <w:jc w:val="both"/>
        <w:rPr>
          <w:rFonts w:ascii="Book Antiqua" w:hAnsi="Book Antiqua"/>
        </w:rPr>
      </w:pPr>
      <w:r w:rsidRPr="00CD09BE">
        <w:rPr>
          <w:rStyle w:val="FootnoteReference"/>
          <w:rFonts w:ascii="Book Antiqua" w:hAnsi="Book Antiqua"/>
        </w:rPr>
        <w:footnoteRef/>
      </w:r>
      <w:r w:rsidRPr="00CD09BE">
        <w:rPr>
          <w:rFonts w:ascii="Book Antiqua" w:hAnsi="Book Antiqua"/>
        </w:rPr>
        <w:t xml:space="preserve"> </w:t>
      </w:r>
      <w:r w:rsidR="00E26E8C" w:rsidRPr="00CD09BE">
        <w:rPr>
          <w:rFonts w:ascii="Book Antiqua" w:hAnsi="Book Antiqua"/>
        </w:rPr>
        <w:tab/>
      </w:r>
      <w:r w:rsidR="00E26E8C" w:rsidRPr="00CD09BE">
        <w:rPr>
          <w:rFonts w:ascii="Book Antiqua" w:hAnsi="Book Antiqua"/>
          <w:i/>
          <w:iCs/>
        </w:rPr>
        <w:t>Íd</w:t>
      </w:r>
      <w:r w:rsidR="00E26E8C" w:rsidRPr="00CD09BE">
        <w:rPr>
          <w:rFonts w:ascii="Book Antiqua" w:hAnsi="Book Antiqua"/>
        </w:rPr>
        <w:t>., pág. 2.</w:t>
      </w:r>
    </w:p>
  </w:footnote>
  <w:footnote w:id="10">
    <w:p w14:paraId="632A1545" w14:textId="28CA9212" w:rsidR="00D619D1" w:rsidRPr="00E26E8C" w:rsidRDefault="00D619D1" w:rsidP="009D593E">
      <w:pPr>
        <w:pStyle w:val="FootnoteText"/>
        <w:ind w:left="720" w:hanging="720"/>
        <w:jc w:val="both"/>
        <w:rPr>
          <w:rFonts w:ascii="Book Antiqua" w:hAnsi="Book Antiqua"/>
        </w:rPr>
      </w:pPr>
      <w:r w:rsidRPr="00CD09BE">
        <w:rPr>
          <w:rStyle w:val="FootnoteReference"/>
          <w:rFonts w:ascii="Book Antiqua" w:hAnsi="Book Antiqua"/>
        </w:rPr>
        <w:footnoteRef/>
      </w:r>
      <w:r w:rsidRPr="00CD09BE">
        <w:rPr>
          <w:rFonts w:ascii="Book Antiqua" w:hAnsi="Book Antiqua"/>
        </w:rPr>
        <w:t xml:space="preserve"> </w:t>
      </w:r>
      <w:r w:rsidR="00E26E8C" w:rsidRPr="00CD09BE">
        <w:rPr>
          <w:rFonts w:ascii="Book Antiqua" w:hAnsi="Book Antiqua"/>
        </w:rPr>
        <w:tab/>
      </w:r>
      <w:r w:rsidR="00E26E8C" w:rsidRPr="00CD09BE">
        <w:rPr>
          <w:rFonts w:ascii="Book Antiqua" w:hAnsi="Book Antiqua"/>
          <w:i/>
          <w:iCs/>
        </w:rPr>
        <w:t>Íd</w:t>
      </w:r>
      <w:r w:rsidR="00E26E8C" w:rsidRPr="00CD09BE">
        <w:rPr>
          <w:rFonts w:ascii="Book Antiqua" w:hAnsi="Book Antiqua"/>
        </w:rPr>
        <w:t>.</w:t>
      </w:r>
    </w:p>
  </w:footnote>
  <w:footnote w:id="11">
    <w:p w14:paraId="5D0AD08D" w14:textId="560DB9E6" w:rsidR="00D619D1" w:rsidRPr="0004198B" w:rsidRDefault="00D619D1" w:rsidP="009D593E">
      <w:pPr>
        <w:pStyle w:val="FootnoteText"/>
        <w:jc w:val="both"/>
        <w:rPr>
          <w:rFonts w:ascii="Book Antiqua" w:hAnsi="Book Antiqua"/>
        </w:rPr>
      </w:pPr>
      <w:r w:rsidRPr="0004198B">
        <w:rPr>
          <w:rStyle w:val="FootnoteReference"/>
          <w:rFonts w:ascii="Book Antiqua" w:hAnsi="Book Antiqua"/>
        </w:rPr>
        <w:footnoteRef/>
      </w:r>
      <w:r w:rsidRPr="0004198B">
        <w:rPr>
          <w:rFonts w:ascii="Book Antiqua" w:hAnsi="Book Antiqua"/>
        </w:rPr>
        <w:t xml:space="preserve"> </w:t>
      </w:r>
      <w:r w:rsidR="00E26E8C" w:rsidRPr="0004198B">
        <w:rPr>
          <w:rFonts w:ascii="Book Antiqua" w:hAnsi="Book Antiqua"/>
        </w:rPr>
        <w:tab/>
      </w:r>
      <w:r w:rsidR="00E26E8C" w:rsidRPr="0004198B">
        <w:rPr>
          <w:rFonts w:ascii="Book Antiqua" w:hAnsi="Book Antiqua"/>
          <w:i/>
          <w:iCs/>
        </w:rPr>
        <w:t>Íd</w:t>
      </w:r>
      <w:r w:rsidR="00E26E8C" w:rsidRPr="0004198B">
        <w:rPr>
          <w:rFonts w:ascii="Book Antiqua" w:hAnsi="Book Antiqua"/>
        </w:rPr>
        <w:t>.</w:t>
      </w:r>
    </w:p>
  </w:footnote>
  <w:footnote w:id="12">
    <w:p w14:paraId="55AA379E" w14:textId="0D2B6FB4" w:rsidR="00D619D1" w:rsidRPr="0004198B" w:rsidRDefault="00D619D1" w:rsidP="009D593E">
      <w:pPr>
        <w:pStyle w:val="FootnoteText"/>
        <w:jc w:val="both"/>
        <w:rPr>
          <w:rFonts w:ascii="Book Antiqua" w:hAnsi="Book Antiqua"/>
        </w:rPr>
      </w:pPr>
      <w:r w:rsidRPr="0004198B">
        <w:rPr>
          <w:rStyle w:val="FootnoteReference"/>
          <w:rFonts w:ascii="Book Antiqua" w:hAnsi="Book Antiqua"/>
        </w:rPr>
        <w:footnoteRef/>
      </w:r>
      <w:r w:rsidRPr="0004198B">
        <w:rPr>
          <w:rFonts w:ascii="Book Antiqua" w:hAnsi="Book Antiqua"/>
        </w:rPr>
        <w:t xml:space="preserve"> </w:t>
      </w:r>
      <w:r w:rsidR="00EC4DB4" w:rsidRPr="0004198B">
        <w:rPr>
          <w:rFonts w:ascii="Book Antiqua" w:hAnsi="Book Antiqua"/>
        </w:rPr>
        <w:tab/>
        <w:t xml:space="preserve">Departamento de Justicia &amp; IDEA, </w:t>
      </w:r>
      <w:r w:rsidR="00EC4DB4" w:rsidRPr="0004198B">
        <w:rPr>
          <w:rFonts w:ascii="Book Antiqua" w:hAnsi="Book Antiqua"/>
          <w:i/>
          <w:iCs/>
        </w:rPr>
        <w:t>supra</w:t>
      </w:r>
      <w:r w:rsidR="00EC4DB4" w:rsidRPr="0004198B">
        <w:rPr>
          <w:rFonts w:ascii="Book Antiqua" w:hAnsi="Book Antiqua"/>
        </w:rPr>
        <w:t xml:space="preserve">, pág. </w:t>
      </w:r>
      <w:r w:rsidR="008D76FB" w:rsidRPr="0004198B">
        <w:rPr>
          <w:rFonts w:ascii="Book Antiqua" w:hAnsi="Book Antiqua"/>
        </w:rPr>
        <w:t>3.</w:t>
      </w:r>
    </w:p>
  </w:footnote>
  <w:footnote w:id="13">
    <w:p w14:paraId="7FD10443" w14:textId="68233471" w:rsidR="00D619D1" w:rsidRPr="0004198B" w:rsidRDefault="00D619D1" w:rsidP="009D593E">
      <w:pPr>
        <w:pStyle w:val="FootnoteText"/>
        <w:jc w:val="both"/>
        <w:rPr>
          <w:rFonts w:ascii="Book Antiqua" w:hAnsi="Book Antiqua"/>
        </w:rPr>
      </w:pPr>
      <w:r w:rsidRPr="0004198B">
        <w:rPr>
          <w:rStyle w:val="FootnoteReference"/>
          <w:rFonts w:ascii="Book Antiqua" w:hAnsi="Book Antiqua"/>
        </w:rPr>
        <w:footnoteRef/>
      </w:r>
      <w:r w:rsidRPr="0004198B">
        <w:rPr>
          <w:rFonts w:ascii="Book Antiqua" w:hAnsi="Book Antiqua"/>
        </w:rPr>
        <w:t xml:space="preserve"> </w:t>
      </w:r>
      <w:r w:rsidR="008D76FB" w:rsidRPr="0004198B">
        <w:rPr>
          <w:rFonts w:ascii="Book Antiqua" w:hAnsi="Book Antiqua"/>
        </w:rPr>
        <w:tab/>
      </w:r>
      <w:r w:rsidR="008D76FB" w:rsidRPr="0004198B">
        <w:rPr>
          <w:rFonts w:ascii="Book Antiqua" w:hAnsi="Book Antiqua"/>
          <w:i/>
          <w:iCs/>
        </w:rPr>
        <w:t>Íd</w:t>
      </w:r>
      <w:r w:rsidR="008D76FB" w:rsidRPr="0004198B">
        <w:rPr>
          <w:rFonts w:ascii="Book Antiqua" w:hAnsi="Book Antiqua"/>
        </w:rPr>
        <w:t xml:space="preserve">., pág. 3. </w:t>
      </w:r>
    </w:p>
  </w:footnote>
  <w:footnote w:id="14">
    <w:p w14:paraId="0C381974" w14:textId="0314A3D6" w:rsidR="008D76FB" w:rsidRPr="0004198B" w:rsidRDefault="008D76FB" w:rsidP="009D593E">
      <w:pPr>
        <w:pStyle w:val="FootnoteText"/>
        <w:jc w:val="both"/>
        <w:rPr>
          <w:rFonts w:ascii="Book Antiqua" w:hAnsi="Book Antiqua"/>
        </w:rPr>
      </w:pPr>
      <w:r w:rsidRPr="0004198B">
        <w:rPr>
          <w:rStyle w:val="FootnoteReference"/>
          <w:rFonts w:ascii="Book Antiqua" w:hAnsi="Book Antiqua"/>
        </w:rPr>
        <w:footnoteRef/>
      </w:r>
      <w:r w:rsidRPr="0004198B">
        <w:rPr>
          <w:rFonts w:ascii="Book Antiqua" w:hAnsi="Book Antiqua"/>
        </w:rPr>
        <w:t xml:space="preserve"> </w:t>
      </w:r>
      <w:r w:rsidRPr="0004198B">
        <w:rPr>
          <w:rFonts w:ascii="Book Antiqua" w:hAnsi="Book Antiqua"/>
        </w:rPr>
        <w:tab/>
        <w:t>Íd., pág. 2.</w:t>
      </w:r>
    </w:p>
  </w:footnote>
  <w:footnote w:id="15">
    <w:p w14:paraId="0537CE32" w14:textId="0F42162B" w:rsidR="00CD09BE" w:rsidRPr="0004198B" w:rsidRDefault="00CD09BE" w:rsidP="009D593E">
      <w:pPr>
        <w:pStyle w:val="FootnoteText"/>
        <w:jc w:val="both"/>
        <w:rPr>
          <w:rFonts w:ascii="Book Antiqua" w:hAnsi="Book Antiqua"/>
        </w:rPr>
      </w:pPr>
      <w:r w:rsidRPr="0004198B">
        <w:rPr>
          <w:rStyle w:val="FootnoteReference"/>
          <w:rFonts w:ascii="Book Antiqua" w:hAnsi="Book Antiqua"/>
        </w:rPr>
        <w:footnoteRef/>
      </w:r>
      <w:r w:rsidRPr="0004198B">
        <w:rPr>
          <w:rFonts w:ascii="Book Antiqua" w:hAnsi="Book Antiqua"/>
        </w:rPr>
        <w:t xml:space="preserve"> </w:t>
      </w:r>
      <w:r w:rsidR="00CC4656" w:rsidRPr="0004198B">
        <w:rPr>
          <w:rFonts w:ascii="Book Antiqua" w:hAnsi="Book Antiqua"/>
        </w:rPr>
        <w:tab/>
      </w:r>
      <w:r w:rsidR="00CC4656" w:rsidRPr="0004198B">
        <w:rPr>
          <w:rFonts w:ascii="Book Antiqua" w:hAnsi="Book Antiqua"/>
          <w:i/>
          <w:iCs/>
        </w:rPr>
        <w:t>Íd</w:t>
      </w:r>
      <w:r w:rsidR="00CC4656" w:rsidRPr="0004198B">
        <w:rPr>
          <w:rFonts w:ascii="Book Antiqua" w:hAnsi="Book Antiqua"/>
        </w:rPr>
        <w:t xml:space="preserve">., pág. 6. </w:t>
      </w:r>
    </w:p>
  </w:footnote>
  <w:footnote w:id="16">
    <w:p w14:paraId="3554578F" w14:textId="7B7C353C" w:rsidR="000503BF" w:rsidRPr="004A2D24" w:rsidRDefault="000503BF" w:rsidP="009D593E">
      <w:pPr>
        <w:pStyle w:val="FootnoteText"/>
        <w:jc w:val="both"/>
        <w:rPr>
          <w:rFonts w:ascii="Book Antiqua" w:hAnsi="Book Antiqua"/>
        </w:rPr>
      </w:pPr>
      <w:r w:rsidRPr="0004198B">
        <w:rPr>
          <w:rStyle w:val="FootnoteReference"/>
          <w:rFonts w:ascii="Book Antiqua" w:hAnsi="Book Antiqua"/>
        </w:rPr>
        <w:footnoteRef/>
      </w:r>
      <w:r w:rsidRPr="0004198B">
        <w:rPr>
          <w:rFonts w:ascii="Book Antiqua" w:hAnsi="Book Antiqua"/>
        </w:rPr>
        <w:t xml:space="preserve"> </w:t>
      </w:r>
      <w:r w:rsidRPr="004A2D24">
        <w:rPr>
          <w:rFonts w:ascii="Book Antiqua" w:hAnsi="Book Antiqua"/>
        </w:rPr>
        <w:tab/>
      </w:r>
      <w:r w:rsidRPr="004A2D24">
        <w:rPr>
          <w:rFonts w:ascii="Book Antiqua" w:hAnsi="Book Antiqua"/>
          <w:i/>
          <w:iCs/>
        </w:rPr>
        <w:t>Íd</w:t>
      </w:r>
      <w:r w:rsidRPr="004A2D24">
        <w:rPr>
          <w:rFonts w:ascii="Book Antiqua" w:hAnsi="Book Antiqua"/>
        </w:rPr>
        <w:t xml:space="preserve">. </w:t>
      </w:r>
    </w:p>
  </w:footnote>
  <w:footnote w:id="17">
    <w:p w14:paraId="28428FF3" w14:textId="0EEB1D1B" w:rsidR="00CD09BE" w:rsidRPr="0004198B" w:rsidRDefault="00CD09BE" w:rsidP="009D593E">
      <w:pPr>
        <w:pStyle w:val="FootnoteText"/>
        <w:jc w:val="both"/>
        <w:rPr>
          <w:rFonts w:ascii="Book Antiqua" w:hAnsi="Book Antiqua"/>
        </w:rPr>
      </w:pPr>
      <w:r w:rsidRPr="0004198B">
        <w:rPr>
          <w:rStyle w:val="FootnoteReference"/>
          <w:rFonts w:ascii="Book Antiqua" w:hAnsi="Book Antiqua"/>
        </w:rPr>
        <w:footnoteRef/>
      </w:r>
      <w:r w:rsidRPr="0004198B">
        <w:rPr>
          <w:rFonts w:ascii="Book Antiqua" w:hAnsi="Book Antiqua"/>
        </w:rPr>
        <w:t xml:space="preserve"> </w:t>
      </w:r>
      <w:r w:rsidR="00414833" w:rsidRPr="0004198B">
        <w:rPr>
          <w:rFonts w:ascii="Book Antiqua" w:hAnsi="Book Antiqua"/>
        </w:rPr>
        <w:tab/>
        <w:t xml:space="preserve">Departamento de Justicia &amp; IDEA, </w:t>
      </w:r>
      <w:r w:rsidR="00414833" w:rsidRPr="0004198B">
        <w:rPr>
          <w:rFonts w:ascii="Book Antiqua" w:hAnsi="Book Antiqua"/>
          <w:i/>
          <w:iCs/>
        </w:rPr>
        <w:t>supra</w:t>
      </w:r>
      <w:r w:rsidR="00414833" w:rsidRPr="0004198B">
        <w:rPr>
          <w:rFonts w:ascii="Book Antiqua" w:hAnsi="Book Antiqua"/>
        </w:rPr>
        <w:t>, pág. 7.</w:t>
      </w:r>
    </w:p>
  </w:footnote>
  <w:footnote w:id="18">
    <w:p w14:paraId="4BB92D58" w14:textId="2EA1C56B" w:rsidR="00CD09BE" w:rsidRPr="0004198B" w:rsidRDefault="00CD09BE" w:rsidP="009D593E">
      <w:pPr>
        <w:pStyle w:val="FootnoteText"/>
        <w:jc w:val="both"/>
        <w:rPr>
          <w:rFonts w:ascii="Book Antiqua" w:hAnsi="Book Antiqua"/>
        </w:rPr>
      </w:pPr>
      <w:r w:rsidRPr="0004198B">
        <w:rPr>
          <w:rStyle w:val="FootnoteReference"/>
          <w:rFonts w:ascii="Book Antiqua" w:hAnsi="Book Antiqua"/>
        </w:rPr>
        <w:footnoteRef/>
      </w:r>
      <w:r w:rsidRPr="0004198B">
        <w:rPr>
          <w:rFonts w:ascii="Book Antiqua" w:hAnsi="Book Antiqua"/>
        </w:rPr>
        <w:t xml:space="preserve"> </w:t>
      </w:r>
      <w:r w:rsidR="0004198B" w:rsidRPr="0004198B">
        <w:rPr>
          <w:rFonts w:ascii="Book Antiqua" w:hAnsi="Book Antiqua"/>
        </w:rPr>
        <w:tab/>
      </w:r>
      <w:r w:rsidR="0004198B" w:rsidRPr="0004198B">
        <w:rPr>
          <w:rFonts w:ascii="Book Antiqua" w:hAnsi="Book Antiqua"/>
          <w:i/>
          <w:iCs/>
        </w:rPr>
        <w:t>Íd</w:t>
      </w:r>
      <w:r w:rsidR="0004198B" w:rsidRPr="0004198B">
        <w:rPr>
          <w:rFonts w:ascii="Book Antiqua" w:hAnsi="Book Antiqua"/>
        </w:rPr>
        <w:t>., págs. 7-8.</w:t>
      </w:r>
    </w:p>
  </w:footnote>
  <w:footnote w:id="19">
    <w:p w14:paraId="0A2083A3" w14:textId="3287E07F" w:rsidR="00CD09BE" w:rsidRPr="00CD09BE" w:rsidRDefault="00CD09BE" w:rsidP="009D593E">
      <w:pPr>
        <w:pStyle w:val="FootnoteText"/>
        <w:jc w:val="both"/>
      </w:pPr>
      <w:r w:rsidRPr="0004198B">
        <w:rPr>
          <w:rStyle w:val="FootnoteReference"/>
          <w:rFonts w:ascii="Book Antiqua" w:hAnsi="Book Antiqua"/>
        </w:rPr>
        <w:footnoteRef/>
      </w:r>
      <w:r w:rsidRPr="0004198B">
        <w:rPr>
          <w:rFonts w:ascii="Book Antiqua" w:hAnsi="Book Antiqua"/>
        </w:rPr>
        <w:t xml:space="preserve"> </w:t>
      </w:r>
      <w:r w:rsidR="0004198B" w:rsidRPr="0004198B">
        <w:rPr>
          <w:rFonts w:ascii="Book Antiqua" w:hAnsi="Book Antiqua"/>
        </w:rPr>
        <w:tab/>
      </w:r>
      <w:r w:rsidR="0004198B" w:rsidRPr="0004198B">
        <w:rPr>
          <w:rFonts w:ascii="Book Antiqua" w:hAnsi="Book Antiqua"/>
          <w:i/>
          <w:iCs/>
        </w:rPr>
        <w:t>Íd</w:t>
      </w:r>
      <w:r w:rsidR="0004198B" w:rsidRPr="0004198B">
        <w:rPr>
          <w:rFonts w:ascii="Book Antiqua" w:hAnsi="Book Antiqua"/>
        </w:rPr>
        <w:t>., pág. 6.</w:t>
      </w:r>
      <w:r w:rsidR="0004198B">
        <w:t xml:space="preserve"> </w:t>
      </w:r>
    </w:p>
  </w:footnote>
  <w:footnote w:id="20">
    <w:p w14:paraId="47F730C4" w14:textId="24B11DC2" w:rsidR="00CD09BE" w:rsidRPr="00EF5C83" w:rsidRDefault="00CD09BE">
      <w:pPr>
        <w:pStyle w:val="FootnoteText"/>
        <w:rPr>
          <w:rFonts w:ascii="Book Antiqua" w:hAnsi="Book Antiqua"/>
        </w:rPr>
      </w:pPr>
      <w:r w:rsidRPr="00EF5C83">
        <w:rPr>
          <w:rStyle w:val="FootnoteReference"/>
          <w:rFonts w:ascii="Book Antiqua" w:hAnsi="Book Antiqua"/>
        </w:rPr>
        <w:footnoteRef/>
      </w:r>
      <w:r w:rsidRPr="00EF5C83">
        <w:rPr>
          <w:rFonts w:ascii="Book Antiqua" w:hAnsi="Book Antiqua"/>
        </w:rPr>
        <w:t xml:space="preserve"> </w:t>
      </w:r>
      <w:r w:rsidR="004A2D24" w:rsidRPr="00EF5C83">
        <w:rPr>
          <w:rFonts w:ascii="Book Antiqua" w:hAnsi="Book Antiqua"/>
        </w:rPr>
        <w:tab/>
      </w:r>
      <w:r w:rsidR="004A2D24" w:rsidRPr="00EF5C83">
        <w:rPr>
          <w:rFonts w:ascii="Book Antiqua" w:hAnsi="Book Antiqua"/>
          <w:i/>
          <w:iCs/>
        </w:rPr>
        <w:t>Íd</w:t>
      </w:r>
      <w:r w:rsidR="004A2D24" w:rsidRPr="00EF5C83">
        <w:rPr>
          <w:rFonts w:ascii="Book Antiqua" w:hAnsi="Book Antiqua"/>
        </w:rPr>
        <w:t>., pág. 8.</w:t>
      </w:r>
    </w:p>
  </w:footnote>
  <w:footnote w:id="21">
    <w:p w14:paraId="510DEC3C" w14:textId="6C4C94B1" w:rsidR="00CD09BE" w:rsidRPr="00EF5C83" w:rsidRDefault="00CD09BE">
      <w:pPr>
        <w:pStyle w:val="FootnoteText"/>
        <w:rPr>
          <w:rFonts w:ascii="Book Antiqua" w:hAnsi="Book Antiqua"/>
        </w:rPr>
      </w:pPr>
      <w:r w:rsidRPr="00EF5C83">
        <w:rPr>
          <w:rStyle w:val="FootnoteReference"/>
          <w:rFonts w:ascii="Book Antiqua" w:hAnsi="Book Antiqua"/>
        </w:rPr>
        <w:footnoteRef/>
      </w:r>
      <w:r w:rsidRPr="00EF5C83">
        <w:rPr>
          <w:rFonts w:ascii="Book Antiqua" w:hAnsi="Book Antiqua"/>
        </w:rPr>
        <w:t xml:space="preserve"> </w:t>
      </w:r>
      <w:r w:rsidR="004A2D24" w:rsidRPr="00EF5C83">
        <w:rPr>
          <w:rFonts w:ascii="Book Antiqua" w:hAnsi="Book Antiqua"/>
        </w:rPr>
        <w:tab/>
      </w:r>
      <w:r w:rsidR="004A2D24" w:rsidRPr="00EF5C83">
        <w:rPr>
          <w:rFonts w:ascii="Book Antiqua" w:hAnsi="Book Antiqua"/>
          <w:i/>
          <w:iCs/>
        </w:rPr>
        <w:t>Íd</w:t>
      </w:r>
      <w:r w:rsidR="004A2D24" w:rsidRPr="00EF5C83">
        <w:rPr>
          <w:rFonts w:ascii="Book Antiqua" w:hAnsi="Book Antiqua"/>
        </w:rPr>
        <w:t>., pág. 9.</w:t>
      </w:r>
    </w:p>
  </w:footnote>
  <w:footnote w:id="22">
    <w:p w14:paraId="66B60B98" w14:textId="38EF96BC" w:rsidR="00EF5C83" w:rsidRPr="004470A2" w:rsidRDefault="00EF5C83">
      <w:pPr>
        <w:pStyle w:val="FootnoteText"/>
        <w:rPr>
          <w:rFonts w:ascii="Book Antiqua" w:hAnsi="Book Antiqua"/>
        </w:rPr>
      </w:pPr>
      <w:r w:rsidRPr="00EF5C83">
        <w:rPr>
          <w:rStyle w:val="FootnoteReference"/>
          <w:rFonts w:ascii="Book Antiqua" w:hAnsi="Book Antiqua"/>
        </w:rPr>
        <w:footnoteRef/>
      </w:r>
      <w:r w:rsidRPr="00EF5C83">
        <w:rPr>
          <w:rFonts w:ascii="Book Antiqua" w:hAnsi="Book Antiqua"/>
        </w:rPr>
        <w:t xml:space="preserve"> </w:t>
      </w:r>
      <w:r w:rsidRPr="00EF5C83">
        <w:rPr>
          <w:rFonts w:ascii="Book Antiqua" w:hAnsi="Book Antiqua"/>
        </w:rPr>
        <w:tab/>
        <w:t xml:space="preserve">Departamento de Justicia &amp; IDEA, </w:t>
      </w:r>
      <w:r w:rsidRPr="00EF5C83">
        <w:rPr>
          <w:rFonts w:ascii="Book Antiqua" w:hAnsi="Book Antiqua"/>
          <w:i/>
          <w:iCs/>
        </w:rPr>
        <w:t>supra</w:t>
      </w:r>
      <w:r w:rsidRPr="00EF5C83">
        <w:rPr>
          <w:rFonts w:ascii="Book Antiqua" w:hAnsi="Book Antiqua"/>
        </w:rPr>
        <w:t>, pág. 9.</w:t>
      </w:r>
    </w:p>
  </w:footnote>
  <w:footnote w:id="23">
    <w:p w14:paraId="497DDF99" w14:textId="319E0F9D" w:rsidR="00B20943" w:rsidRPr="004470A2" w:rsidRDefault="00B20943">
      <w:pPr>
        <w:pStyle w:val="FootnoteText"/>
        <w:rPr>
          <w:rFonts w:ascii="Book Antiqua" w:hAnsi="Book Antiqua"/>
        </w:rPr>
      </w:pPr>
      <w:r w:rsidRPr="00EF5C83">
        <w:rPr>
          <w:rStyle w:val="FootnoteReference"/>
          <w:rFonts w:ascii="Book Antiqua" w:hAnsi="Book Antiqua"/>
        </w:rPr>
        <w:footnoteRef/>
      </w:r>
      <w:r w:rsidRPr="00EF5C83">
        <w:rPr>
          <w:rFonts w:ascii="Book Antiqua" w:hAnsi="Book Antiqua"/>
        </w:rPr>
        <w:t xml:space="preserve"> </w:t>
      </w:r>
      <w:r w:rsidR="00EF5C83" w:rsidRPr="00EF5C83">
        <w:rPr>
          <w:rFonts w:ascii="Book Antiqua" w:hAnsi="Book Antiqua"/>
        </w:rPr>
        <w:tab/>
      </w:r>
      <w:r w:rsidR="00EF5C83" w:rsidRPr="00EF5C83">
        <w:rPr>
          <w:rFonts w:ascii="Book Antiqua" w:hAnsi="Book Antiqua"/>
          <w:i/>
          <w:iCs/>
        </w:rPr>
        <w:t>Íd</w:t>
      </w:r>
      <w:r w:rsidR="00EF5C83" w:rsidRPr="00EF5C83">
        <w:rPr>
          <w:rFonts w:ascii="Book Antiqua" w:hAnsi="Book Antiqua"/>
        </w:rPr>
        <w:t>.</w:t>
      </w:r>
    </w:p>
  </w:footnote>
  <w:footnote w:id="24">
    <w:p w14:paraId="783ED7AE" w14:textId="1E325809" w:rsidR="00B20943" w:rsidRPr="00EF5C83" w:rsidRDefault="00B20943" w:rsidP="00B20943">
      <w:pPr>
        <w:pStyle w:val="FootnoteText"/>
        <w:rPr>
          <w:rFonts w:ascii="Book Antiqua" w:hAnsi="Book Antiqua"/>
        </w:rPr>
      </w:pPr>
      <w:r w:rsidRPr="00EF5C83">
        <w:rPr>
          <w:rStyle w:val="FootnoteReference"/>
          <w:rFonts w:ascii="Book Antiqua" w:hAnsi="Book Antiqua"/>
        </w:rPr>
        <w:footnoteRef/>
      </w:r>
      <w:r w:rsidRPr="00EF5C83">
        <w:rPr>
          <w:rFonts w:ascii="Book Antiqua" w:hAnsi="Book Antiqua"/>
        </w:rPr>
        <w:t xml:space="preserve"> </w:t>
      </w:r>
      <w:r w:rsidRPr="00EF5C83">
        <w:rPr>
          <w:rFonts w:ascii="Book Antiqua" w:hAnsi="Book Antiqua"/>
        </w:rPr>
        <w:tab/>
      </w:r>
      <w:r w:rsidR="00EF5C83" w:rsidRPr="00EF5C83">
        <w:rPr>
          <w:rFonts w:ascii="Book Antiqua" w:hAnsi="Book Antiqua"/>
          <w:i/>
          <w:iCs/>
        </w:rPr>
        <w:t>Íd</w:t>
      </w:r>
      <w:r w:rsidR="00EF5C83" w:rsidRPr="00EF5C83">
        <w:rPr>
          <w:rFonts w:ascii="Book Antiqua" w:hAnsi="Book Antiqua"/>
        </w:rPr>
        <w:t>.</w:t>
      </w:r>
    </w:p>
  </w:footnote>
  <w:footnote w:id="25">
    <w:p w14:paraId="7A2D9144" w14:textId="767842C9" w:rsidR="008C5FE7" w:rsidRPr="00EF5C83" w:rsidRDefault="008C5FE7">
      <w:pPr>
        <w:pStyle w:val="FootnoteText"/>
        <w:rPr>
          <w:rFonts w:ascii="Book Antiqua" w:hAnsi="Book Antiqua"/>
        </w:rPr>
      </w:pPr>
      <w:r w:rsidRPr="00EF5C83">
        <w:rPr>
          <w:rStyle w:val="FootnoteReference"/>
          <w:rFonts w:ascii="Book Antiqua" w:hAnsi="Book Antiqua"/>
        </w:rPr>
        <w:footnoteRef/>
      </w:r>
      <w:r w:rsidRPr="00EF5C83">
        <w:rPr>
          <w:rFonts w:ascii="Book Antiqua" w:hAnsi="Book Antiqua"/>
        </w:rPr>
        <w:t xml:space="preserve"> </w:t>
      </w:r>
      <w:r w:rsidR="00EF5C83">
        <w:rPr>
          <w:rFonts w:ascii="Book Antiqua" w:hAnsi="Book Antiqua"/>
        </w:rPr>
        <w:tab/>
      </w:r>
      <w:r w:rsidR="00EF5C83" w:rsidRPr="00EF5C83">
        <w:rPr>
          <w:rFonts w:ascii="Book Antiqua" w:hAnsi="Book Antiqua"/>
          <w:i/>
          <w:iCs/>
        </w:rPr>
        <w:t>Íd</w:t>
      </w:r>
      <w:r w:rsidR="00EF5C83">
        <w:rPr>
          <w:rFonts w:ascii="Book Antiqua" w:hAnsi="Book Antiqua"/>
        </w:rPr>
        <w:t>., pág. 5.</w:t>
      </w:r>
    </w:p>
  </w:footnote>
  <w:footnote w:id="26">
    <w:p w14:paraId="28F20004" w14:textId="4643E029" w:rsidR="008C5FE7" w:rsidRPr="00EF5C83" w:rsidRDefault="008C5FE7">
      <w:pPr>
        <w:pStyle w:val="FootnoteText"/>
        <w:rPr>
          <w:rFonts w:ascii="Book Antiqua" w:hAnsi="Book Antiqua"/>
        </w:rPr>
      </w:pPr>
      <w:r w:rsidRPr="00EF5C83">
        <w:rPr>
          <w:rStyle w:val="FootnoteReference"/>
          <w:rFonts w:ascii="Book Antiqua" w:hAnsi="Book Antiqua"/>
        </w:rPr>
        <w:footnoteRef/>
      </w:r>
      <w:r w:rsidRPr="00EF5C83">
        <w:rPr>
          <w:rFonts w:ascii="Book Antiqua" w:hAnsi="Book Antiqua"/>
        </w:rPr>
        <w:t xml:space="preserve"> </w:t>
      </w:r>
      <w:r w:rsidR="00EF5C83">
        <w:rPr>
          <w:rFonts w:ascii="Book Antiqua" w:hAnsi="Book Antiqua"/>
        </w:rPr>
        <w:tab/>
      </w:r>
      <w:r w:rsidR="00EF5C83" w:rsidRPr="00EF5C83">
        <w:rPr>
          <w:rFonts w:ascii="Book Antiqua" w:hAnsi="Book Antiqua"/>
          <w:i/>
          <w:iCs/>
        </w:rPr>
        <w:t>Íd</w:t>
      </w:r>
      <w:r w:rsidR="00EF5C83">
        <w:rPr>
          <w:rFonts w:ascii="Book Antiqua" w:hAnsi="Book Antiqua"/>
        </w:rPr>
        <w:t>.</w:t>
      </w:r>
    </w:p>
  </w:footnote>
  <w:footnote w:id="27">
    <w:p w14:paraId="37D9480D" w14:textId="7795D365" w:rsidR="004A2D24" w:rsidRPr="00D24E1E" w:rsidRDefault="004A2D24">
      <w:pPr>
        <w:pStyle w:val="FootnoteText"/>
        <w:rPr>
          <w:rFonts w:ascii="Book Antiqua" w:hAnsi="Book Antiqua"/>
          <w:lang w:val="en-US"/>
        </w:rPr>
      </w:pPr>
      <w:r w:rsidRPr="00EF5C83">
        <w:rPr>
          <w:rStyle w:val="FootnoteReference"/>
          <w:rFonts w:ascii="Book Antiqua" w:hAnsi="Book Antiqua"/>
        </w:rPr>
        <w:footnoteRef/>
      </w:r>
      <w:r w:rsidRPr="00D24E1E">
        <w:rPr>
          <w:rFonts w:ascii="Book Antiqua" w:hAnsi="Book Antiqua"/>
          <w:lang w:val="en-US"/>
        </w:rPr>
        <w:t xml:space="preserve"> </w:t>
      </w:r>
      <w:r w:rsidR="00B20943" w:rsidRPr="00D24E1E">
        <w:rPr>
          <w:rFonts w:ascii="Book Antiqua" w:hAnsi="Book Antiqua"/>
          <w:lang w:val="en-US"/>
        </w:rPr>
        <w:tab/>
      </w:r>
      <w:r w:rsidRPr="00D24E1E">
        <w:rPr>
          <w:rFonts w:ascii="Book Antiqua" w:hAnsi="Book Antiqua"/>
          <w:i/>
          <w:iCs/>
          <w:lang w:val="en-US"/>
        </w:rPr>
        <w:t>Loper Bright Sneter. v. Raimondo</w:t>
      </w:r>
      <w:r w:rsidRPr="00D24E1E">
        <w:rPr>
          <w:rFonts w:ascii="Book Antiqua" w:hAnsi="Book Antiqua"/>
          <w:lang w:val="en-US"/>
        </w:rPr>
        <w:t xml:space="preserve">, 603 US 396 (2024). </w:t>
      </w:r>
    </w:p>
  </w:footnote>
  <w:footnote w:id="28">
    <w:p w14:paraId="0076458F" w14:textId="6F3E6692" w:rsidR="004A2D24" w:rsidRPr="004470A2" w:rsidRDefault="004A2D24">
      <w:pPr>
        <w:pStyle w:val="FootnoteText"/>
        <w:rPr>
          <w:rFonts w:ascii="Book Antiqua" w:hAnsi="Book Antiqua"/>
        </w:rPr>
      </w:pPr>
      <w:r w:rsidRPr="00EF5C83">
        <w:rPr>
          <w:rStyle w:val="FootnoteReference"/>
          <w:rFonts w:ascii="Book Antiqua" w:hAnsi="Book Antiqua"/>
        </w:rPr>
        <w:footnoteRef/>
      </w:r>
      <w:r w:rsidRPr="004470A2">
        <w:rPr>
          <w:rFonts w:ascii="Book Antiqua" w:hAnsi="Book Antiqua"/>
        </w:rPr>
        <w:t xml:space="preserve"> </w:t>
      </w:r>
      <w:r w:rsidR="00B20943" w:rsidRPr="004470A2">
        <w:rPr>
          <w:rFonts w:ascii="Book Antiqua" w:hAnsi="Book Antiqua"/>
        </w:rPr>
        <w:tab/>
      </w:r>
      <w:r w:rsidR="00B20943" w:rsidRPr="004470A2">
        <w:rPr>
          <w:rFonts w:ascii="Book Antiqua" w:hAnsi="Book Antiqua"/>
          <w:i/>
          <w:iCs/>
        </w:rPr>
        <w:t>Vázquez v. Consejo de Titulares</w:t>
      </w:r>
      <w:r w:rsidR="00B20943" w:rsidRPr="004470A2">
        <w:rPr>
          <w:rFonts w:ascii="Book Antiqua" w:hAnsi="Book Antiqua"/>
        </w:rPr>
        <w:t xml:space="preserve">, </w:t>
      </w:r>
      <w:r w:rsidR="00194948">
        <w:rPr>
          <w:rFonts w:ascii="Book Antiqua" w:hAnsi="Book Antiqua"/>
        </w:rPr>
        <w:t xml:space="preserve">215 DPR ___ (2015), </w:t>
      </w:r>
      <w:r w:rsidR="00B20943" w:rsidRPr="004470A2">
        <w:rPr>
          <w:rFonts w:ascii="Book Antiqua" w:hAnsi="Book Antiqua"/>
        </w:rPr>
        <w:t xml:space="preserve">2025 TSPR 56. </w:t>
      </w:r>
    </w:p>
  </w:footnote>
  <w:footnote w:id="29">
    <w:p w14:paraId="15E94B7A" w14:textId="2F72DACA" w:rsidR="00B20943" w:rsidRPr="00EF5C83" w:rsidRDefault="00B20943">
      <w:pPr>
        <w:pStyle w:val="FootnoteText"/>
        <w:rPr>
          <w:rFonts w:ascii="Book Antiqua" w:hAnsi="Book Antiqua"/>
          <w:lang w:val="en-US"/>
        </w:rPr>
      </w:pPr>
      <w:r w:rsidRPr="00EF5C83">
        <w:rPr>
          <w:rStyle w:val="FootnoteReference"/>
          <w:rFonts w:ascii="Book Antiqua" w:hAnsi="Book Antiqua"/>
        </w:rPr>
        <w:footnoteRef/>
      </w:r>
      <w:r w:rsidRPr="00EF5C83">
        <w:rPr>
          <w:rFonts w:ascii="Book Antiqua" w:hAnsi="Book Antiqua"/>
          <w:lang w:val="en-US"/>
        </w:rPr>
        <w:t xml:space="preserve"> </w:t>
      </w:r>
      <w:r w:rsidRPr="00EF5C83">
        <w:rPr>
          <w:rFonts w:ascii="Book Antiqua" w:hAnsi="Book Antiqua"/>
          <w:lang w:val="en-US"/>
        </w:rPr>
        <w:tab/>
      </w:r>
      <w:r w:rsidRPr="00EF5C83">
        <w:rPr>
          <w:rFonts w:ascii="Book Antiqua" w:hAnsi="Book Antiqua"/>
          <w:i/>
          <w:iCs/>
          <w:lang w:val="en-US"/>
        </w:rPr>
        <w:t>Chevron U.S.A., Inc. v. Nar. Res. Def. Council, Inc.</w:t>
      </w:r>
      <w:r w:rsidRPr="00EF5C83">
        <w:rPr>
          <w:rFonts w:ascii="Book Antiqua" w:hAnsi="Book Antiqua"/>
          <w:lang w:val="en-US"/>
        </w:rPr>
        <w:t xml:space="preserve">, 467 U.S. 837 (1984). </w:t>
      </w:r>
    </w:p>
  </w:footnote>
  <w:footnote w:id="30">
    <w:p w14:paraId="552F7FB1" w14:textId="31D9392B" w:rsidR="00B20943" w:rsidRPr="004470A2" w:rsidRDefault="00B20943">
      <w:pPr>
        <w:pStyle w:val="FootnoteText"/>
      </w:pPr>
      <w:r w:rsidRPr="00EF5C83">
        <w:rPr>
          <w:rStyle w:val="FootnoteReference"/>
          <w:rFonts w:ascii="Book Antiqua" w:hAnsi="Book Antiqua"/>
        </w:rPr>
        <w:footnoteRef/>
      </w:r>
      <w:r w:rsidRPr="004470A2">
        <w:t xml:space="preserve"> </w:t>
      </w:r>
      <w:r w:rsidR="00EF5C83" w:rsidRPr="004470A2">
        <w:tab/>
      </w:r>
      <w:r w:rsidR="00EF5C83" w:rsidRPr="004470A2">
        <w:rPr>
          <w:rFonts w:ascii="Book Antiqua" w:hAnsi="Book Antiqua"/>
        </w:rPr>
        <w:t xml:space="preserve">Departamento de Justicia &amp; IDEA, </w:t>
      </w:r>
      <w:r w:rsidR="00EF5C83" w:rsidRPr="004470A2">
        <w:rPr>
          <w:rFonts w:ascii="Book Antiqua" w:hAnsi="Book Antiqua"/>
          <w:i/>
          <w:iCs/>
        </w:rPr>
        <w:t>supra</w:t>
      </w:r>
      <w:r w:rsidR="00EF5C83" w:rsidRPr="004470A2">
        <w:rPr>
          <w:rFonts w:ascii="Book Antiqua" w:hAnsi="Book Antiqua"/>
        </w:rPr>
        <w:t>, pág. 5.</w:t>
      </w:r>
    </w:p>
  </w:footnote>
  <w:footnote w:id="31">
    <w:p w14:paraId="3D4681D6" w14:textId="0F99C069" w:rsidR="00C34B97" w:rsidRPr="004470A2" w:rsidRDefault="00C34B97">
      <w:pPr>
        <w:pStyle w:val="FootnoteText"/>
        <w:rPr>
          <w:rFonts w:ascii="Book Antiqua" w:hAnsi="Book Antiqua"/>
        </w:rPr>
      </w:pPr>
      <w:r w:rsidRPr="00AC4A07">
        <w:rPr>
          <w:rStyle w:val="FootnoteReference"/>
          <w:rFonts w:ascii="Book Antiqua" w:hAnsi="Book Antiqua"/>
        </w:rPr>
        <w:footnoteRef/>
      </w:r>
      <w:r w:rsidRPr="00AC4A07">
        <w:rPr>
          <w:rFonts w:ascii="Book Antiqua" w:hAnsi="Book Antiqua"/>
        </w:rPr>
        <w:t xml:space="preserve"> </w:t>
      </w:r>
      <w:r w:rsidRPr="004470A2">
        <w:rPr>
          <w:rFonts w:ascii="Book Antiqua" w:hAnsi="Book Antiqua"/>
        </w:rPr>
        <w:tab/>
      </w:r>
      <w:r w:rsidRPr="004470A2">
        <w:rPr>
          <w:rFonts w:ascii="Book Antiqua" w:hAnsi="Book Antiqua"/>
          <w:i/>
          <w:iCs/>
        </w:rPr>
        <w:t>Íd</w:t>
      </w:r>
      <w:r w:rsidRPr="004470A2">
        <w:rPr>
          <w:rFonts w:ascii="Book Antiqua" w:hAnsi="Book Antiqua"/>
        </w:rPr>
        <w:t xml:space="preserve">., pág. </w:t>
      </w:r>
      <w:r w:rsidR="00AC4A07" w:rsidRPr="004470A2">
        <w:rPr>
          <w:rFonts w:ascii="Book Antiqua" w:hAnsi="Book Antiqua"/>
        </w:rPr>
        <w:t>10.</w:t>
      </w:r>
    </w:p>
  </w:footnote>
  <w:footnote w:id="32">
    <w:p w14:paraId="4275889D" w14:textId="092D9497" w:rsidR="00C34B97" w:rsidRPr="004470A2" w:rsidRDefault="00C34B97">
      <w:pPr>
        <w:pStyle w:val="FootnoteText"/>
        <w:rPr>
          <w:rFonts w:ascii="Book Antiqua" w:hAnsi="Book Antiqua"/>
        </w:rPr>
      </w:pPr>
      <w:r w:rsidRPr="00AC4A07">
        <w:rPr>
          <w:rStyle w:val="FootnoteReference"/>
          <w:rFonts w:ascii="Book Antiqua" w:hAnsi="Book Antiqua"/>
        </w:rPr>
        <w:footnoteRef/>
      </w:r>
      <w:r w:rsidRPr="00AC4A07">
        <w:rPr>
          <w:rFonts w:ascii="Book Antiqua" w:hAnsi="Book Antiqua"/>
        </w:rPr>
        <w:t xml:space="preserve"> </w:t>
      </w:r>
      <w:r w:rsidRPr="00AC4A07">
        <w:rPr>
          <w:rFonts w:ascii="Book Antiqua" w:hAnsi="Book Antiqua"/>
        </w:rPr>
        <w:tab/>
      </w:r>
      <w:r w:rsidRPr="00AC4A07">
        <w:rPr>
          <w:rFonts w:ascii="Book Antiqua" w:hAnsi="Book Antiqua"/>
          <w:i/>
          <w:iCs/>
        </w:rPr>
        <w:t>Íd</w:t>
      </w:r>
      <w:r w:rsidRPr="00AC4A07">
        <w:rPr>
          <w:rFonts w:ascii="Book Antiqua" w:hAnsi="Book Antiqua"/>
        </w:rPr>
        <w:t>., pág. 11.</w:t>
      </w:r>
    </w:p>
  </w:footnote>
  <w:footnote w:id="33">
    <w:p w14:paraId="5E6F9F0B" w14:textId="58686469" w:rsidR="00AC4A07" w:rsidRPr="004470A2" w:rsidRDefault="00AC4A07">
      <w:pPr>
        <w:pStyle w:val="FootnoteText"/>
        <w:rPr>
          <w:rFonts w:ascii="Book Antiqua" w:hAnsi="Book Antiqua"/>
        </w:rPr>
      </w:pPr>
      <w:r w:rsidRPr="00AC4A07">
        <w:rPr>
          <w:rStyle w:val="FootnoteReference"/>
          <w:rFonts w:ascii="Book Antiqua" w:hAnsi="Book Antiqua"/>
        </w:rPr>
        <w:footnoteRef/>
      </w:r>
      <w:r w:rsidRPr="00AC4A07">
        <w:rPr>
          <w:rFonts w:ascii="Book Antiqua" w:hAnsi="Book Antiqua"/>
        </w:rPr>
        <w:t xml:space="preserve"> </w:t>
      </w:r>
      <w:r w:rsidRPr="00AC4A07">
        <w:rPr>
          <w:rFonts w:ascii="Book Antiqua" w:hAnsi="Book Antiqua"/>
        </w:rPr>
        <w:tab/>
      </w:r>
      <w:r w:rsidRPr="00AC4A07">
        <w:rPr>
          <w:rFonts w:ascii="Book Antiqua" w:hAnsi="Book Antiqua"/>
          <w:i/>
          <w:iCs/>
        </w:rPr>
        <w:t>Íd</w:t>
      </w:r>
      <w:r w:rsidRPr="00AC4A07">
        <w:rPr>
          <w:rFonts w:ascii="Book Antiqua" w:hAnsi="Book Antiqua"/>
        </w:rPr>
        <w:t>.</w:t>
      </w:r>
    </w:p>
  </w:footnote>
  <w:footnote w:id="34">
    <w:p w14:paraId="0C29CA49" w14:textId="640E7ACA" w:rsidR="004A2D24" w:rsidRPr="004470A2" w:rsidRDefault="004A2D24">
      <w:pPr>
        <w:pStyle w:val="FootnoteText"/>
        <w:rPr>
          <w:rFonts w:ascii="Book Antiqua" w:hAnsi="Book Antiqua"/>
        </w:rPr>
      </w:pPr>
      <w:r w:rsidRPr="00AC4A07">
        <w:rPr>
          <w:rStyle w:val="FootnoteReference"/>
          <w:rFonts w:ascii="Book Antiqua" w:hAnsi="Book Antiqua"/>
        </w:rPr>
        <w:footnoteRef/>
      </w:r>
      <w:r w:rsidRPr="004470A2">
        <w:rPr>
          <w:rFonts w:ascii="Book Antiqua" w:hAnsi="Book Antiqua"/>
        </w:rPr>
        <w:t xml:space="preserve"> </w:t>
      </w:r>
      <w:r w:rsidR="00AC4A07" w:rsidRPr="004470A2">
        <w:rPr>
          <w:rFonts w:ascii="Book Antiqua" w:hAnsi="Book Antiqua"/>
        </w:rPr>
        <w:tab/>
      </w:r>
      <w:r w:rsidR="00AC4A07" w:rsidRPr="004470A2">
        <w:rPr>
          <w:rFonts w:ascii="Book Antiqua" w:hAnsi="Book Antiqua"/>
          <w:i/>
          <w:iCs/>
        </w:rPr>
        <w:t>Íd</w:t>
      </w:r>
      <w:r w:rsidR="00AC4A07" w:rsidRPr="004470A2">
        <w:rPr>
          <w:rFonts w:ascii="Book Antiqua" w:hAnsi="Book Antiqua"/>
        </w:rPr>
        <w:t>., pág. 12.</w:t>
      </w:r>
    </w:p>
  </w:footnote>
  <w:footnote w:id="35">
    <w:p w14:paraId="4AA22FF5" w14:textId="111A3E2A" w:rsidR="00196B89" w:rsidRPr="00AC4A07" w:rsidRDefault="00196B89">
      <w:pPr>
        <w:pStyle w:val="FootnoteText"/>
        <w:rPr>
          <w:rFonts w:ascii="Book Antiqua" w:hAnsi="Book Antiqua"/>
        </w:rPr>
      </w:pPr>
      <w:r w:rsidRPr="00AC4A07">
        <w:rPr>
          <w:rStyle w:val="FootnoteReference"/>
          <w:rFonts w:ascii="Book Antiqua" w:hAnsi="Book Antiqua"/>
        </w:rPr>
        <w:footnoteRef/>
      </w:r>
      <w:r w:rsidRPr="00AC4A07">
        <w:rPr>
          <w:rFonts w:ascii="Book Antiqua" w:hAnsi="Book Antiqua"/>
        </w:rPr>
        <w:t xml:space="preserve"> </w:t>
      </w:r>
      <w:r w:rsidRPr="00AC4A07">
        <w:rPr>
          <w:rFonts w:ascii="Book Antiqua" w:hAnsi="Book Antiqua"/>
        </w:rPr>
        <w:tab/>
        <w:t xml:space="preserve">Oficina del Contralor Electoral, </w:t>
      </w:r>
      <w:r w:rsidRPr="00AC4A07">
        <w:rPr>
          <w:rFonts w:ascii="Book Antiqua" w:hAnsi="Book Antiqua"/>
          <w:i/>
          <w:iCs/>
        </w:rPr>
        <w:t>P. de la C. 1080</w:t>
      </w:r>
      <w:r w:rsidRPr="00AC4A07">
        <w:rPr>
          <w:rFonts w:ascii="Book Antiqua" w:hAnsi="Book Antiqua"/>
        </w:rPr>
        <w:t xml:space="preserve">, pág. 1 (25 de marzo de 2026). </w:t>
      </w:r>
    </w:p>
  </w:footnote>
  <w:footnote w:id="36">
    <w:p w14:paraId="725A8664" w14:textId="04AFB211" w:rsidR="005449BC" w:rsidRPr="00AC4A07" w:rsidRDefault="005449BC">
      <w:pPr>
        <w:pStyle w:val="FootnoteText"/>
        <w:rPr>
          <w:rFonts w:ascii="Book Antiqua" w:hAnsi="Book Antiqua"/>
        </w:rPr>
      </w:pPr>
      <w:r w:rsidRPr="00AC4A07">
        <w:rPr>
          <w:rStyle w:val="FootnoteReference"/>
          <w:rFonts w:ascii="Book Antiqua" w:hAnsi="Book Antiqua"/>
        </w:rPr>
        <w:footnoteRef/>
      </w:r>
      <w:r w:rsidRPr="00AC4A07">
        <w:rPr>
          <w:rFonts w:ascii="Book Antiqua" w:hAnsi="Book Antiqua"/>
        </w:rPr>
        <w:t xml:space="preserve"> </w:t>
      </w:r>
      <w:r w:rsidRPr="00AC4A07">
        <w:rPr>
          <w:rFonts w:ascii="Book Antiqua" w:hAnsi="Book Antiqua"/>
        </w:rPr>
        <w:tab/>
      </w:r>
      <w:r w:rsidRPr="00AC4A07">
        <w:rPr>
          <w:rFonts w:ascii="Book Antiqua" w:hAnsi="Book Antiqua"/>
          <w:i/>
          <w:iCs/>
        </w:rPr>
        <w:t>Íd</w:t>
      </w:r>
      <w:r w:rsidRPr="00AC4A07">
        <w:rPr>
          <w:rFonts w:ascii="Book Antiqua" w:hAnsi="Book Antiqua"/>
        </w:rPr>
        <w:t>.</w:t>
      </w:r>
    </w:p>
  </w:footnote>
  <w:footnote w:id="37">
    <w:p w14:paraId="4076473D" w14:textId="6AD49084" w:rsidR="005449BC" w:rsidRPr="005449BC" w:rsidRDefault="005449BC">
      <w:pPr>
        <w:pStyle w:val="FootnoteText"/>
        <w:rPr>
          <w:rFonts w:ascii="Book Antiqua" w:hAnsi="Book Antiqua"/>
        </w:rPr>
      </w:pPr>
      <w:r w:rsidRPr="00AC4A07">
        <w:rPr>
          <w:rStyle w:val="FootnoteReference"/>
          <w:rFonts w:ascii="Book Antiqua" w:hAnsi="Book Antiqua"/>
        </w:rPr>
        <w:footnoteRef/>
      </w:r>
      <w:r w:rsidRPr="00AC4A07">
        <w:rPr>
          <w:rFonts w:ascii="Book Antiqua" w:hAnsi="Book Antiqua"/>
        </w:rPr>
        <w:t xml:space="preserve"> </w:t>
      </w:r>
      <w:r w:rsidRPr="00AC4A07">
        <w:rPr>
          <w:rFonts w:ascii="Book Antiqua" w:hAnsi="Book Antiqua"/>
        </w:rPr>
        <w:tab/>
      </w:r>
      <w:r w:rsidRPr="00AC4A07">
        <w:rPr>
          <w:rFonts w:ascii="Book Antiqua" w:hAnsi="Book Antiqua"/>
          <w:i/>
          <w:iCs/>
        </w:rPr>
        <w:t>Íd</w:t>
      </w:r>
      <w:r w:rsidRPr="00AC4A07">
        <w:rPr>
          <w:rFonts w:ascii="Book Antiqua" w:hAnsi="Book Antiqua"/>
        </w:rPr>
        <w:t>.</w:t>
      </w:r>
    </w:p>
  </w:footnote>
  <w:footnote w:id="38">
    <w:p w14:paraId="4CAA431D" w14:textId="38EA94D6" w:rsidR="007F113F" w:rsidRPr="00546B8D" w:rsidRDefault="007F113F" w:rsidP="00122A92">
      <w:pPr>
        <w:pStyle w:val="FootnoteText"/>
        <w:ind w:left="720" w:hanging="720"/>
        <w:jc w:val="both"/>
        <w:rPr>
          <w:rFonts w:ascii="Book Antiqua" w:hAnsi="Book Antiqua"/>
        </w:rPr>
      </w:pPr>
      <w:r w:rsidRPr="00546B8D">
        <w:rPr>
          <w:rStyle w:val="FootnoteReference"/>
          <w:rFonts w:ascii="Book Antiqua" w:hAnsi="Book Antiqua"/>
        </w:rPr>
        <w:footnoteRef/>
      </w:r>
      <w:r w:rsidRPr="00546B8D">
        <w:rPr>
          <w:rFonts w:ascii="Book Antiqua" w:hAnsi="Book Antiqua"/>
        </w:rPr>
        <w:t xml:space="preserve"> </w:t>
      </w:r>
      <w:r w:rsidRPr="00546B8D">
        <w:rPr>
          <w:rFonts w:ascii="Book Antiqua" w:hAnsi="Book Antiqua"/>
        </w:rPr>
        <w:tab/>
        <w:t xml:space="preserve">Escuela de Derecho de la Universidad de Puerto Rico, </w:t>
      </w:r>
      <w:r w:rsidRPr="00546B8D">
        <w:rPr>
          <w:rFonts w:ascii="Book Antiqua" w:hAnsi="Book Antiqua"/>
          <w:i/>
          <w:iCs/>
        </w:rPr>
        <w:t>Re: P. de la C. 1080</w:t>
      </w:r>
      <w:r w:rsidRPr="00546B8D">
        <w:rPr>
          <w:rFonts w:ascii="Book Antiqua" w:hAnsi="Book Antiqua"/>
        </w:rPr>
        <w:t xml:space="preserve">, pág. 1 (13 de abril de 2026). </w:t>
      </w:r>
      <w:r w:rsidR="00122A92" w:rsidRPr="00546B8D">
        <w:rPr>
          <w:rFonts w:ascii="Book Antiqua" w:hAnsi="Book Antiqua"/>
        </w:rPr>
        <w:t xml:space="preserve">(La Escuela de Derecho de la Universidad de Puerto Rico presentó dos (2) </w:t>
      </w:r>
      <w:r w:rsidR="00122A92" w:rsidRPr="00546B8D">
        <w:rPr>
          <w:rFonts w:ascii="Book Antiqua" w:hAnsi="Book Antiqua"/>
          <w:i/>
          <w:iCs/>
        </w:rPr>
        <w:t>Memoriales Explicativos</w:t>
      </w:r>
      <w:r w:rsidR="00122A92" w:rsidRPr="00546B8D">
        <w:rPr>
          <w:rFonts w:ascii="Book Antiqua" w:hAnsi="Book Antiqua"/>
        </w:rPr>
        <w:t xml:space="preserve">, el primero con fecha del 26 de febrero de 2026 y el segundo con fecha del 13 de abril de 2026, el cual contenía información adicional. Utilizamos para fines de este informe el segundo, por contener más información). </w:t>
      </w:r>
    </w:p>
  </w:footnote>
  <w:footnote w:id="39">
    <w:p w14:paraId="30CE3D78" w14:textId="4D0E73A6" w:rsidR="00C03D6C" w:rsidRPr="00546B8D" w:rsidRDefault="00C03D6C" w:rsidP="00122A92">
      <w:pPr>
        <w:pStyle w:val="FootnoteText"/>
        <w:jc w:val="both"/>
        <w:rPr>
          <w:rFonts w:ascii="Book Antiqua" w:hAnsi="Book Antiqua"/>
        </w:rPr>
      </w:pPr>
      <w:r w:rsidRPr="00546B8D">
        <w:rPr>
          <w:rStyle w:val="FootnoteReference"/>
          <w:rFonts w:ascii="Book Antiqua" w:hAnsi="Book Antiqua"/>
        </w:rPr>
        <w:footnoteRef/>
      </w:r>
      <w:r w:rsidRPr="00546B8D">
        <w:rPr>
          <w:rFonts w:ascii="Book Antiqua" w:hAnsi="Book Antiqua"/>
        </w:rPr>
        <w:t xml:space="preserve"> </w:t>
      </w:r>
      <w:r w:rsidR="007F113F" w:rsidRPr="00546B8D">
        <w:rPr>
          <w:rFonts w:ascii="Book Antiqua" w:hAnsi="Book Antiqua"/>
        </w:rPr>
        <w:tab/>
      </w:r>
      <w:r w:rsidR="00122A92" w:rsidRPr="00546B8D">
        <w:rPr>
          <w:rFonts w:ascii="Book Antiqua" w:hAnsi="Book Antiqua"/>
          <w:i/>
          <w:iCs/>
        </w:rPr>
        <w:t>Íd</w:t>
      </w:r>
      <w:r w:rsidR="00122A92" w:rsidRPr="00546B8D">
        <w:rPr>
          <w:rFonts w:ascii="Book Antiqua" w:hAnsi="Book Antiqua"/>
        </w:rPr>
        <w:t xml:space="preserve">., pág. 1-2. </w:t>
      </w:r>
    </w:p>
  </w:footnote>
  <w:footnote w:id="40">
    <w:p w14:paraId="224889B8" w14:textId="52F18BC8" w:rsidR="00C03D6C" w:rsidRPr="00546B8D" w:rsidRDefault="00C03D6C" w:rsidP="00122A92">
      <w:pPr>
        <w:pStyle w:val="FootnoteText"/>
        <w:jc w:val="both"/>
        <w:rPr>
          <w:rFonts w:ascii="Book Antiqua" w:hAnsi="Book Antiqua"/>
        </w:rPr>
      </w:pPr>
      <w:r w:rsidRPr="00546B8D">
        <w:rPr>
          <w:rStyle w:val="FootnoteReference"/>
          <w:rFonts w:ascii="Book Antiqua" w:hAnsi="Book Antiqua"/>
        </w:rPr>
        <w:footnoteRef/>
      </w:r>
      <w:r w:rsidRPr="00546B8D">
        <w:rPr>
          <w:rFonts w:ascii="Book Antiqua" w:hAnsi="Book Antiqua"/>
        </w:rPr>
        <w:t xml:space="preserve"> </w:t>
      </w:r>
      <w:r w:rsidR="00122A92" w:rsidRPr="00546B8D">
        <w:rPr>
          <w:rFonts w:ascii="Book Antiqua" w:hAnsi="Book Antiqua"/>
        </w:rPr>
        <w:tab/>
      </w:r>
      <w:r w:rsidR="00122A92" w:rsidRPr="00546B8D">
        <w:rPr>
          <w:rFonts w:ascii="Book Antiqua" w:hAnsi="Book Antiqua"/>
          <w:i/>
          <w:iCs/>
        </w:rPr>
        <w:t>Íd</w:t>
      </w:r>
      <w:r w:rsidR="00122A92" w:rsidRPr="00546B8D">
        <w:rPr>
          <w:rFonts w:ascii="Book Antiqua" w:hAnsi="Book Antiqua"/>
        </w:rPr>
        <w:t xml:space="preserve">., pág. 2. </w:t>
      </w:r>
    </w:p>
  </w:footnote>
  <w:footnote w:id="41">
    <w:p w14:paraId="0D6859C6" w14:textId="52990E22" w:rsidR="00122A92" w:rsidRPr="00546B8D" w:rsidRDefault="00122A92" w:rsidP="00122A92">
      <w:pPr>
        <w:pStyle w:val="FootnoteText"/>
        <w:jc w:val="both"/>
        <w:rPr>
          <w:rFonts w:ascii="Book Antiqua" w:hAnsi="Book Antiqua"/>
        </w:rPr>
      </w:pPr>
      <w:r w:rsidRPr="00546B8D">
        <w:rPr>
          <w:rStyle w:val="FootnoteReference"/>
          <w:rFonts w:ascii="Book Antiqua" w:hAnsi="Book Antiqua"/>
        </w:rPr>
        <w:footnoteRef/>
      </w:r>
      <w:r w:rsidRPr="00546B8D">
        <w:rPr>
          <w:rFonts w:ascii="Book Antiqua" w:hAnsi="Book Antiqua"/>
        </w:rPr>
        <w:t xml:space="preserve"> </w:t>
      </w:r>
      <w:r w:rsidRPr="00546B8D">
        <w:rPr>
          <w:rFonts w:ascii="Book Antiqua" w:hAnsi="Book Antiqua"/>
        </w:rPr>
        <w:tab/>
      </w:r>
      <w:r w:rsidRPr="00546B8D">
        <w:rPr>
          <w:rFonts w:ascii="Book Antiqua" w:hAnsi="Book Antiqua"/>
          <w:i/>
          <w:iCs/>
        </w:rPr>
        <w:t>Íd</w:t>
      </w:r>
      <w:r w:rsidRPr="00546B8D">
        <w:rPr>
          <w:rFonts w:ascii="Book Antiqua" w:hAnsi="Book Antiqua"/>
        </w:rPr>
        <w:t xml:space="preserve">., pág. 3. </w:t>
      </w:r>
    </w:p>
  </w:footnote>
  <w:footnote w:id="42">
    <w:p w14:paraId="4EDFA19F" w14:textId="7A1BE7A1" w:rsidR="00126B2D" w:rsidRPr="00546B8D" w:rsidRDefault="00126B2D" w:rsidP="00122A92">
      <w:pPr>
        <w:pStyle w:val="FootnoteText"/>
        <w:jc w:val="both"/>
        <w:rPr>
          <w:rFonts w:ascii="Book Antiqua" w:hAnsi="Book Antiqua"/>
        </w:rPr>
      </w:pPr>
      <w:r w:rsidRPr="00546B8D">
        <w:rPr>
          <w:rStyle w:val="FootnoteReference"/>
          <w:rFonts w:ascii="Book Antiqua" w:hAnsi="Book Antiqua"/>
        </w:rPr>
        <w:footnoteRef/>
      </w:r>
      <w:r w:rsidRPr="00546B8D">
        <w:rPr>
          <w:rFonts w:ascii="Book Antiqua" w:hAnsi="Book Antiqua"/>
        </w:rPr>
        <w:t xml:space="preserve"> </w:t>
      </w:r>
      <w:r w:rsidR="00122A92" w:rsidRPr="00546B8D">
        <w:rPr>
          <w:rFonts w:ascii="Book Antiqua" w:hAnsi="Book Antiqua"/>
        </w:rPr>
        <w:tab/>
      </w:r>
      <w:r w:rsidR="00546B8D" w:rsidRPr="00331D65">
        <w:rPr>
          <w:rFonts w:ascii="Book Antiqua" w:hAnsi="Book Antiqua"/>
          <w:i/>
          <w:iCs/>
        </w:rPr>
        <w:t>Íd</w:t>
      </w:r>
      <w:r w:rsidR="00546B8D" w:rsidRPr="00546B8D">
        <w:rPr>
          <w:rFonts w:ascii="Book Antiqua" w:hAnsi="Book Antiqua"/>
        </w:rPr>
        <w:t>., pág. 4.</w:t>
      </w:r>
    </w:p>
  </w:footnote>
  <w:footnote w:id="43">
    <w:p w14:paraId="693C9663" w14:textId="3C7C2827" w:rsidR="00546B8D" w:rsidRPr="00546B8D" w:rsidRDefault="00546B8D">
      <w:pPr>
        <w:pStyle w:val="FootnoteText"/>
      </w:pPr>
      <w:r w:rsidRPr="00546B8D">
        <w:rPr>
          <w:rStyle w:val="FootnoteReference"/>
          <w:rFonts w:ascii="Book Antiqua" w:hAnsi="Book Antiqua"/>
        </w:rPr>
        <w:footnoteRef/>
      </w:r>
      <w:r w:rsidRPr="00546B8D">
        <w:rPr>
          <w:rFonts w:ascii="Book Antiqua" w:hAnsi="Book Antiqua"/>
        </w:rPr>
        <w:t xml:space="preserve"> </w:t>
      </w:r>
      <w:r w:rsidRPr="00546B8D">
        <w:rPr>
          <w:rFonts w:ascii="Book Antiqua" w:hAnsi="Book Antiqua"/>
        </w:rPr>
        <w:tab/>
      </w:r>
      <w:r>
        <w:rPr>
          <w:rFonts w:ascii="Book Antiqua" w:hAnsi="Book Antiqua"/>
        </w:rPr>
        <w:t xml:space="preserve">Escuela de Derecho de la Universidad de Puerto Rico, </w:t>
      </w:r>
      <w:r w:rsidRPr="00546B8D">
        <w:rPr>
          <w:rFonts w:ascii="Book Antiqua" w:hAnsi="Book Antiqua"/>
          <w:i/>
          <w:iCs/>
        </w:rPr>
        <w:t>supra</w:t>
      </w:r>
      <w:r>
        <w:rPr>
          <w:rFonts w:ascii="Book Antiqua" w:hAnsi="Book Antiqua"/>
        </w:rPr>
        <w:t xml:space="preserve">, pág. 4. </w:t>
      </w:r>
    </w:p>
  </w:footnote>
  <w:footnote w:id="44">
    <w:p w14:paraId="7A8EABEA" w14:textId="09D03439" w:rsidR="00126B2D" w:rsidRPr="002E46F2" w:rsidRDefault="00126B2D" w:rsidP="00122A92">
      <w:pPr>
        <w:pStyle w:val="FootnoteText"/>
        <w:jc w:val="both"/>
        <w:rPr>
          <w:rFonts w:ascii="Book Antiqua" w:hAnsi="Book Antiqua"/>
        </w:rPr>
      </w:pPr>
      <w:r w:rsidRPr="002E46F2">
        <w:rPr>
          <w:rStyle w:val="FootnoteReference"/>
          <w:rFonts w:ascii="Book Antiqua" w:hAnsi="Book Antiqua"/>
        </w:rPr>
        <w:footnoteRef/>
      </w:r>
      <w:r w:rsidRPr="002E46F2">
        <w:rPr>
          <w:rFonts w:ascii="Book Antiqua" w:hAnsi="Book Antiqua"/>
        </w:rPr>
        <w:t xml:space="preserve"> </w:t>
      </w:r>
      <w:r w:rsidR="00546B8D" w:rsidRPr="002E46F2">
        <w:rPr>
          <w:rFonts w:ascii="Book Antiqua" w:hAnsi="Book Antiqua"/>
        </w:rPr>
        <w:tab/>
      </w:r>
      <w:r w:rsidR="00546B8D" w:rsidRPr="002E46F2">
        <w:rPr>
          <w:rFonts w:ascii="Book Antiqua" w:hAnsi="Book Antiqua"/>
          <w:i/>
          <w:iCs/>
        </w:rPr>
        <w:t>Íd</w:t>
      </w:r>
      <w:r w:rsidR="00546B8D" w:rsidRPr="002E46F2">
        <w:rPr>
          <w:rFonts w:ascii="Book Antiqua" w:hAnsi="Book Antiqua"/>
        </w:rPr>
        <w:t>., pág. 5</w:t>
      </w:r>
    </w:p>
  </w:footnote>
  <w:footnote w:id="45">
    <w:p w14:paraId="551F8421" w14:textId="3FF3D036" w:rsidR="00126B2D" w:rsidRPr="002E46F2" w:rsidRDefault="00126B2D">
      <w:pPr>
        <w:pStyle w:val="FootnoteText"/>
        <w:rPr>
          <w:rFonts w:ascii="Book Antiqua" w:hAnsi="Book Antiqua"/>
        </w:rPr>
      </w:pPr>
      <w:r w:rsidRPr="002E46F2">
        <w:rPr>
          <w:rStyle w:val="FootnoteReference"/>
          <w:rFonts w:ascii="Book Antiqua" w:hAnsi="Book Antiqua"/>
        </w:rPr>
        <w:footnoteRef/>
      </w:r>
      <w:r w:rsidRPr="002E46F2">
        <w:rPr>
          <w:rFonts w:ascii="Book Antiqua" w:hAnsi="Book Antiqua"/>
        </w:rPr>
        <w:t xml:space="preserve"> </w:t>
      </w:r>
      <w:r w:rsidR="00010D4B" w:rsidRPr="002E46F2">
        <w:rPr>
          <w:rFonts w:ascii="Book Antiqua" w:hAnsi="Book Antiqua"/>
        </w:rPr>
        <w:tab/>
      </w:r>
      <w:r w:rsidR="00010D4B" w:rsidRPr="002E46F2">
        <w:rPr>
          <w:rFonts w:ascii="Book Antiqua" w:hAnsi="Book Antiqua"/>
          <w:i/>
          <w:iCs/>
        </w:rPr>
        <w:t>Íd</w:t>
      </w:r>
      <w:r w:rsidR="00010D4B" w:rsidRPr="002E46F2">
        <w:rPr>
          <w:rFonts w:ascii="Book Antiqua" w:hAnsi="Book Antiqua"/>
        </w:rPr>
        <w:t>.</w:t>
      </w:r>
    </w:p>
  </w:footnote>
  <w:footnote w:id="46">
    <w:p w14:paraId="1F37A96F" w14:textId="6F104A8E" w:rsidR="00126B2D" w:rsidRPr="002E46F2" w:rsidRDefault="00126B2D">
      <w:pPr>
        <w:pStyle w:val="FootnoteText"/>
        <w:rPr>
          <w:rFonts w:ascii="Book Antiqua" w:hAnsi="Book Antiqua"/>
        </w:rPr>
      </w:pPr>
      <w:r w:rsidRPr="002E46F2">
        <w:rPr>
          <w:rStyle w:val="FootnoteReference"/>
          <w:rFonts w:ascii="Book Antiqua" w:hAnsi="Book Antiqua"/>
        </w:rPr>
        <w:footnoteRef/>
      </w:r>
      <w:r w:rsidRPr="002E46F2">
        <w:rPr>
          <w:rFonts w:ascii="Book Antiqua" w:hAnsi="Book Antiqua"/>
        </w:rPr>
        <w:t xml:space="preserve"> </w:t>
      </w:r>
      <w:r w:rsidR="00010D4B" w:rsidRPr="002E46F2">
        <w:rPr>
          <w:rFonts w:ascii="Book Antiqua" w:hAnsi="Book Antiqua"/>
        </w:rPr>
        <w:tab/>
      </w:r>
      <w:r w:rsidR="00010D4B" w:rsidRPr="002E46F2">
        <w:rPr>
          <w:rFonts w:ascii="Book Antiqua" w:hAnsi="Book Antiqua"/>
          <w:i/>
          <w:iCs/>
        </w:rPr>
        <w:t>Íd</w:t>
      </w:r>
      <w:r w:rsidR="00010D4B" w:rsidRPr="002E46F2">
        <w:rPr>
          <w:rFonts w:ascii="Book Antiqua" w:hAnsi="Book Antiqua"/>
        </w:rPr>
        <w:t xml:space="preserve">., pág. 6. </w:t>
      </w:r>
    </w:p>
  </w:footnote>
  <w:footnote w:id="47">
    <w:p w14:paraId="1ED1AB0E" w14:textId="22A2B2FB" w:rsidR="00546B8D" w:rsidRPr="002E46F2" w:rsidRDefault="00546B8D">
      <w:pPr>
        <w:pStyle w:val="FootnoteText"/>
        <w:rPr>
          <w:rFonts w:ascii="Book Antiqua" w:hAnsi="Book Antiqua"/>
        </w:rPr>
      </w:pPr>
      <w:r w:rsidRPr="002E46F2">
        <w:rPr>
          <w:rStyle w:val="FootnoteReference"/>
          <w:rFonts w:ascii="Book Antiqua" w:hAnsi="Book Antiqua"/>
        </w:rPr>
        <w:footnoteRef/>
      </w:r>
      <w:r w:rsidRPr="002E46F2">
        <w:rPr>
          <w:rFonts w:ascii="Book Antiqua" w:hAnsi="Book Antiqua"/>
        </w:rPr>
        <w:t xml:space="preserve"> </w:t>
      </w:r>
      <w:r w:rsidR="00331D65" w:rsidRPr="002E46F2">
        <w:rPr>
          <w:rFonts w:ascii="Book Antiqua" w:hAnsi="Book Antiqua"/>
        </w:rPr>
        <w:tab/>
      </w:r>
      <w:r w:rsidR="00331D65" w:rsidRPr="002E46F2">
        <w:rPr>
          <w:rFonts w:ascii="Book Antiqua" w:hAnsi="Book Antiqua"/>
          <w:i/>
          <w:iCs/>
        </w:rPr>
        <w:t>Íd</w:t>
      </w:r>
      <w:r w:rsidR="00331D65" w:rsidRPr="002E46F2">
        <w:rPr>
          <w:rFonts w:ascii="Book Antiqua" w:hAnsi="Book Antiqua"/>
        </w:rPr>
        <w:t>., pág. 7.</w:t>
      </w:r>
    </w:p>
  </w:footnote>
  <w:footnote w:id="48">
    <w:p w14:paraId="70280948" w14:textId="66F7283D" w:rsidR="00546B8D" w:rsidRPr="002E46F2" w:rsidRDefault="00546B8D">
      <w:pPr>
        <w:pStyle w:val="FootnoteText"/>
        <w:rPr>
          <w:rFonts w:ascii="Book Antiqua" w:hAnsi="Book Antiqua"/>
        </w:rPr>
      </w:pPr>
      <w:r w:rsidRPr="002E46F2">
        <w:rPr>
          <w:rStyle w:val="FootnoteReference"/>
          <w:rFonts w:ascii="Book Antiqua" w:hAnsi="Book Antiqua"/>
        </w:rPr>
        <w:footnoteRef/>
      </w:r>
      <w:r w:rsidRPr="002E46F2">
        <w:rPr>
          <w:rFonts w:ascii="Book Antiqua" w:hAnsi="Book Antiqua"/>
        </w:rPr>
        <w:t xml:space="preserve"> </w:t>
      </w:r>
      <w:r w:rsidR="00331D65" w:rsidRPr="002E46F2">
        <w:rPr>
          <w:rFonts w:ascii="Book Antiqua" w:hAnsi="Book Antiqua"/>
        </w:rPr>
        <w:tab/>
        <w:t xml:space="preserve">Escuela de Derecho de la Universidad de Puerto Rico, </w:t>
      </w:r>
      <w:r w:rsidR="00331D65" w:rsidRPr="002E46F2">
        <w:rPr>
          <w:rFonts w:ascii="Book Antiqua" w:hAnsi="Book Antiqua"/>
          <w:i/>
          <w:iCs/>
        </w:rPr>
        <w:t>supra</w:t>
      </w:r>
      <w:r w:rsidR="00331D65" w:rsidRPr="002E46F2">
        <w:rPr>
          <w:rFonts w:ascii="Book Antiqua" w:hAnsi="Book Antiqua"/>
        </w:rPr>
        <w:t>, pág. 7.</w:t>
      </w:r>
    </w:p>
  </w:footnote>
  <w:footnote w:id="49">
    <w:p w14:paraId="390E3FBC" w14:textId="2125B831" w:rsidR="00546B8D" w:rsidRPr="002E46F2" w:rsidRDefault="00546B8D">
      <w:pPr>
        <w:pStyle w:val="FootnoteText"/>
        <w:rPr>
          <w:rFonts w:ascii="Book Antiqua" w:hAnsi="Book Antiqua"/>
        </w:rPr>
      </w:pPr>
      <w:r w:rsidRPr="002E46F2">
        <w:rPr>
          <w:rStyle w:val="FootnoteReference"/>
          <w:rFonts w:ascii="Book Antiqua" w:hAnsi="Book Antiqua"/>
        </w:rPr>
        <w:footnoteRef/>
      </w:r>
      <w:r w:rsidRPr="002E46F2">
        <w:rPr>
          <w:rFonts w:ascii="Book Antiqua" w:hAnsi="Book Antiqua"/>
        </w:rPr>
        <w:t xml:space="preserve"> </w:t>
      </w:r>
      <w:r w:rsidR="00331D65" w:rsidRPr="002E46F2">
        <w:rPr>
          <w:rFonts w:ascii="Book Antiqua" w:hAnsi="Book Antiqua"/>
        </w:rPr>
        <w:tab/>
      </w:r>
      <w:r w:rsidR="00331D65" w:rsidRPr="002E46F2">
        <w:rPr>
          <w:rFonts w:ascii="Book Antiqua" w:hAnsi="Book Antiqua"/>
          <w:i/>
          <w:iCs/>
        </w:rPr>
        <w:t>Íd</w:t>
      </w:r>
      <w:r w:rsidR="00331D65" w:rsidRPr="002E46F2">
        <w:rPr>
          <w:rFonts w:ascii="Book Antiqua" w:hAnsi="Book Antiqua"/>
        </w:rPr>
        <w:t>., pág. 7.</w:t>
      </w:r>
    </w:p>
  </w:footnote>
  <w:footnote w:id="50">
    <w:p w14:paraId="424B6811" w14:textId="23C2EA29" w:rsidR="00546B8D" w:rsidRPr="002E46F2" w:rsidRDefault="00546B8D">
      <w:pPr>
        <w:pStyle w:val="FootnoteText"/>
        <w:rPr>
          <w:rFonts w:ascii="Book Antiqua" w:hAnsi="Book Antiqua"/>
          <w:i/>
          <w:iCs/>
        </w:rPr>
      </w:pPr>
      <w:r w:rsidRPr="002E46F2">
        <w:rPr>
          <w:rStyle w:val="FootnoteReference"/>
          <w:rFonts w:ascii="Book Antiqua" w:hAnsi="Book Antiqua"/>
        </w:rPr>
        <w:footnoteRef/>
      </w:r>
      <w:r w:rsidRPr="002E46F2">
        <w:rPr>
          <w:rFonts w:ascii="Book Antiqua" w:hAnsi="Book Antiqua"/>
        </w:rPr>
        <w:t xml:space="preserve"> </w:t>
      </w:r>
      <w:r w:rsidR="00331D65" w:rsidRPr="002E46F2">
        <w:rPr>
          <w:rFonts w:ascii="Book Antiqua" w:hAnsi="Book Antiqua"/>
        </w:rPr>
        <w:tab/>
      </w:r>
      <w:r w:rsidR="00331D65" w:rsidRPr="002E46F2">
        <w:rPr>
          <w:rFonts w:ascii="Book Antiqua" w:hAnsi="Book Antiqua"/>
          <w:i/>
          <w:iCs/>
        </w:rPr>
        <w:t>Íd.</w:t>
      </w:r>
    </w:p>
  </w:footnote>
  <w:footnote w:id="51">
    <w:p w14:paraId="63609E9B" w14:textId="1CF2CE17" w:rsidR="002E46F2" w:rsidRPr="00C267AE" w:rsidRDefault="002E46F2">
      <w:pPr>
        <w:pStyle w:val="FootnoteText"/>
      </w:pPr>
      <w:r w:rsidRPr="002E46F2">
        <w:rPr>
          <w:rStyle w:val="FootnoteReference"/>
          <w:rFonts w:ascii="Book Antiqua" w:hAnsi="Book Antiqua"/>
        </w:rPr>
        <w:footnoteRef/>
      </w:r>
      <w:r w:rsidRPr="004470A2">
        <w:rPr>
          <w:rFonts w:ascii="Book Antiqua" w:hAnsi="Book Antiqua"/>
        </w:rPr>
        <w:t xml:space="preserve"> </w:t>
      </w:r>
      <w:r w:rsidRPr="004470A2">
        <w:rPr>
          <w:rFonts w:ascii="Book Antiqua" w:hAnsi="Book Antiqua"/>
        </w:rPr>
        <w:tab/>
      </w:r>
      <w:r w:rsidRPr="004470A2">
        <w:rPr>
          <w:rFonts w:ascii="Book Antiqua" w:hAnsi="Book Antiqua"/>
          <w:i/>
          <w:iCs/>
        </w:rPr>
        <w:t>Íd</w:t>
      </w:r>
      <w:r w:rsidRPr="004470A2">
        <w:rPr>
          <w:rFonts w:ascii="Book Antiqua" w:hAnsi="Book Antiqua"/>
        </w:rPr>
        <w:t>., pág. 9.</w:t>
      </w:r>
      <w:r w:rsidRPr="004470A2">
        <w:t xml:space="preserve"> (Escolios omitidos. </w:t>
      </w:r>
      <w:r w:rsidRPr="00C267AE">
        <w:t>Negrillas añadidas).</w:t>
      </w:r>
    </w:p>
  </w:footnote>
  <w:footnote w:id="52">
    <w:p w14:paraId="61CAA0ED" w14:textId="1562CEEB" w:rsidR="00010D4B" w:rsidRPr="0082185F" w:rsidRDefault="00010D4B">
      <w:pPr>
        <w:pStyle w:val="FootnoteText"/>
        <w:rPr>
          <w:rFonts w:ascii="Book Antiqua" w:hAnsi="Book Antiqua"/>
        </w:rPr>
      </w:pPr>
      <w:r w:rsidRPr="0082185F">
        <w:rPr>
          <w:rStyle w:val="FootnoteReference"/>
          <w:rFonts w:ascii="Book Antiqua" w:hAnsi="Book Antiqua"/>
        </w:rPr>
        <w:footnoteRef/>
      </w:r>
      <w:r w:rsidRPr="0082185F">
        <w:rPr>
          <w:rFonts w:ascii="Book Antiqua" w:hAnsi="Book Antiqua"/>
        </w:rPr>
        <w:t xml:space="preserve"> </w:t>
      </w:r>
      <w:r w:rsidR="00C267AE" w:rsidRPr="0082185F">
        <w:rPr>
          <w:rFonts w:ascii="Book Antiqua" w:hAnsi="Book Antiqua"/>
        </w:rPr>
        <w:tab/>
      </w:r>
      <w:r w:rsidR="00C267AE" w:rsidRPr="0082185F">
        <w:rPr>
          <w:rFonts w:ascii="Book Antiqua" w:hAnsi="Book Antiqua"/>
          <w:i/>
          <w:iCs/>
        </w:rPr>
        <w:t>Íd</w:t>
      </w:r>
      <w:r w:rsidR="00C267AE" w:rsidRPr="0082185F">
        <w:rPr>
          <w:rFonts w:ascii="Book Antiqua" w:hAnsi="Book Antiqua"/>
        </w:rPr>
        <w:t xml:space="preserve">., pág. 10. </w:t>
      </w:r>
    </w:p>
  </w:footnote>
  <w:footnote w:id="53">
    <w:p w14:paraId="6D2CF2AF" w14:textId="76800C79" w:rsidR="004A0AC6" w:rsidRPr="0082185F" w:rsidRDefault="004A0AC6">
      <w:pPr>
        <w:pStyle w:val="FootnoteText"/>
        <w:rPr>
          <w:rFonts w:ascii="Book Antiqua" w:hAnsi="Book Antiqua"/>
        </w:rPr>
      </w:pPr>
      <w:r w:rsidRPr="0082185F">
        <w:rPr>
          <w:rStyle w:val="FootnoteReference"/>
          <w:rFonts w:ascii="Book Antiqua" w:hAnsi="Book Antiqua"/>
        </w:rPr>
        <w:footnoteRef/>
      </w:r>
      <w:r w:rsidRPr="0082185F">
        <w:rPr>
          <w:rFonts w:ascii="Book Antiqua" w:hAnsi="Book Antiqua"/>
        </w:rPr>
        <w:t xml:space="preserve"> </w:t>
      </w:r>
      <w:r w:rsidR="00C267AE" w:rsidRPr="0082185F">
        <w:rPr>
          <w:rFonts w:ascii="Book Antiqua" w:hAnsi="Book Antiqua"/>
        </w:rPr>
        <w:tab/>
        <w:t xml:space="preserve">Escuela de Derecho de la Universidad de Puerto Rico, </w:t>
      </w:r>
      <w:r w:rsidR="00C267AE" w:rsidRPr="0082185F">
        <w:rPr>
          <w:rFonts w:ascii="Book Antiqua" w:hAnsi="Book Antiqua"/>
          <w:i/>
          <w:iCs/>
        </w:rPr>
        <w:t>supra</w:t>
      </w:r>
      <w:r w:rsidR="00C267AE" w:rsidRPr="0082185F">
        <w:rPr>
          <w:rFonts w:ascii="Book Antiqua" w:hAnsi="Book Antiqua"/>
        </w:rPr>
        <w:t>, pág. 10.</w:t>
      </w:r>
    </w:p>
  </w:footnote>
  <w:footnote w:id="54">
    <w:p w14:paraId="5E4D3B08" w14:textId="5DB33EB3" w:rsidR="00C267AE" w:rsidRPr="0082185F" w:rsidRDefault="00C267AE">
      <w:pPr>
        <w:pStyle w:val="FootnoteText"/>
        <w:rPr>
          <w:rFonts w:ascii="Book Antiqua" w:hAnsi="Book Antiqua"/>
        </w:rPr>
      </w:pPr>
      <w:r w:rsidRPr="0082185F">
        <w:rPr>
          <w:rStyle w:val="FootnoteReference"/>
          <w:rFonts w:ascii="Book Antiqua" w:hAnsi="Book Antiqua"/>
        </w:rPr>
        <w:footnoteRef/>
      </w:r>
      <w:r w:rsidRPr="0082185F">
        <w:rPr>
          <w:rFonts w:ascii="Book Antiqua" w:hAnsi="Book Antiqua"/>
        </w:rPr>
        <w:t xml:space="preserve"> </w:t>
      </w:r>
      <w:r w:rsidRPr="0082185F">
        <w:rPr>
          <w:rFonts w:ascii="Book Antiqua" w:hAnsi="Book Antiqua"/>
        </w:rPr>
        <w:tab/>
      </w:r>
      <w:r w:rsidRPr="0082185F">
        <w:rPr>
          <w:rFonts w:ascii="Book Antiqua" w:hAnsi="Book Antiqua"/>
          <w:i/>
          <w:iCs/>
        </w:rPr>
        <w:t>Íd</w:t>
      </w:r>
      <w:r w:rsidRPr="0082185F">
        <w:rPr>
          <w:rFonts w:ascii="Book Antiqua" w:hAnsi="Book Antiqua"/>
        </w:rPr>
        <w:t>.</w:t>
      </w:r>
      <w:r w:rsidR="00294733" w:rsidRPr="0082185F">
        <w:rPr>
          <w:rFonts w:ascii="Book Antiqua" w:hAnsi="Book Antiqua"/>
        </w:rPr>
        <w:t>, pág. 11</w:t>
      </w:r>
    </w:p>
  </w:footnote>
  <w:footnote w:id="55">
    <w:p w14:paraId="0B2EB946" w14:textId="3F29996B" w:rsidR="004A0AC6" w:rsidRPr="0082185F" w:rsidRDefault="004A0AC6">
      <w:pPr>
        <w:pStyle w:val="FootnoteText"/>
        <w:rPr>
          <w:rFonts w:ascii="Book Antiqua" w:hAnsi="Book Antiqua"/>
        </w:rPr>
      </w:pPr>
      <w:r w:rsidRPr="0082185F">
        <w:rPr>
          <w:rStyle w:val="FootnoteReference"/>
          <w:rFonts w:ascii="Book Antiqua" w:hAnsi="Book Antiqua"/>
        </w:rPr>
        <w:footnoteRef/>
      </w:r>
      <w:r w:rsidRPr="0082185F">
        <w:rPr>
          <w:rFonts w:ascii="Book Antiqua" w:hAnsi="Book Antiqua"/>
        </w:rPr>
        <w:t xml:space="preserve"> </w:t>
      </w:r>
      <w:r w:rsidR="00294733" w:rsidRPr="0082185F">
        <w:rPr>
          <w:rFonts w:ascii="Book Antiqua" w:hAnsi="Book Antiqua"/>
        </w:rPr>
        <w:tab/>
      </w:r>
      <w:r w:rsidR="00294733" w:rsidRPr="0082185F">
        <w:rPr>
          <w:rFonts w:ascii="Book Antiqua" w:hAnsi="Book Antiqua"/>
          <w:i/>
          <w:iCs/>
        </w:rPr>
        <w:t>Íd</w:t>
      </w:r>
      <w:r w:rsidR="00294733" w:rsidRPr="0082185F">
        <w:rPr>
          <w:rFonts w:ascii="Book Antiqua" w:hAnsi="Book Antiqua"/>
        </w:rPr>
        <w:t>.</w:t>
      </w:r>
    </w:p>
  </w:footnote>
  <w:footnote w:id="56">
    <w:p w14:paraId="4B9537B3" w14:textId="2426C004" w:rsidR="004A0AC6" w:rsidRPr="0082185F" w:rsidRDefault="004A0AC6">
      <w:pPr>
        <w:pStyle w:val="FootnoteText"/>
        <w:rPr>
          <w:rFonts w:ascii="Book Antiqua" w:hAnsi="Book Antiqua"/>
        </w:rPr>
      </w:pPr>
      <w:r w:rsidRPr="0082185F">
        <w:rPr>
          <w:rStyle w:val="FootnoteReference"/>
          <w:rFonts w:ascii="Book Antiqua" w:hAnsi="Book Antiqua"/>
        </w:rPr>
        <w:footnoteRef/>
      </w:r>
      <w:r w:rsidRPr="0082185F">
        <w:rPr>
          <w:rFonts w:ascii="Book Antiqua" w:hAnsi="Book Antiqua"/>
        </w:rPr>
        <w:t xml:space="preserve"> </w:t>
      </w:r>
      <w:r w:rsidR="00C267AE" w:rsidRPr="0082185F">
        <w:rPr>
          <w:rFonts w:ascii="Book Antiqua" w:hAnsi="Book Antiqua"/>
        </w:rPr>
        <w:tab/>
      </w:r>
      <w:r w:rsidR="00C267AE" w:rsidRPr="0082185F">
        <w:rPr>
          <w:rFonts w:ascii="Book Antiqua" w:hAnsi="Book Antiqua"/>
          <w:i/>
          <w:iCs/>
        </w:rPr>
        <w:t>Íd</w:t>
      </w:r>
      <w:r w:rsidR="00C267AE" w:rsidRPr="0082185F">
        <w:rPr>
          <w:rFonts w:ascii="Book Antiqua" w:hAnsi="Book Antiqua"/>
        </w:rPr>
        <w:t>.</w:t>
      </w:r>
    </w:p>
  </w:footnote>
  <w:footnote w:id="57">
    <w:p w14:paraId="54F3AA2B" w14:textId="18381E10" w:rsidR="004A0AC6" w:rsidRPr="0082185F" w:rsidRDefault="004A0AC6">
      <w:pPr>
        <w:pStyle w:val="FootnoteText"/>
        <w:rPr>
          <w:rFonts w:ascii="Book Antiqua" w:hAnsi="Book Antiqua"/>
        </w:rPr>
      </w:pPr>
      <w:r w:rsidRPr="0082185F">
        <w:rPr>
          <w:rStyle w:val="FootnoteReference"/>
          <w:rFonts w:ascii="Book Antiqua" w:hAnsi="Book Antiqua"/>
        </w:rPr>
        <w:footnoteRef/>
      </w:r>
      <w:r w:rsidRPr="0082185F">
        <w:rPr>
          <w:rFonts w:ascii="Book Antiqua" w:hAnsi="Book Antiqua"/>
        </w:rPr>
        <w:t xml:space="preserve"> </w:t>
      </w:r>
      <w:r w:rsidR="0082185F" w:rsidRPr="0082185F">
        <w:rPr>
          <w:rFonts w:ascii="Book Antiqua" w:hAnsi="Book Antiqua"/>
        </w:rPr>
        <w:tab/>
      </w:r>
      <w:r w:rsidR="0082185F" w:rsidRPr="0082185F">
        <w:rPr>
          <w:rFonts w:ascii="Book Antiqua" w:hAnsi="Book Antiqua"/>
          <w:i/>
          <w:iCs/>
        </w:rPr>
        <w:t>Íd</w:t>
      </w:r>
      <w:r w:rsidR="0082185F" w:rsidRPr="0082185F">
        <w:rPr>
          <w:rFonts w:ascii="Book Antiqua" w:hAnsi="Book Antiqua"/>
        </w:rPr>
        <w:t xml:space="preserve">., pág. 13. </w:t>
      </w:r>
    </w:p>
  </w:footnote>
  <w:footnote w:id="58">
    <w:p w14:paraId="4ABE712D" w14:textId="637F5B4E" w:rsidR="0082185F" w:rsidRPr="0082185F" w:rsidRDefault="0082185F">
      <w:pPr>
        <w:pStyle w:val="FootnoteText"/>
        <w:rPr>
          <w:rFonts w:ascii="Book Antiqua" w:hAnsi="Book Antiqua"/>
        </w:rPr>
      </w:pPr>
      <w:r w:rsidRPr="0082185F">
        <w:rPr>
          <w:rStyle w:val="FootnoteReference"/>
          <w:rFonts w:ascii="Book Antiqua" w:hAnsi="Book Antiqua"/>
        </w:rPr>
        <w:footnoteRef/>
      </w:r>
      <w:r w:rsidRPr="0082185F">
        <w:rPr>
          <w:rFonts w:ascii="Book Antiqua" w:hAnsi="Book Antiqua"/>
        </w:rPr>
        <w:t xml:space="preserve"> </w:t>
      </w:r>
      <w:r w:rsidRPr="0082185F">
        <w:rPr>
          <w:rFonts w:ascii="Book Antiqua" w:hAnsi="Book Antiqua"/>
        </w:rPr>
        <w:tab/>
        <w:t xml:space="preserve">Escuela de Derecho de la Universidad de Puerto Rico, </w:t>
      </w:r>
      <w:r w:rsidRPr="0082185F">
        <w:rPr>
          <w:rFonts w:ascii="Book Antiqua" w:hAnsi="Book Antiqua"/>
          <w:i/>
          <w:iCs/>
        </w:rPr>
        <w:t>supra</w:t>
      </w:r>
      <w:r w:rsidRPr="0082185F">
        <w:rPr>
          <w:rFonts w:ascii="Book Antiqua" w:hAnsi="Book Antiqua"/>
        </w:rPr>
        <w:t>, pág. 13.</w:t>
      </w:r>
    </w:p>
  </w:footnote>
  <w:footnote w:id="59">
    <w:p w14:paraId="5AADFF52" w14:textId="4F5F9D2F" w:rsidR="004A0AC6" w:rsidRPr="0082185F" w:rsidRDefault="004A0AC6">
      <w:pPr>
        <w:pStyle w:val="FootnoteText"/>
        <w:rPr>
          <w:rFonts w:ascii="Book Antiqua" w:hAnsi="Book Antiqua"/>
        </w:rPr>
      </w:pPr>
      <w:r w:rsidRPr="0082185F">
        <w:rPr>
          <w:rStyle w:val="FootnoteReference"/>
          <w:rFonts w:ascii="Book Antiqua" w:hAnsi="Book Antiqua"/>
        </w:rPr>
        <w:footnoteRef/>
      </w:r>
      <w:r w:rsidRPr="0082185F">
        <w:rPr>
          <w:rFonts w:ascii="Book Antiqua" w:hAnsi="Book Antiqua"/>
        </w:rPr>
        <w:t xml:space="preserve"> </w:t>
      </w:r>
      <w:r w:rsidR="0082185F">
        <w:rPr>
          <w:rFonts w:ascii="Book Antiqua" w:hAnsi="Book Antiqua"/>
        </w:rPr>
        <w:tab/>
      </w:r>
      <w:r w:rsidR="0082185F" w:rsidRPr="0082185F">
        <w:rPr>
          <w:rFonts w:ascii="Book Antiqua" w:hAnsi="Book Antiqua"/>
          <w:i/>
          <w:iCs/>
        </w:rPr>
        <w:t>Íd</w:t>
      </w:r>
      <w:r w:rsidR="0082185F">
        <w:rPr>
          <w:rFonts w:ascii="Book Antiqua" w:hAnsi="Book Antiqua"/>
        </w:rPr>
        <w:t>.</w:t>
      </w:r>
    </w:p>
  </w:footnote>
  <w:footnote w:id="60">
    <w:p w14:paraId="7962270C" w14:textId="07D3375B" w:rsidR="004A0AC6" w:rsidRPr="00504A43" w:rsidRDefault="004A0AC6">
      <w:pPr>
        <w:pStyle w:val="FootnoteText"/>
        <w:rPr>
          <w:rFonts w:ascii="Book Antiqua" w:hAnsi="Book Antiqua"/>
        </w:rPr>
      </w:pPr>
      <w:r w:rsidRPr="0082185F">
        <w:rPr>
          <w:rStyle w:val="FootnoteReference"/>
          <w:rFonts w:ascii="Book Antiqua" w:hAnsi="Book Antiqua"/>
        </w:rPr>
        <w:footnoteRef/>
      </w:r>
      <w:r w:rsidRPr="00504A43">
        <w:rPr>
          <w:rFonts w:ascii="Book Antiqua" w:hAnsi="Book Antiqua"/>
        </w:rPr>
        <w:t xml:space="preserve"> </w:t>
      </w:r>
      <w:r w:rsidR="0082185F" w:rsidRPr="00504A43">
        <w:rPr>
          <w:rFonts w:ascii="Book Antiqua" w:hAnsi="Book Antiqua"/>
        </w:rPr>
        <w:tab/>
      </w:r>
      <w:r w:rsidR="0082185F" w:rsidRPr="00504A43">
        <w:rPr>
          <w:rFonts w:ascii="Book Antiqua" w:hAnsi="Book Antiqua"/>
          <w:i/>
          <w:iCs/>
        </w:rPr>
        <w:t>Íd</w:t>
      </w:r>
      <w:r w:rsidR="0082185F" w:rsidRPr="00504A43">
        <w:rPr>
          <w:rFonts w:ascii="Book Antiqua" w:hAnsi="Book Antiqua"/>
        </w:rPr>
        <w:t>., pág. 14.</w:t>
      </w:r>
    </w:p>
  </w:footnote>
  <w:footnote w:id="61">
    <w:p w14:paraId="15435D18" w14:textId="6C90C239" w:rsidR="004A0AC6" w:rsidRPr="006F5D38" w:rsidRDefault="004A0AC6" w:rsidP="006F5D38">
      <w:pPr>
        <w:pStyle w:val="FootnoteText"/>
        <w:ind w:left="720" w:hanging="720"/>
        <w:rPr>
          <w:rFonts w:ascii="Book Antiqua" w:hAnsi="Book Antiqua"/>
        </w:rPr>
      </w:pPr>
      <w:r w:rsidRPr="006F5D38">
        <w:rPr>
          <w:rStyle w:val="FootnoteReference"/>
          <w:rFonts w:ascii="Book Antiqua" w:hAnsi="Book Antiqua"/>
        </w:rPr>
        <w:footnoteRef/>
      </w:r>
      <w:r w:rsidRPr="006F5D38">
        <w:rPr>
          <w:rFonts w:ascii="Book Antiqua" w:hAnsi="Book Antiqua"/>
        </w:rPr>
        <w:t xml:space="preserve"> </w:t>
      </w:r>
      <w:r w:rsidR="0082185F" w:rsidRPr="006F5D38">
        <w:rPr>
          <w:rFonts w:ascii="Book Antiqua" w:hAnsi="Book Antiqua"/>
        </w:rPr>
        <w:tab/>
      </w:r>
      <w:r w:rsidR="0082185F" w:rsidRPr="006F5D38">
        <w:rPr>
          <w:rFonts w:ascii="Book Antiqua" w:hAnsi="Book Antiqua"/>
          <w:i/>
          <w:iCs/>
        </w:rPr>
        <w:t>Íd</w:t>
      </w:r>
      <w:r w:rsidR="0082185F" w:rsidRPr="006F5D38">
        <w:rPr>
          <w:rFonts w:ascii="Book Antiqua" w:hAnsi="Book Antiqua"/>
        </w:rPr>
        <w:t>.</w:t>
      </w:r>
    </w:p>
  </w:footnote>
  <w:footnote w:id="62">
    <w:p w14:paraId="2D627997" w14:textId="7D88CC7C" w:rsidR="00504A43" w:rsidRPr="006F5D38" w:rsidRDefault="00504A43" w:rsidP="006F5D38">
      <w:pPr>
        <w:pStyle w:val="FootnoteText"/>
        <w:ind w:left="720" w:hanging="720"/>
        <w:rPr>
          <w:rFonts w:ascii="Book Antiqua" w:hAnsi="Book Antiqua"/>
        </w:rPr>
      </w:pPr>
      <w:r w:rsidRPr="006F5D38">
        <w:rPr>
          <w:rStyle w:val="FootnoteReference"/>
          <w:rFonts w:ascii="Book Antiqua" w:hAnsi="Book Antiqua"/>
        </w:rPr>
        <w:footnoteRef/>
      </w:r>
      <w:r w:rsidRPr="006F5D38">
        <w:rPr>
          <w:rFonts w:ascii="Book Antiqua" w:hAnsi="Book Antiqua"/>
        </w:rPr>
        <w:t xml:space="preserve"> </w:t>
      </w:r>
      <w:r w:rsidRPr="006F5D38">
        <w:rPr>
          <w:rFonts w:ascii="Book Antiqua" w:hAnsi="Book Antiqua"/>
        </w:rPr>
        <w:tab/>
      </w:r>
      <w:r w:rsidRPr="006F5D38">
        <w:rPr>
          <w:rFonts w:ascii="Book Antiqua" w:hAnsi="Book Antiqua"/>
          <w:i/>
          <w:iCs/>
        </w:rPr>
        <w:t>Íd</w:t>
      </w:r>
      <w:r w:rsidRPr="006F5D38">
        <w:rPr>
          <w:rFonts w:ascii="Book Antiqua" w:hAnsi="Book Antiqua"/>
        </w:rPr>
        <w:t xml:space="preserve">., pág. 16. </w:t>
      </w:r>
    </w:p>
  </w:footnote>
  <w:footnote w:id="63">
    <w:p w14:paraId="434338C2" w14:textId="12A03409" w:rsidR="00504A43" w:rsidRPr="006F5D38" w:rsidRDefault="00504A43" w:rsidP="006F5D38">
      <w:pPr>
        <w:pStyle w:val="FootnoteText"/>
        <w:ind w:left="720" w:hanging="720"/>
        <w:rPr>
          <w:rFonts w:ascii="Book Antiqua" w:hAnsi="Book Antiqua"/>
        </w:rPr>
      </w:pPr>
      <w:r w:rsidRPr="006F5D38">
        <w:rPr>
          <w:rStyle w:val="FootnoteReference"/>
          <w:rFonts w:ascii="Book Antiqua" w:hAnsi="Book Antiqua"/>
        </w:rPr>
        <w:footnoteRef/>
      </w:r>
      <w:r w:rsidRPr="006F5D38">
        <w:rPr>
          <w:rFonts w:ascii="Book Antiqua" w:hAnsi="Book Antiqua"/>
        </w:rPr>
        <w:t xml:space="preserve"> </w:t>
      </w:r>
      <w:r w:rsidRPr="006F5D38">
        <w:rPr>
          <w:rFonts w:ascii="Book Antiqua" w:hAnsi="Book Antiqua"/>
        </w:rPr>
        <w:tab/>
        <w:t xml:space="preserve">Escuela de Derecho de la Universidad de Puerto Rico, </w:t>
      </w:r>
      <w:r w:rsidRPr="006F5D38">
        <w:rPr>
          <w:rFonts w:ascii="Book Antiqua" w:hAnsi="Book Antiqua"/>
          <w:i/>
          <w:iCs/>
        </w:rPr>
        <w:t>supra</w:t>
      </w:r>
      <w:r w:rsidRPr="006F5D38">
        <w:rPr>
          <w:rFonts w:ascii="Book Antiqua" w:hAnsi="Book Antiqua"/>
        </w:rPr>
        <w:t>, pág. 16.</w:t>
      </w:r>
    </w:p>
  </w:footnote>
  <w:footnote w:id="64">
    <w:p w14:paraId="72AB3002" w14:textId="5B99F31E" w:rsidR="00A94D6C" w:rsidRPr="006F5D38" w:rsidRDefault="00A94D6C" w:rsidP="006F5D38">
      <w:pPr>
        <w:pStyle w:val="FootnoteText"/>
        <w:ind w:left="720" w:hanging="720"/>
        <w:rPr>
          <w:rFonts w:ascii="Book Antiqua" w:hAnsi="Book Antiqua"/>
        </w:rPr>
      </w:pPr>
      <w:r w:rsidRPr="006F5D38">
        <w:rPr>
          <w:rStyle w:val="FootnoteReference"/>
          <w:rFonts w:ascii="Book Antiqua" w:hAnsi="Book Antiqua"/>
        </w:rPr>
        <w:footnoteRef/>
      </w:r>
      <w:r w:rsidRPr="006F5D38">
        <w:rPr>
          <w:rFonts w:ascii="Book Antiqua" w:hAnsi="Book Antiqua"/>
        </w:rPr>
        <w:t xml:space="preserve"> </w:t>
      </w:r>
      <w:r w:rsidR="00655F52" w:rsidRPr="006F5D38">
        <w:rPr>
          <w:rFonts w:ascii="Book Antiqua" w:hAnsi="Book Antiqua"/>
        </w:rPr>
        <w:tab/>
        <w:t xml:space="preserve">Pontificia Universidad Católica de Puerto Rico [Prof. Manuel Izquierdo Encarnación], </w:t>
      </w:r>
      <w:r w:rsidR="00655F52" w:rsidRPr="006F5D38">
        <w:rPr>
          <w:rFonts w:ascii="Book Antiqua" w:hAnsi="Book Antiqua"/>
          <w:i/>
          <w:iCs/>
        </w:rPr>
        <w:t>Re: Proyecto de Ley P. de la C. 1080</w:t>
      </w:r>
      <w:r w:rsidR="006F5D38" w:rsidRPr="006F5D38">
        <w:rPr>
          <w:rFonts w:ascii="Book Antiqua" w:hAnsi="Book Antiqua"/>
        </w:rPr>
        <w:t xml:space="preserve">, págs. 1-2 (5 de marzo de 2026). </w:t>
      </w:r>
    </w:p>
  </w:footnote>
  <w:footnote w:id="65">
    <w:p w14:paraId="31FE1BF4" w14:textId="49482A6B" w:rsidR="00380CE0" w:rsidRPr="006F5D38" w:rsidRDefault="00380CE0" w:rsidP="006F5D38">
      <w:pPr>
        <w:pStyle w:val="FootnoteText"/>
        <w:ind w:left="720" w:hanging="720"/>
        <w:rPr>
          <w:rFonts w:ascii="Book Antiqua" w:hAnsi="Book Antiqua"/>
        </w:rPr>
      </w:pPr>
      <w:r w:rsidRPr="006F5D38">
        <w:rPr>
          <w:rStyle w:val="FootnoteReference"/>
          <w:rFonts w:ascii="Book Antiqua" w:hAnsi="Book Antiqua"/>
        </w:rPr>
        <w:footnoteRef/>
      </w:r>
      <w:r w:rsidRPr="006F5D38">
        <w:rPr>
          <w:rFonts w:ascii="Book Antiqua" w:hAnsi="Book Antiqua"/>
        </w:rPr>
        <w:t xml:space="preserve"> </w:t>
      </w:r>
      <w:r w:rsidR="006F5D38">
        <w:rPr>
          <w:rFonts w:ascii="Book Antiqua" w:hAnsi="Book Antiqua"/>
        </w:rPr>
        <w:tab/>
      </w:r>
      <w:r w:rsidR="006F5D38" w:rsidRPr="006F5D38">
        <w:rPr>
          <w:rFonts w:ascii="Book Antiqua" w:hAnsi="Book Antiqua"/>
          <w:i/>
          <w:iCs/>
        </w:rPr>
        <w:t>Íd</w:t>
      </w:r>
      <w:r w:rsidR="006F5D38">
        <w:rPr>
          <w:rFonts w:ascii="Book Antiqua" w:hAnsi="Book Antiqua"/>
        </w:rPr>
        <w:t xml:space="preserve">., pág. 2. </w:t>
      </w:r>
    </w:p>
  </w:footnote>
  <w:footnote w:id="66">
    <w:p w14:paraId="69E76CBA" w14:textId="5BBEA1E0" w:rsidR="00A94D6C" w:rsidRPr="006F5D38" w:rsidRDefault="00A94D6C" w:rsidP="006F5D38">
      <w:pPr>
        <w:pStyle w:val="FootnoteText"/>
        <w:ind w:left="720" w:hanging="720"/>
        <w:rPr>
          <w:rFonts w:ascii="Book Antiqua" w:hAnsi="Book Antiqua"/>
        </w:rPr>
      </w:pPr>
      <w:r w:rsidRPr="006F5D38">
        <w:rPr>
          <w:rStyle w:val="FootnoteReference"/>
          <w:rFonts w:ascii="Book Antiqua" w:hAnsi="Book Antiqua"/>
        </w:rPr>
        <w:footnoteRef/>
      </w:r>
      <w:r w:rsidRPr="006F5D38">
        <w:rPr>
          <w:rFonts w:ascii="Book Antiqua" w:hAnsi="Book Antiqua"/>
        </w:rPr>
        <w:t xml:space="preserve"> </w:t>
      </w:r>
      <w:r w:rsidR="006F5D38">
        <w:rPr>
          <w:rFonts w:ascii="Book Antiqua" w:hAnsi="Book Antiqua"/>
        </w:rPr>
        <w:tab/>
      </w:r>
      <w:r w:rsidR="006F5D38" w:rsidRPr="006F5D38">
        <w:rPr>
          <w:rFonts w:ascii="Book Antiqua" w:hAnsi="Book Antiqua"/>
          <w:i/>
          <w:iCs/>
        </w:rPr>
        <w:t>Íd</w:t>
      </w:r>
      <w:r w:rsidR="006F5D38">
        <w:rPr>
          <w:rFonts w:ascii="Book Antiqua" w:hAnsi="Book Antiqua"/>
        </w:rPr>
        <w:t xml:space="preserve">., pág. 3. </w:t>
      </w:r>
    </w:p>
  </w:footnote>
  <w:footnote w:id="67">
    <w:p w14:paraId="4AE609E5" w14:textId="3AE1129C" w:rsidR="00A94D6C" w:rsidRPr="00331D65" w:rsidRDefault="00A94D6C" w:rsidP="006F5D38">
      <w:pPr>
        <w:pStyle w:val="FootnoteText"/>
        <w:ind w:left="720" w:hanging="720"/>
        <w:rPr>
          <w:rFonts w:ascii="Book Antiqua" w:hAnsi="Book Antiqua"/>
        </w:rPr>
      </w:pPr>
      <w:r w:rsidRPr="006F5D38">
        <w:rPr>
          <w:rStyle w:val="FootnoteReference"/>
          <w:rFonts w:ascii="Book Antiqua" w:hAnsi="Book Antiqua"/>
        </w:rPr>
        <w:footnoteRef/>
      </w:r>
      <w:r w:rsidRPr="00331D65">
        <w:rPr>
          <w:rFonts w:ascii="Book Antiqua" w:hAnsi="Book Antiqua"/>
        </w:rPr>
        <w:t xml:space="preserve"> </w:t>
      </w:r>
      <w:r w:rsidR="006F5D38">
        <w:rPr>
          <w:rFonts w:ascii="Book Antiqua" w:hAnsi="Book Antiqua"/>
        </w:rPr>
        <w:tab/>
      </w:r>
      <w:r w:rsidR="006F5D38" w:rsidRPr="006F5D38">
        <w:rPr>
          <w:rFonts w:ascii="Book Antiqua" w:hAnsi="Book Antiqua"/>
          <w:i/>
          <w:iCs/>
        </w:rPr>
        <w:t>Íd</w:t>
      </w:r>
      <w:r w:rsidR="006F5D38">
        <w:rPr>
          <w:rFonts w:ascii="Book Antiqua" w:hAnsi="Book Antiqua"/>
        </w:rPr>
        <w:t>.</w:t>
      </w:r>
    </w:p>
  </w:footnote>
  <w:footnote w:id="68">
    <w:p w14:paraId="1F518AAB" w14:textId="3654B550" w:rsidR="00380CE0" w:rsidRPr="002F48BC" w:rsidRDefault="00380CE0" w:rsidP="002F48BC">
      <w:pPr>
        <w:pStyle w:val="FootnoteText"/>
        <w:ind w:left="720" w:hanging="720"/>
        <w:rPr>
          <w:rFonts w:ascii="Book Antiqua" w:hAnsi="Book Antiqua"/>
        </w:rPr>
      </w:pPr>
      <w:r w:rsidRPr="002F48BC">
        <w:rPr>
          <w:rStyle w:val="FootnoteReference"/>
          <w:rFonts w:ascii="Book Antiqua" w:hAnsi="Book Antiqua"/>
        </w:rPr>
        <w:footnoteRef/>
      </w:r>
      <w:r w:rsidRPr="002F48BC">
        <w:rPr>
          <w:rFonts w:ascii="Book Antiqua" w:hAnsi="Book Antiqua"/>
        </w:rPr>
        <w:t xml:space="preserve"> </w:t>
      </w:r>
      <w:r w:rsidR="00915E71" w:rsidRPr="002F48BC">
        <w:rPr>
          <w:rFonts w:ascii="Book Antiqua" w:hAnsi="Book Antiqua"/>
        </w:rPr>
        <w:tab/>
        <w:t xml:space="preserve">Pontificia Universidad Católica de Puerto Rico, </w:t>
      </w:r>
      <w:r w:rsidR="00915E71" w:rsidRPr="002F48BC">
        <w:rPr>
          <w:rFonts w:ascii="Book Antiqua" w:hAnsi="Book Antiqua"/>
          <w:i/>
          <w:iCs/>
        </w:rPr>
        <w:t>Comentarios al P[.] de la C[.] 1080 del Profesor Javier Echevarría Vargas</w:t>
      </w:r>
      <w:r w:rsidR="00915E71" w:rsidRPr="002F48BC">
        <w:rPr>
          <w:rFonts w:ascii="Book Antiqua" w:hAnsi="Book Antiqua"/>
        </w:rPr>
        <w:t>, pág. 1 (6 de marzo de 2026).</w:t>
      </w:r>
    </w:p>
  </w:footnote>
  <w:footnote w:id="69">
    <w:p w14:paraId="40CB6C29" w14:textId="6129FE06" w:rsidR="00380CE0" w:rsidRPr="002F48BC" w:rsidRDefault="00380CE0" w:rsidP="002F48BC">
      <w:pPr>
        <w:pStyle w:val="FootnoteText"/>
        <w:ind w:left="720" w:hanging="720"/>
        <w:rPr>
          <w:rFonts w:ascii="Book Antiqua" w:hAnsi="Book Antiqua"/>
        </w:rPr>
      </w:pPr>
      <w:r w:rsidRPr="002F48BC">
        <w:rPr>
          <w:rStyle w:val="FootnoteReference"/>
          <w:rFonts w:ascii="Book Antiqua" w:hAnsi="Book Antiqua"/>
        </w:rPr>
        <w:footnoteRef/>
      </w:r>
      <w:r w:rsidRPr="002F48BC">
        <w:rPr>
          <w:rFonts w:ascii="Book Antiqua" w:hAnsi="Book Antiqua"/>
        </w:rPr>
        <w:t xml:space="preserve"> </w:t>
      </w:r>
      <w:r w:rsidR="00915E71" w:rsidRPr="002F48BC">
        <w:rPr>
          <w:rFonts w:ascii="Book Antiqua" w:hAnsi="Book Antiqua"/>
        </w:rPr>
        <w:tab/>
      </w:r>
      <w:r w:rsidR="00915E71" w:rsidRPr="002F48BC">
        <w:rPr>
          <w:rFonts w:ascii="Book Antiqua" w:hAnsi="Book Antiqua"/>
          <w:i/>
          <w:iCs/>
        </w:rPr>
        <w:t>Íd</w:t>
      </w:r>
      <w:r w:rsidR="00915E71" w:rsidRPr="002F48BC">
        <w:rPr>
          <w:rFonts w:ascii="Book Antiqua" w:hAnsi="Book Antiqua"/>
        </w:rPr>
        <w:t>.</w:t>
      </w:r>
    </w:p>
  </w:footnote>
  <w:footnote w:id="70">
    <w:p w14:paraId="6842847F" w14:textId="57815505" w:rsidR="00380CE0" w:rsidRPr="002F48BC" w:rsidRDefault="00380CE0" w:rsidP="002F48BC">
      <w:pPr>
        <w:pStyle w:val="FootnoteText"/>
        <w:ind w:left="720" w:hanging="720"/>
        <w:rPr>
          <w:rFonts w:ascii="Book Antiqua" w:hAnsi="Book Antiqua"/>
        </w:rPr>
      </w:pPr>
      <w:r w:rsidRPr="002F48BC">
        <w:rPr>
          <w:rStyle w:val="FootnoteReference"/>
          <w:rFonts w:ascii="Book Antiqua" w:hAnsi="Book Antiqua"/>
        </w:rPr>
        <w:footnoteRef/>
      </w:r>
      <w:r w:rsidRPr="002F48BC">
        <w:rPr>
          <w:rFonts w:ascii="Book Antiqua" w:hAnsi="Book Antiqua"/>
        </w:rPr>
        <w:t xml:space="preserve"> </w:t>
      </w:r>
      <w:r w:rsidR="00915E71" w:rsidRPr="002F48BC">
        <w:rPr>
          <w:rFonts w:ascii="Book Antiqua" w:hAnsi="Book Antiqua"/>
        </w:rPr>
        <w:tab/>
      </w:r>
      <w:r w:rsidR="00915E71" w:rsidRPr="002F48BC">
        <w:rPr>
          <w:rFonts w:ascii="Book Antiqua" w:hAnsi="Book Antiqua"/>
          <w:i/>
          <w:iCs/>
        </w:rPr>
        <w:t>Íd</w:t>
      </w:r>
      <w:r w:rsidR="00915E71" w:rsidRPr="002F48BC">
        <w:rPr>
          <w:rFonts w:ascii="Book Antiqua" w:hAnsi="Book Antiqua"/>
        </w:rPr>
        <w:t>.</w:t>
      </w:r>
    </w:p>
  </w:footnote>
  <w:footnote w:id="71">
    <w:p w14:paraId="1A87779E" w14:textId="76EF8511" w:rsidR="005F79B8" w:rsidRPr="002F48BC" w:rsidRDefault="005F79B8" w:rsidP="002F48BC">
      <w:pPr>
        <w:pStyle w:val="FootnoteText"/>
        <w:ind w:left="720" w:hanging="720"/>
        <w:jc w:val="both"/>
        <w:rPr>
          <w:rFonts w:ascii="Book Antiqua" w:hAnsi="Book Antiqua"/>
        </w:rPr>
      </w:pPr>
      <w:r w:rsidRPr="002F48BC">
        <w:rPr>
          <w:rStyle w:val="FootnoteReference"/>
          <w:rFonts w:ascii="Book Antiqua" w:hAnsi="Book Antiqua"/>
        </w:rPr>
        <w:footnoteRef/>
      </w:r>
      <w:r w:rsidRPr="002F48BC">
        <w:rPr>
          <w:rFonts w:ascii="Book Antiqua" w:hAnsi="Book Antiqua"/>
        </w:rPr>
        <w:t xml:space="preserve"> </w:t>
      </w:r>
      <w:r w:rsidR="001752A9" w:rsidRPr="002F48BC">
        <w:rPr>
          <w:rFonts w:ascii="Book Antiqua" w:hAnsi="Book Antiqua"/>
        </w:rPr>
        <w:tab/>
      </w:r>
      <w:r w:rsidR="00915E71" w:rsidRPr="002F48BC">
        <w:rPr>
          <w:rFonts w:ascii="Book Antiqua" w:hAnsi="Book Antiqua"/>
        </w:rPr>
        <w:t xml:space="preserve">Ley Núm. </w:t>
      </w:r>
      <w:r w:rsidR="00915E71" w:rsidRPr="002F48BC">
        <w:rPr>
          <w:rFonts w:ascii="Book Antiqua" w:eastAsia="Times New Roman" w:hAnsi="Book Antiqua" w:cs="Times New Roman"/>
          <w:bCs/>
          <w:kern w:val="0"/>
          <w14:ligatures w14:val="none"/>
        </w:rPr>
        <w:t>170 de 12 de agosto de 1988</w:t>
      </w:r>
      <w:r w:rsidR="001752A9" w:rsidRPr="002F48BC">
        <w:rPr>
          <w:rFonts w:ascii="Book Antiqua" w:eastAsia="Times New Roman" w:hAnsi="Book Antiqua" w:cs="Times New Roman"/>
          <w:bCs/>
          <w:kern w:val="0"/>
          <w14:ligatures w14:val="none"/>
        </w:rPr>
        <w:t xml:space="preserve">, según enmendada, conocida como </w:t>
      </w:r>
      <w:r w:rsidR="001752A9" w:rsidRPr="002F48BC">
        <w:rPr>
          <w:rFonts w:ascii="Book Antiqua" w:eastAsia="Times New Roman" w:hAnsi="Book Antiqua" w:cs="Times New Roman"/>
          <w:bCs/>
          <w:i/>
          <w:iCs/>
          <w:kern w:val="0"/>
          <w14:ligatures w14:val="none"/>
        </w:rPr>
        <w:t>Ley de Procedimiento Administrativo Uniforme del Estado Libre Asociado de Puerto Rico</w:t>
      </w:r>
      <w:r w:rsidR="001752A9" w:rsidRPr="002F48BC">
        <w:rPr>
          <w:rFonts w:ascii="Book Antiqua" w:eastAsia="Times New Roman" w:hAnsi="Book Antiqua" w:cs="Times New Roman"/>
          <w:bCs/>
          <w:kern w:val="0"/>
          <w14:ligatures w14:val="none"/>
        </w:rPr>
        <w:t xml:space="preserve">, </w:t>
      </w:r>
      <w:r w:rsidR="00915E71" w:rsidRPr="002F48BC">
        <w:rPr>
          <w:rFonts w:ascii="Book Antiqua" w:eastAsia="Times New Roman" w:hAnsi="Book Antiqua" w:cs="Times New Roman"/>
          <w:bCs/>
          <w:kern w:val="0"/>
          <w14:ligatures w14:val="none"/>
        </w:rPr>
        <w:t xml:space="preserve">3 LPRA sec. 2101 </w:t>
      </w:r>
      <w:r w:rsidR="00915E71" w:rsidRPr="002F48BC">
        <w:rPr>
          <w:rFonts w:ascii="Book Antiqua" w:eastAsia="Times New Roman" w:hAnsi="Book Antiqua" w:cs="Times New Roman"/>
          <w:bCs/>
          <w:i/>
          <w:iCs/>
          <w:kern w:val="0"/>
          <w14:ligatures w14:val="none"/>
        </w:rPr>
        <w:t>et seq.</w:t>
      </w:r>
      <w:r w:rsidR="00915E71" w:rsidRPr="002F48BC">
        <w:rPr>
          <w:rFonts w:ascii="Book Antiqua" w:eastAsia="Times New Roman" w:hAnsi="Book Antiqua" w:cs="Times New Roman"/>
          <w:bCs/>
          <w:kern w:val="0"/>
          <w14:ligatures w14:val="none"/>
        </w:rPr>
        <w:t xml:space="preserve"> (derogada). </w:t>
      </w:r>
    </w:p>
  </w:footnote>
  <w:footnote w:id="72">
    <w:p w14:paraId="2EA7ED9E" w14:textId="4C5D9EB9" w:rsidR="00380CE0" w:rsidRPr="00B5572D" w:rsidRDefault="00380CE0" w:rsidP="002F48BC">
      <w:pPr>
        <w:pStyle w:val="FootnoteText"/>
        <w:ind w:left="720" w:hanging="720"/>
        <w:rPr>
          <w:rFonts w:ascii="Book Antiqua" w:hAnsi="Book Antiqua"/>
        </w:rPr>
      </w:pPr>
      <w:r w:rsidRPr="002F48BC">
        <w:rPr>
          <w:rStyle w:val="FootnoteReference"/>
          <w:rFonts w:ascii="Book Antiqua" w:hAnsi="Book Antiqua"/>
        </w:rPr>
        <w:footnoteRef/>
      </w:r>
      <w:r w:rsidRPr="002F48BC">
        <w:rPr>
          <w:rFonts w:ascii="Book Antiqua" w:hAnsi="Book Antiqua"/>
        </w:rPr>
        <w:t xml:space="preserve"> </w:t>
      </w:r>
      <w:r w:rsidR="002F48BC" w:rsidRPr="002F48BC">
        <w:rPr>
          <w:rFonts w:ascii="Book Antiqua" w:hAnsi="Book Antiqua"/>
        </w:rPr>
        <w:tab/>
        <w:t xml:space="preserve">Pontificia Universidad Católica de Puerto Rico, </w:t>
      </w:r>
      <w:r w:rsidR="002F48BC" w:rsidRPr="002F48BC">
        <w:rPr>
          <w:rFonts w:ascii="Book Antiqua" w:hAnsi="Book Antiqua"/>
          <w:i/>
          <w:iCs/>
        </w:rPr>
        <w:t xml:space="preserve">Comentarios al P[.] de la C[.] 1080 del Profesor Javier </w:t>
      </w:r>
      <w:r w:rsidR="002F48BC" w:rsidRPr="00B5572D">
        <w:rPr>
          <w:rFonts w:ascii="Book Antiqua" w:hAnsi="Book Antiqua"/>
          <w:i/>
          <w:iCs/>
        </w:rPr>
        <w:t>Echevarría Vargas</w:t>
      </w:r>
      <w:r w:rsidR="002F48BC" w:rsidRPr="00B5572D">
        <w:rPr>
          <w:rFonts w:ascii="Book Antiqua" w:hAnsi="Book Antiqua"/>
        </w:rPr>
        <w:t xml:space="preserve">, </w:t>
      </w:r>
      <w:r w:rsidR="002F48BC" w:rsidRPr="00B5572D">
        <w:rPr>
          <w:rFonts w:ascii="Book Antiqua" w:hAnsi="Book Antiqua"/>
          <w:i/>
          <w:iCs/>
        </w:rPr>
        <w:t>supra</w:t>
      </w:r>
      <w:r w:rsidR="002F48BC" w:rsidRPr="00B5572D">
        <w:rPr>
          <w:rFonts w:ascii="Book Antiqua" w:hAnsi="Book Antiqua"/>
        </w:rPr>
        <w:t>, pág. 2.</w:t>
      </w:r>
    </w:p>
  </w:footnote>
  <w:footnote w:id="73">
    <w:p w14:paraId="4E073A9A" w14:textId="04742F5B" w:rsidR="002F48BC" w:rsidRPr="00B5572D" w:rsidRDefault="002F48BC">
      <w:pPr>
        <w:pStyle w:val="FootnoteText"/>
        <w:rPr>
          <w:rFonts w:ascii="Book Antiqua" w:hAnsi="Book Antiqua"/>
        </w:rPr>
      </w:pPr>
      <w:r w:rsidRPr="00B5572D">
        <w:rPr>
          <w:rStyle w:val="FootnoteReference"/>
          <w:rFonts w:ascii="Book Antiqua" w:hAnsi="Book Antiqua"/>
        </w:rPr>
        <w:footnoteRef/>
      </w:r>
      <w:r w:rsidRPr="00B5572D">
        <w:rPr>
          <w:rFonts w:ascii="Book Antiqua" w:hAnsi="Book Antiqua"/>
        </w:rPr>
        <w:t xml:space="preserve"> </w:t>
      </w:r>
      <w:r w:rsidRPr="00B5572D">
        <w:rPr>
          <w:rFonts w:ascii="Book Antiqua" w:hAnsi="Book Antiqua"/>
        </w:rPr>
        <w:tab/>
      </w:r>
      <w:r w:rsidRPr="00B5572D">
        <w:rPr>
          <w:rFonts w:ascii="Book Antiqua" w:hAnsi="Book Antiqua"/>
          <w:i/>
          <w:iCs/>
        </w:rPr>
        <w:t>Íd</w:t>
      </w:r>
      <w:r w:rsidRPr="00B5572D">
        <w:rPr>
          <w:rFonts w:ascii="Book Antiqua" w:hAnsi="Book Antiqua"/>
        </w:rPr>
        <w:t>.</w:t>
      </w:r>
    </w:p>
  </w:footnote>
  <w:footnote w:id="74">
    <w:p w14:paraId="003D8F03" w14:textId="7612140C" w:rsidR="00380CE0" w:rsidRPr="00331D65" w:rsidRDefault="00380CE0" w:rsidP="002F48BC">
      <w:pPr>
        <w:pStyle w:val="FootnoteText"/>
        <w:ind w:left="720" w:hanging="720"/>
        <w:rPr>
          <w:rFonts w:ascii="Book Antiqua" w:hAnsi="Book Antiqua"/>
        </w:rPr>
      </w:pPr>
      <w:r w:rsidRPr="00B5572D">
        <w:rPr>
          <w:rStyle w:val="FootnoteReference"/>
          <w:rFonts w:ascii="Book Antiqua" w:hAnsi="Book Antiqua"/>
        </w:rPr>
        <w:footnoteRef/>
      </w:r>
      <w:r w:rsidRPr="00B5572D">
        <w:rPr>
          <w:rFonts w:ascii="Book Antiqua" w:hAnsi="Book Antiqua"/>
        </w:rPr>
        <w:t xml:space="preserve"> </w:t>
      </w:r>
      <w:r w:rsidR="002F48BC" w:rsidRPr="00B5572D">
        <w:rPr>
          <w:rFonts w:ascii="Book Antiqua" w:hAnsi="Book Antiqua"/>
        </w:rPr>
        <w:tab/>
      </w:r>
      <w:r w:rsidR="002F48BC" w:rsidRPr="00B5572D">
        <w:rPr>
          <w:rFonts w:ascii="Book Antiqua" w:hAnsi="Book Antiqua"/>
          <w:i/>
          <w:iCs/>
        </w:rPr>
        <w:t>Íd</w:t>
      </w:r>
      <w:r w:rsidR="002F48BC" w:rsidRPr="00B5572D">
        <w:rPr>
          <w:rFonts w:ascii="Book Antiqua" w:hAnsi="Book Antiqua"/>
        </w:rPr>
        <w:t>.</w:t>
      </w:r>
    </w:p>
  </w:footnote>
  <w:footnote w:id="75">
    <w:p w14:paraId="665A6764" w14:textId="16CD4DBA" w:rsidR="00380CE0" w:rsidRPr="007B0455" w:rsidRDefault="00380CE0" w:rsidP="00FA48A2">
      <w:pPr>
        <w:pStyle w:val="FootnoteText"/>
        <w:ind w:left="720" w:hanging="720"/>
        <w:jc w:val="both"/>
        <w:rPr>
          <w:rFonts w:ascii="Book Antiqua" w:hAnsi="Book Antiqua"/>
        </w:rPr>
      </w:pPr>
      <w:r w:rsidRPr="007B0455">
        <w:rPr>
          <w:rStyle w:val="FootnoteReference"/>
          <w:rFonts w:ascii="Book Antiqua" w:hAnsi="Book Antiqua"/>
        </w:rPr>
        <w:footnoteRef/>
      </w:r>
      <w:r w:rsidRPr="007B0455">
        <w:rPr>
          <w:rFonts w:ascii="Book Antiqua" w:hAnsi="Book Antiqua"/>
        </w:rPr>
        <w:t xml:space="preserve"> </w:t>
      </w:r>
      <w:r w:rsidR="00B33167" w:rsidRPr="007B0455">
        <w:rPr>
          <w:rFonts w:ascii="Book Antiqua" w:hAnsi="Book Antiqua"/>
        </w:rPr>
        <w:tab/>
      </w:r>
      <w:r w:rsidR="00B33167" w:rsidRPr="007B0455">
        <w:rPr>
          <w:rFonts w:ascii="Book Antiqua" w:hAnsi="Book Antiqua"/>
          <w:i/>
          <w:iCs/>
        </w:rPr>
        <w:t>Íd</w:t>
      </w:r>
      <w:r w:rsidR="00B33167" w:rsidRPr="007B0455">
        <w:rPr>
          <w:rFonts w:ascii="Book Antiqua" w:hAnsi="Book Antiqua"/>
        </w:rPr>
        <w:t>., pág. 3.</w:t>
      </w:r>
    </w:p>
  </w:footnote>
  <w:footnote w:id="76">
    <w:p w14:paraId="61DF76EA" w14:textId="29C57103" w:rsidR="00380CE0" w:rsidRPr="007B0455" w:rsidRDefault="00380CE0" w:rsidP="00FA48A2">
      <w:pPr>
        <w:pStyle w:val="FootnoteText"/>
        <w:ind w:left="720" w:hanging="720"/>
        <w:jc w:val="both"/>
        <w:rPr>
          <w:rFonts w:ascii="Book Antiqua" w:hAnsi="Book Antiqua"/>
        </w:rPr>
      </w:pPr>
      <w:r w:rsidRPr="007B0455">
        <w:rPr>
          <w:rStyle w:val="FootnoteReference"/>
          <w:rFonts w:ascii="Book Antiqua" w:hAnsi="Book Antiqua"/>
        </w:rPr>
        <w:footnoteRef/>
      </w:r>
      <w:r w:rsidRPr="007B0455">
        <w:rPr>
          <w:rFonts w:ascii="Book Antiqua" w:hAnsi="Book Antiqua"/>
        </w:rPr>
        <w:t xml:space="preserve"> </w:t>
      </w:r>
      <w:r w:rsidR="00B33167" w:rsidRPr="007B0455">
        <w:rPr>
          <w:rFonts w:ascii="Book Antiqua" w:hAnsi="Book Antiqua"/>
        </w:rPr>
        <w:tab/>
      </w:r>
      <w:r w:rsidR="00B33167" w:rsidRPr="007B0455">
        <w:rPr>
          <w:rFonts w:ascii="Book Antiqua" w:hAnsi="Book Antiqua"/>
          <w:i/>
          <w:iCs/>
        </w:rPr>
        <w:t>Íd</w:t>
      </w:r>
      <w:r w:rsidR="00B33167" w:rsidRPr="007B0455">
        <w:rPr>
          <w:rFonts w:ascii="Book Antiqua" w:hAnsi="Book Antiqua"/>
        </w:rPr>
        <w:t>.</w:t>
      </w:r>
    </w:p>
  </w:footnote>
  <w:footnote w:id="77">
    <w:p w14:paraId="739F95C9" w14:textId="6988B544" w:rsidR="00380CE0" w:rsidRPr="007B0455" w:rsidRDefault="00380CE0" w:rsidP="00FA48A2">
      <w:pPr>
        <w:pStyle w:val="FootnoteText"/>
        <w:ind w:left="720" w:hanging="720"/>
        <w:jc w:val="both"/>
        <w:rPr>
          <w:rFonts w:ascii="Book Antiqua" w:hAnsi="Book Antiqua"/>
        </w:rPr>
      </w:pPr>
      <w:r w:rsidRPr="007B0455">
        <w:rPr>
          <w:rStyle w:val="FootnoteReference"/>
          <w:rFonts w:ascii="Book Antiqua" w:hAnsi="Book Antiqua"/>
        </w:rPr>
        <w:footnoteRef/>
      </w:r>
      <w:r w:rsidRPr="007B0455">
        <w:rPr>
          <w:rFonts w:ascii="Book Antiqua" w:hAnsi="Book Antiqua"/>
        </w:rPr>
        <w:t xml:space="preserve"> </w:t>
      </w:r>
      <w:r w:rsidR="00B33167" w:rsidRPr="007B0455">
        <w:rPr>
          <w:rFonts w:ascii="Book Antiqua" w:hAnsi="Book Antiqua"/>
        </w:rPr>
        <w:tab/>
        <w:t xml:space="preserve">Pontificia Universidad Católica de Puerto Rico, </w:t>
      </w:r>
      <w:r w:rsidR="00B33167" w:rsidRPr="007B0455">
        <w:rPr>
          <w:rFonts w:ascii="Book Antiqua" w:hAnsi="Book Antiqua"/>
          <w:i/>
          <w:iCs/>
        </w:rPr>
        <w:t>Comentarios al P[.] de la C[.] 1080 del Profesor Javier Echevarría Vargas</w:t>
      </w:r>
      <w:r w:rsidR="00B33167" w:rsidRPr="007B0455">
        <w:rPr>
          <w:rFonts w:ascii="Book Antiqua" w:hAnsi="Book Antiqua"/>
        </w:rPr>
        <w:t xml:space="preserve">, </w:t>
      </w:r>
      <w:r w:rsidR="00B33167" w:rsidRPr="007B0455">
        <w:rPr>
          <w:rFonts w:ascii="Book Antiqua" w:hAnsi="Book Antiqua"/>
          <w:i/>
          <w:iCs/>
        </w:rPr>
        <w:t>supra</w:t>
      </w:r>
      <w:r w:rsidR="00B33167" w:rsidRPr="007B0455">
        <w:rPr>
          <w:rFonts w:ascii="Book Antiqua" w:hAnsi="Book Antiqua"/>
        </w:rPr>
        <w:t>, pág. 3.</w:t>
      </w:r>
    </w:p>
  </w:footnote>
  <w:footnote w:id="78">
    <w:p w14:paraId="127057F8" w14:textId="1DB860DA" w:rsidR="00380CE0" w:rsidRPr="00380CE0" w:rsidRDefault="00380CE0" w:rsidP="00FA48A2">
      <w:pPr>
        <w:pStyle w:val="FootnoteText"/>
        <w:ind w:left="720" w:hanging="720"/>
        <w:jc w:val="both"/>
      </w:pPr>
      <w:r w:rsidRPr="007B0455">
        <w:rPr>
          <w:rStyle w:val="FootnoteReference"/>
          <w:rFonts w:ascii="Book Antiqua" w:hAnsi="Book Antiqua"/>
        </w:rPr>
        <w:footnoteRef/>
      </w:r>
      <w:r w:rsidRPr="007B0455">
        <w:rPr>
          <w:rFonts w:ascii="Book Antiqua" w:hAnsi="Book Antiqua"/>
        </w:rPr>
        <w:t xml:space="preserve"> </w:t>
      </w:r>
      <w:r w:rsidR="007B0455" w:rsidRPr="007B0455">
        <w:rPr>
          <w:rFonts w:ascii="Book Antiqua" w:hAnsi="Book Antiqua"/>
        </w:rPr>
        <w:tab/>
      </w:r>
      <w:r w:rsidR="007B0455" w:rsidRPr="007B0455">
        <w:rPr>
          <w:rFonts w:ascii="Book Antiqua" w:hAnsi="Book Antiqua"/>
          <w:i/>
          <w:iCs/>
        </w:rPr>
        <w:t>Íd</w:t>
      </w:r>
      <w:r w:rsidR="007B0455" w:rsidRPr="007B0455">
        <w:rPr>
          <w:rFonts w:ascii="Book Antiqua" w:hAnsi="Book Antiqua"/>
        </w:rPr>
        <w:t>.</w:t>
      </w:r>
    </w:p>
  </w:footnote>
  <w:footnote w:id="79">
    <w:p w14:paraId="48AE41AB" w14:textId="08398C81" w:rsidR="00380CE0" w:rsidRPr="00331D65" w:rsidRDefault="00380CE0" w:rsidP="00FA48A2">
      <w:pPr>
        <w:pStyle w:val="FootnoteText"/>
        <w:ind w:left="720" w:hanging="720"/>
        <w:jc w:val="both"/>
        <w:rPr>
          <w:rFonts w:ascii="Book Antiqua" w:hAnsi="Book Antiqua"/>
        </w:rPr>
      </w:pPr>
      <w:r w:rsidRPr="00331D65">
        <w:rPr>
          <w:rStyle w:val="FootnoteReference"/>
          <w:rFonts w:ascii="Book Antiqua" w:hAnsi="Book Antiqua"/>
        </w:rPr>
        <w:footnoteRef/>
      </w:r>
      <w:r w:rsidRPr="00331D65">
        <w:rPr>
          <w:rFonts w:ascii="Book Antiqua" w:hAnsi="Book Antiqua"/>
        </w:rPr>
        <w:t xml:space="preserve"> </w:t>
      </w:r>
      <w:r w:rsidR="007B0455">
        <w:rPr>
          <w:rFonts w:ascii="Book Antiqua" w:hAnsi="Book Antiqua"/>
        </w:rPr>
        <w:tab/>
      </w:r>
      <w:r w:rsidR="007B0455" w:rsidRPr="007B0455">
        <w:rPr>
          <w:rFonts w:ascii="Book Antiqua" w:hAnsi="Book Antiqua"/>
          <w:i/>
          <w:iCs/>
        </w:rPr>
        <w:t>Íd</w:t>
      </w:r>
      <w:r w:rsidR="007B0455">
        <w:rPr>
          <w:rFonts w:ascii="Book Antiqua" w:hAnsi="Book Antiqua"/>
        </w:rPr>
        <w:t>.</w:t>
      </w:r>
    </w:p>
  </w:footnote>
  <w:footnote w:id="80">
    <w:p w14:paraId="20D591C5" w14:textId="281FDFB8" w:rsidR="00380CE0" w:rsidRPr="00331D65" w:rsidRDefault="00380CE0" w:rsidP="00FA48A2">
      <w:pPr>
        <w:pStyle w:val="FootnoteText"/>
        <w:ind w:left="720" w:hanging="720"/>
        <w:jc w:val="both"/>
        <w:rPr>
          <w:rFonts w:ascii="Book Antiqua" w:hAnsi="Book Antiqua"/>
        </w:rPr>
      </w:pPr>
      <w:r w:rsidRPr="00331D65">
        <w:rPr>
          <w:rStyle w:val="FootnoteReference"/>
          <w:rFonts w:ascii="Book Antiqua" w:hAnsi="Book Antiqua"/>
        </w:rPr>
        <w:footnoteRef/>
      </w:r>
      <w:r w:rsidRPr="00331D65">
        <w:rPr>
          <w:rFonts w:ascii="Book Antiqua" w:hAnsi="Book Antiqua"/>
        </w:rPr>
        <w:t xml:space="preserve"> </w:t>
      </w:r>
      <w:r w:rsidR="007B0455">
        <w:rPr>
          <w:rFonts w:ascii="Book Antiqua" w:hAnsi="Book Antiqua"/>
        </w:rPr>
        <w:tab/>
      </w:r>
      <w:r w:rsidR="007B0455" w:rsidRPr="007B0455">
        <w:rPr>
          <w:rFonts w:ascii="Book Antiqua" w:hAnsi="Book Antiqua"/>
          <w:i/>
          <w:iCs/>
        </w:rPr>
        <w:t>Íd</w:t>
      </w:r>
      <w:r w:rsidR="007B0455">
        <w:rPr>
          <w:rFonts w:ascii="Book Antiqua" w:hAnsi="Book Antiqua"/>
        </w:rPr>
        <w:t>., págs. 3-4.</w:t>
      </w:r>
    </w:p>
  </w:footnote>
  <w:footnote w:id="81">
    <w:p w14:paraId="669BAB0D" w14:textId="3E2E9051" w:rsidR="00422BB7" w:rsidRPr="00331D65" w:rsidRDefault="00422BB7" w:rsidP="00FA48A2">
      <w:pPr>
        <w:pStyle w:val="FootnoteText"/>
        <w:ind w:left="720" w:hanging="720"/>
        <w:jc w:val="both"/>
        <w:rPr>
          <w:rFonts w:ascii="Book Antiqua" w:hAnsi="Book Antiqua"/>
        </w:rPr>
      </w:pPr>
      <w:r w:rsidRPr="00331D65">
        <w:rPr>
          <w:rStyle w:val="FootnoteReference"/>
          <w:rFonts w:ascii="Book Antiqua" w:hAnsi="Book Antiqua"/>
        </w:rPr>
        <w:footnoteRef/>
      </w:r>
      <w:r w:rsidRPr="00331D65">
        <w:rPr>
          <w:rFonts w:ascii="Book Antiqua" w:hAnsi="Book Antiqua"/>
        </w:rPr>
        <w:t xml:space="preserve"> </w:t>
      </w:r>
      <w:r w:rsidR="00FA48A2">
        <w:rPr>
          <w:rFonts w:ascii="Book Antiqua" w:hAnsi="Book Antiqua"/>
        </w:rPr>
        <w:tab/>
      </w:r>
      <w:r w:rsidR="00FA48A2" w:rsidRPr="00FA48A2">
        <w:rPr>
          <w:rFonts w:ascii="Book Antiqua" w:hAnsi="Book Antiqua"/>
          <w:i/>
          <w:iCs/>
        </w:rPr>
        <w:t>Íd</w:t>
      </w:r>
      <w:r w:rsidR="00FA48A2">
        <w:rPr>
          <w:rFonts w:ascii="Book Antiqua" w:hAnsi="Book Antiqua"/>
        </w:rPr>
        <w:t xml:space="preserve">., pág. 4. </w:t>
      </w:r>
    </w:p>
  </w:footnote>
  <w:footnote w:id="82">
    <w:p w14:paraId="7CBD9630" w14:textId="59DCD942" w:rsidR="00422BB7" w:rsidRPr="00FA48A2" w:rsidRDefault="00422BB7" w:rsidP="00FA48A2">
      <w:pPr>
        <w:pStyle w:val="FootnoteText"/>
        <w:ind w:left="720" w:hanging="720"/>
        <w:jc w:val="both"/>
        <w:rPr>
          <w:rFonts w:ascii="Book Antiqua" w:hAnsi="Book Antiqua"/>
        </w:rPr>
      </w:pPr>
      <w:r w:rsidRPr="00331D65">
        <w:rPr>
          <w:rStyle w:val="FootnoteReference"/>
          <w:rFonts w:ascii="Book Antiqua" w:hAnsi="Book Antiqua"/>
        </w:rPr>
        <w:footnoteRef/>
      </w:r>
      <w:r w:rsidRPr="00FA48A2">
        <w:rPr>
          <w:rFonts w:ascii="Book Antiqua" w:hAnsi="Book Antiqua"/>
        </w:rPr>
        <w:t xml:space="preserve"> </w:t>
      </w:r>
      <w:r w:rsidR="00FA48A2" w:rsidRPr="00FA48A2">
        <w:rPr>
          <w:rFonts w:ascii="Book Antiqua" w:hAnsi="Book Antiqua"/>
        </w:rPr>
        <w:tab/>
      </w:r>
      <w:r w:rsidR="00FA48A2" w:rsidRPr="00FA48A2">
        <w:rPr>
          <w:rFonts w:ascii="Book Antiqua" w:hAnsi="Book Antiqua"/>
          <w:i/>
          <w:iCs/>
        </w:rPr>
        <w:t>Íd</w:t>
      </w:r>
      <w:r w:rsidR="00FA48A2" w:rsidRPr="00FA48A2">
        <w:rPr>
          <w:rFonts w:ascii="Book Antiqua" w:hAnsi="Book Antiqua"/>
        </w:rPr>
        <w:t>. Véase</w:t>
      </w:r>
      <w:r w:rsidR="00FA48A2">
        <w:rPr>
          <w:rFonts w:ascii="Book Antiqua" w:hAnsi="Book Antiqua"/>
        </w:rPr>
        <w:t>,</w:t>
      </w:r>
      <w:r w:rsidR="00FA48A2" w:rsidRPr="00FA48A2">
        <w:rPr>
          <w:rFonts w:ascii="Book Antiqua" w:hAnsi="Book Antiqua"/>
        </w:rPr>
        <w:t xml:space="preserve"> Congresional Research Service, </w:t>
      </w:r>
      <w:r w:rsidR="00FA48A2" w:rsidRPr="00FA48A2">
        <w:rPr>
          <w:rFonts w:ascii="Book Antiqua" w:hAnsi="Book Antiqua"/>
          <w:i/>
          <w:iCs/>
        </w:rPr>
        <w:t>Negotiated Rulemaking: In Brief</w:t>
      </w:r>
      <w:r w:rsidR="00FA48A2" w:rsidRPr="00FA48A2">
        <w:rPr>
          <w:rFonts w:ascii="Book Antiqua" w:hAnsi="Book Antiqua"/>
        </w:rPr>
        <w:t xml:space="preserve"> (April 12, 2021) disponible en https://www.congress.gov/crs-product/R46756 (visitado el 27 de mayo</w:t>
      </w:r>
      <w:r w:rsidR="00FA48A2">
        <w:rPr>
          <w:rFonts w:ascii="Book Antiqua" w:hAnsi="Book Antiqua"/>
        </w:rPr>
        <w:t xml:space="preserve"> de 2026). </w:t>
      </w:r>
    </w:p>
  </w:footnote>
  <w:footnote w:id="83">
    <w:p w14:paraId="6C96E1DF" w14:textId="39AC003A" w:rsidR="00422BB7" w:rsidRPr="003F6F8A" w:rsidRDefault="00422BB7" w:rsidP="003F6F8A">
      <w:pPr>
        <w:pStyle w:val="FootnoteText"/>
        <w:ind w:left="720" w:hanging="720"/>
        <w:rPr>
          <w:rFonts w:ascii="Book Antiqua" w:hAnsi="Book Antiqua"/>
        </w:rPr>
      </w:pPr>
      <w:r w:rsidRPr="003F6F8A">
        <w:rPr>
          <w:rStyle w:val="FootnoteReference"/>
          <w:rFonts w:ascii="Book Antiqua" w:hAnsi="Book Antiqua"/>
        </w:rPr>
        <w:footnoteRef/>
      </w:r>
      <w:r w:rsidRPr="003F6F8A">
        <w:rPr>
          <w:rFonts w:ascii="Book Antiqua" w:hAnsi="Book Antiqua"/>
        </w:rPr>
        <w:t xml:space="preserve"> </w:t>
      </w:r>
      <w:r w:rsidR="003F6F8A" w:rsidRPr="003F6F8A">
        <w:rPr>
          <w:rFonts w:ascii="Book Antiqua" w:hAnsi="Book Antiqua"/>
        </w:rPr>
        <w:t xml:space="preserve">Pontificia Universidad Católica de Puerto Rico, </w:t>
      </w:r>
      <w:r w:rsidR="003F6F8A" w:rsidRPr="003F6F8A">
        <w:rPr>
          <w:rFonts w:ascii="Book Antiqua" w:hAnsi="Book Antiqua"/>
          <w:i/>
          <w:iCs/>
        </w:rPr>
        <w:t>Comentarios al P[.] de la C[.] 1080 del Profesor Javier Echevarría Vargas</w:t>
      </w:r>
      <w:r w:rsidR="003F6F8A" w:rsidRPr="003F6F8A">
        <w:rPr>
          <w:rFonts w:ascii="Book Antiqua" w:hAnsi="Book Antiqua"/>
        </w:rPr>
        <w:t xml:space="preserve">, </w:t>
      </w:r>
      <w:r w:rsidR="003F6F8A" w:rsidRPr="003F6F8A">
        <w:rPr>
          <w:rFonts w:ascii="Book Antiqua" w:hAnsi="Book Antiqua"/>
          <w:i/>
          <w:iCs/>
        </w:rPr>
        <w:t>supra</w:t>
      </w:r>
      <w:r w:rsidR="003F6F8A" w:rsidRPr="003F6F8A">
        <w:rPr>
          <w:rFonts w:ascii="Book Antiqua" w:hAnsi="Book Antiqua"/>
        </w:rPr>
        <w:t xml:space="preserve">, pág. </w:t>
      </w:r>
      <w:r w:rsidR="00CA60FD">
        <w:rPr>
          <w:rFonts w:ascii="Book Antiqua" w:hAnsi="Book Antiqua"/>
        </w:rPr>
        <w:t>4</w:t>
      </w:r>
      <w:r w:rsidR="003F6F8A" w:rsidRPr="003F6F8A">
        <w:rPr>
          <w:rFonts w:ascii="Book Antiqua" w:hAnsi="Book Antiqua"/>
        </w:rPr>
        <w:t>.</w:t>
      </w:r>
    </w:p>
  </w:footnote>
  <w:footnote w:id="84">
    <w:p w14:paraId="6F6692CB" w14:textId="53170F99" w:rsidR="00422BB7" w:rsidRPr="003F6F8A" w:rsidRDefault="00422BB7" w:rsidP="003F6F8A">
      <w:pPr>
        <w:pStyle w:val="FootnoteText"/>
        <w:ind w:left="720" w:hanging="720"/>
        <w:rPr>
          <w:rFonts w:ascii="Book Antiqua" w:hAnsi="Book Antiqua"/>
        </w:rPr>
      </w:pPr>
      <w:r w:rsidRPr="003F6F8A">
        <w:rPr>
          <w:rStyle w:val="FootnoteReference"/>
          <w:rFonts w:ascii="Book Antiqua" w:hAnsi="Book Antiqua"/>
        </w:rPr>
        <w:footnoteRef/>
      </w:r>
      <w:r w:rsidRPr="003F6F8A">
        <w:rPr>
          <w:rFonts w:ascii="Book Antiqua" w:hAnsi="Book Antiqua"/>
        </w:rPr>
        <w:t xml:space="preserve"> </w:t>
      </w:r>
      <w:r w:rsidR="003F6F8A" w:rsidRPr="003F6F8A">
        <w:rPr>
          <w:rFonts w:ascii="Book Antiqua" w:hAnsi="Book Antiqua"/>
        </w:rPr>
        <w:tab/>
      </w:r>
      <w:r w:rsidR="003F6F8A" w:rsidRPr="003F6F8A">
        <w:rPr>
          <w:rFonts w:ascii="Book Antiqua" w:hAnsi="Book Antiqua"/>
          <w:i/>
          <w:iCs/>
        </w:rPr>
        <w:t>Íd</w:t>
      </w:r>
      <w:r w:rsidR="003F6F8A" w:rsidRPr="003F6F8A">
        <w:rPr>
          <w:rFonts w:ascii="Book Antiqua" w:hAnsi="Book Antiqua"/>
        </w:rPr>
        <w:t>.</w:t>
      </w:r>
    </w:p>
  </w:footnote>
  <w:footnote w:id="85">
    <w:p w14:paraId="554BD09D" w14:textId="6DDD19F5" w:rsidR="00422BB7" w:rsidRPr="003F6F8A" w:rsidRDefault="00422BB7" w:rsidP="003F6F8A">
      <w:pPr>
        <w:pStyle w:val="FootnoteText"/>
        <w:ind w:left="720" w:hanging="720"/>
        <w:rPr>
          <w:rFonts w:ascii="Book Antiqua" w:hAnsi="Book Antiqua"/>
        </w:rPr>
      </w:pPr>
      <w:r w:rsidRPr="003F6F8A">
        <w:rPr>
          <w:rStyle w:val="FootnoteReference"/>
          <w:rFonts w:ascii="Book Antiqua" w:hAnsi="Book Antiqua"/>
        </w:rPr>
        <w:footnoteRef/>
      </w:r>
      <w:r w:rsidRPr="003F6F8A">
        <w:rPr>
          <w:rFonts w:ascii="Book Antiqua" w:hAnsi="Book Antiqua"/>
        </w:rPr>
        <w:t xml:space="preserve"> </w:t>
      </w:r>
      <w:r w:rsidR="00CA60FD">
        <w:rPr>
          <w:rFonts w:ascii="Book Antiqua" w:hAnsi="Book Antiqua"/>
        </w:rPr>
        <w:tab/>
        <w:t>Oficina de Presupuesto de la Asamblea Legislativa (OPAL</w:t>
      </w:r>
      <w:r w:rsidR="00CA60FD" w:rsidRPr="00CA60FD">
        <w:rPr>
          <w:rFonts w:ascii="Book Antiqua" w:hAnsi="Book Antiqua"/>
          <w:i/>
          <w:iCs/>
        </w:rPr>
        <w:t>), Informe sobre el costo fiscal del Proyecto de la Cámara 1080 y Proyecto del Senado 988</w:t>
      </w:r>
      <w:r w:rsidR="00CA60FD">
        <w:rPr>
          <w:rFonts w:ascii="Book Antiqua" w:hAnsi="Book Antiqua"/>
        </w:rPr>
        <w:t xml:space="preserve">, Informe 2026-525, págs. 1 y 27 (mayo 2026). </w:t>
      </w:r>
    </w:p>
  </w:footnote>
  <w:footnote w:id="86">
    <w:p w14:paraId="41878DEF" w14:textId="36C04DEA" w:rsidR="00422BB7" w:rsidRPr="003F6F8A" w:rsidRDefault="00422BB7" w:rsidP="003F6F8A">
      <w:pPr>
        <w:pStyle w:val="FootnoteText"/>
        <w:ind w:left="720" w:hanging="720"/>
        <w:rPr>
          <w:rFonts w:ascii="Book Antiqua" w:hAnsi="Book Antiqua"/>
        </w:rPr>
      </w:pPr>
      <w:r w:rsidRPr="003F6F8A">
        <w:rPr>
          <w:rStyle w:val="FootnoteReference"/>
          <w:rFonts w:ascii="Book Antiqua" w:hAnsi="Book Antiqua"/>
        </w:rPr>
        <w:footnoteRef/>
      </w:r>
      <w:r w:rsidRPr="003F6F8A">
        <w:rPr>
          <w:rFonts w:ascii="Book Antiqua" w:hAnsi="Book Antiqua"/>
        </w:rPr>
        <w:t xml:space="preserve"> </w:t>
      </w:r>
      <w:r w:rsidR="003F6F8A" w:rsidRPr="003F6F8A">
        <w:rPr>
          <w:rFonts w:ascii="Book Antiqua" w:hAnsi="Book Antiqua"/>
        </w:rPr>
        <w:tab/>
      </w:r>
      <w:r w:rsidR="003F6F8A" w:rsidRPr="003F6F8A">
        <w:rPr>
          <w:rFonts w:ascii="Book Antiqua" w:hAnsi="Book Antiqua"/>
          <w:i/>
          <w:iCs/>
        </w:rPr>
        <w:t>Íd</w:t>
      </w:r>
      <w:r w:rsidR="003F6F8A" w:rsidRPr="003F6F8A">
        <w:rPr>
          <w:rFonts w:ascii="Book Antiqua" w:hAnsi="Book Antiqua"/>
        </w:rPr>
        <w:t>., págs. 4-5.</w:t>
      </w:r>
    </w:p>
  </w:footnote>
  <w:footnote w:id="87">
    <w:p w14:paraId="3306409D" w14:textId="5CC5D39C" w:rsidR="00815138" w:rsidRPr="00960BA9" w:rsidRDefault="00815138" w:rsidP="003F6F8A">
      <w:pPr>
        <w:pStyle w:val="FootnoteText"/>
        <w:ind w:left="720" w:hanging="720"/>
        <w:jc w:val="both"/>
        <w:rPr>
          <w:rFonts w:ascii="Book Antiqua" w:hAnsi="Book Antiqua"/>
          <w:lang w:val="es-ES"/>
        </w:rPr>
      </w:pPr>
      <w:r w:rsidRPr="003F6F8A">
        <w:rPr>
          <w:rStyle w:val="FootnoteReference"/>
          <w:rFonts w:ascii="Book Antiqua" w:hAnsi="Book Antiqua"/>
          <w:lang w:val="es-ES"/>
        </w:rPr>
        <w:footnoteRef/>
      </w:r>
      <w:r w:rsidRPr="003F6F8A">
        <w:rPr>
          <w:rFonts w:ascii="Book Antiqua" w:hAnsi="Book Antiqua"/>
          <w:lang w:val="es-ES"/>
        </w:rPr>
        <w:t xml:space="preserve"> </w:t>
      </w:r>
      <w:r w:rsidRPr="003F6F8A">
        <w:rPr>
          <w:rFonts w:ascii="Book Antiqua" w:hAnsi="Book Antiqua"/>
          <w:lang w:val="es-ES"/>
        </w:rPr>
        <w:tab/>
        <w:t>Puerto Rico Innovation</w:t>
      </w:r>
      <w:r w:rsidR="00331D65" w:rsidRPr="003F6F8A">
        <w:rPr>
          <w:rFonts w:ascii="Book Antiqua" w:hAnsi="Book Antiqua"/>
          <w:lang w:val="es-ES"/>
        </w:rPr>
        <w:t xml:space="preserve"> and Technology</w:t>
      </w:r>
      <w:r w:rsidRPr="003F6F8A">
        <w:rPr>
          <w:rFonts w:ascii="Book Antiqua" w:hAnsi="Book Antiqua"/>
          <w:lang w:val="es-ES"/>
        </w:rPr>
        <w:t xml:space="preserve"> Service (PRITS), </w:t>
      </w:r>
      <w:r w:rsidRPr="003F6F8A">
        <w:rPr>
          <w:rFonts w:ascii="Book Antiqua" w:hAnsi="Book Antiqua"/>
          <w:i/>
          <w:iCs/>
          <w:lang w:val="es-ES"/>
        </w:rPr>
        <w:t>Re: P. de la C. 1080 (A-107)</w:t>
      </w:r>
      <w:r w:rsidRPr="003F6F8A">
        <w:rPr>
          <w:rFonts w:ascii="Book Antiqua" w:hAnsi="Book Antiqua"/>
          <w:lang w:val="es-ES"/>
        </w:rPr>
        <w:t xml:space="preserve">, pág. 3 (6 de marzo de 2026). (Nota, PRITS presentó ante esta Comisión un Memorial Explicativo idéntico con fecha del 6 de febrero de 2026. La CRED estará utilizando como referencia el </w:t>
      </w:r>
      <w:r w:rsidRPr="003F6F8A">
        <w:rPr>
          <w:rFonts w:ascii="Book Antiqua" w:hAnsi="Book Antiqua"/>
          <w:i/>
          <w:iCs/>
          <w:lang w:val="es-ES"/>
        </w:rPr>
        <w:t>Memorial Explicativo</w:t>
      </w:r>
      <w:r w:rsidRPr="003F6F8A">
        <w:rPr>
          <w:rFonts w:ascii="Book Antiqua" w:hAnsi="Book Antiqua"/>
          <w:lang w:val="es-ES"/>
        </w:rPr>
        <w:t xml:space="preserve"> del 6 de marzo de 2026, dado que </w:t>
      </w:r>
      <w:r w:rsidR="00265731" w:rsidRPr="003F6F8A">
        <w:rPr>
          <w:rFonts w:ascii="Book Antiqua" w:hAnsi="Book Antiqua"/>
          <w:lang w:val="es-ES"/>
        </w:rPr>
        <w:t>es la versión más reciente</w:t>
      </w:r>
      <w:r w:rsidRPr="003F6F8A">
        <w:rPr>
          <w:rFonts w:ascii="Book Antiqua" w:hAnsi="Book Antiqua"/>
          <w:lang w:val="es-ES"/>
        </w:rPr>
        <w:t>).</w:t>
      </w:r>
      <w:r w:rsidRPr="00960BA9">
        <w:rPr>
          <w:rFonts w:ascii="Book Antiqua" w:hAnsi="Book Antiqua"/>
          <w:lang w:val="es-ES"/>
        </w:rPr>
        <w:t xml:space="preserve"> </w:t>
      </w:r>
    </w:p>
  </w:footnote>
  <w:footnote w:id="88">
    <w:p w14:paraId="5640F28B" w14:textId="791B6309" w:rsidR="00960BA9" w:rsidRPr="00AE076E" w:rsidRDefault="00960BA9" w:rsidP="00331D65">
      <w:pPr>
        <w:pStyle w:val="FootnoteText"/>
        <w:jc w:val="both"/>
        <w:rPr>
          <w:rFonts w:ascii="Book Antiqua" w:hAnsi="Book Antiqua"/>
        </w:rPr>
      </w:pPr>
      <w:r w:rsidRPr="00DD1EBD">
        <w:rPr>
          <w:rStyle w:val="FootnoteReference"/>
          <w:rFonts w:ascii="Book Antiqua" w:hAnsi="Book Antiqua"/>
        </w:rPr>
        <w:footnoteRef/>
      </w:r>
      <w:r w:rsidRPr="00DD1EBD">
        <w:rPr>
          <w:rFonts w:ascii="Book Antiqua" w:hAnsi="Book Antiqua"/>
        </w:rPr>
        <w:t xml:space="preserve"> </w:t>
      </w:r>
      <w:r w:rsidRPr="00AE076E">
        <w:rPr>
          <w:rFonts w:ascii="Book Antiqua" w:hAnsi="Book Antiqua"/>
        </w:rPr>
        <w:tab/>
      </w:r>
      <w:r w:rsidRPr="00AE076E">
        <w:rPr>
          <w:rFonts w:ascii="Book Antiqua" w:hAnsi="Book Antiqua"/>
          <w:i/>
          <w:iCs/>
        </w:rPr>
        <w:t>Íd.</w:t>
      </w:r>
    </w:p>
  </w:footnote>
  <w:footnote w:id="89">
    <w:p w14:paraId="62BBAD36" w14:textId="10F3A7C7" w:rsidR="00FC47DC" w:rsidRPr="00AE076E" w:rsidRDefault="00FC47DC" w:rsidP="00331D65">
      <w:pPr>
        <w:pStyle w:val="FootnoteText"/>
        <w:jc w:val="both"/>
        <w:rPr>
          <w:rFonts w:ascii="Book Antiqua" w:hAnsi="Book Antiqua"/>
        </w:rPr>
      </w:pPr>
      <w:r w:rsidRPr="00DD1EBD">
        <w:rPr>
          <w:rStyle w:val="FootnoteReference"/>
          <w:rFonts w:ascii="Book Antiqua" w:hAnsi="Book Antiqua"/>
        </w:rPr>
        <w:footnoteRef/>
      </w:r>
      <w:r w:rsidRPr="00DD1EBD">
        <w:rPr>
          <w:rFonts w:ascii="Book Antiqua" w:hAnsi="Book Antiqua"/>
        </w:rPr>
        <w:t xml:space="preserve"> </w:t>
      </w:r>
      <w:r w:rsidR="00960BA9" w:rsidRPr="00DD1EBD">
        <w:rPr>
          <w:rFonts w:ascii="Book Antiqua" w:hAnsi="Book Antiqua"/>
        </w:rPr>
        <w:tab/>
      </w:r>
      <w:r w:rsidR="00960BA9" w:rsidRPr="00DD1EBD">
        <w:rPr>
          <w:rFonts w:ascii="Book Antiqua" w:hAnsi="Book Antiqua"/>
          <w:i/>
          <w:iCs/>
        </w:rPr>
        <w:t>Íd</w:t>
      </w:r>
      <w:r w:rsidR="00960BA9" w:rsidRPr="00DD1EBD">
        <w:rPr>
          <w:rFonts w:ascii="Book Antiqua" w:hAnsi="Book Antiqua"/>
        </w:rPr>
        <w:t>.</w:t>
      </w:r>
    </w:p>
  </w:footnote>
  <w:footnote w:id="90">
    <w:p w14:paraId="48E5FCC2" w14:textId="359FF8FA" w:rsidR="00A85425" w:rsidRPr="00AE076E" w:rsidRDefault="00A85425">
      <w:pPr>
        <w:pStyle w:val="FootnoteText"/>
        <w:rPr>
          <w:rFonts w:ascii="Book Antiqua" w:hAnsi="Book Antiqua"/>
        </w:rPr>
      </w:pPr>
      <w:r w:rsidRPr="00DD1EBD">
        <w:rPr>
          <w:rStyle w:val="FootnoteReference"/>
          <w:rFonts w:ascii="Book Antiqua" w:hAnsi="Book Antiqua"/>
        </w:rPr>
        <w:footnoteRef/>
      </w:r>
      <w:r w:rsidRPr="00DD1EBD">
        <w:rPr>
          <w:rFonts w:ascii="Book Antiqua" w:hAnsi="Book Antiqua"/>
        </w:rPr>
        <w:t xml:space="preserve"> </w:t>
      </w:r>
      <w:r w:rsidRPr="00AE076E">
        <w:rPr>
          <w:rFonts w:ascii="Book Antiqua" w:hAnsi="Book Antiqua"/>
        </w:rPr>
        <w:tab/>
      </w:r>
      <w:r w:rsidRPr="00AE076E">
        <w:rPr>
          <w:rFonts w:ascii="Book Antiqua" w:hAnsi="Book Antiqua"/>
          <w:i/>
          <w:iCs/>
        </w:rPr>
        <w:t>Íd</w:t>
      </w:r>
      <w:r w:rsidRPr="00AE076E">
        <w:rPr>
          <w:rFonts w:ascii="Book Antiqua" w:hAnsi="Book Antiqua"/>
        </w:rPr>
        <w:t>.</w:t>
      </w:r>
    </w:p>
  </w:footnote>
  <w:footnote w:id="91">
    <w:p w14:paraId="1896E995" w14:textId="08A2243D" w:rsidR="00131E08" w:rsidRPr="00AE076E" w:rsidRDefault="00131E08">
      <w:pPr>
        <w:pStyle w:val="FootnoteText"/>
        <w:rPr>
          <w:rFonts w:ascii="Book Antiqua" w:hAnsi="Book Antiqua"/>
        </w:rPr>
      </w:pPr>
      <w:r w:rsidRPr="00DD1EBD">
        <w:rPr>
          <w:rStyle w:val="FootnoteReference"/>
          <w:rFonts w:ascii="Book Antiqua" w:hAnsi="Book Antiqua"/>
        </w:rPr>
        <w:footnoteRef/>
      </w:r>
      <w:r w:rsidRPr="00DD1EBD">
        <w:rPr>
          <w:rFonts w:ascii="Book Antiqua" w:hAnsi="Book Antiqua"/>
        </w:rPr>
        <w:t xml:space="preserve"> </w:t>
      </w:r>
      <w:r w:rsidRPr="00AE076E">
        <w:rPr>
          <w:rFonts w:ascii="Book Antiqua" w:hAnsi="Book Antiqua"/>
        </w:rPr>
        <w:tab/>
      </w:r>
      <w:r w:rsidRPr="00AE076E">
        <w:rPr>
          <w:rFonts w:ascii="Book Antiqua" w:hAnsi="Book Antiqua"/>
          <w:i/>
          <w:iCs/>
        </w:rPr>
        <w:t>Íd.</w:t>
      </w:r>
      <w:r w:rsidRPr="00AE076E">
        <w:rPr>
          <w:rFonts w:ascii="Book Antiqua" w:hAnsi="Book Antiqua"/>
        </w:rPr>
        <w:t xml:space="preserve">, pág. </w:t>
      </w:r>
      <w:r w:rsidR="00DD1EBD" w:rsidRPr="00AE076E">
        <w:rPr>
          <w:rFonts w:ascii="Book Antiqua" w:hAnsi="Book Antiqua"/>
        </w:rPr>
        <w:t xml:space="preserve">3 y </w:t>
      </w:r>
      <w:r w:rsidRPr="00AE076E">
        <w:rPr>
          <w:rFonts w:ascii="Book Antiqua" w:hAnsi="Book Antiqua"/>
        </w:rPr>
        <w:t xml:space="preserve">4. </w:t>
      </w:r>
    </w:p>
  </w:footnote>
  <w:footnote w:id="92">
    <w:p w14:paraId="28F43CEA" w14:textId="192D8A77" w:rsidR="00DD1EBD" w:rsidRPr="00AE076E" w:rsidRDefault="00DD1EBD" w:rsidP="004A4385">
      <w:pPr>
        <w:pStyle w:val="FootnoteText"/>
        <w:ind w:left="720" w:hanging="720"/>
        <w:jc w:val="both"/>
        <w:rPr>
          <w:rFonts w:ascii="Book Antiqua" w:hAnsi="Book Antiqua"/>
        </w:rPr>
      </w:pPr>
      <w:r w:rsidRPr="003A7AF7">
        <w:rPr>
          <w:rStyle w:val="FootnoteReference"/>
          <w:rFonts w:ascii="Book Antiqua" w:hAnsi="Book Antiqua"/>
        </w:rPr>
        <w:footnoteRef/>
      </w:r>
      <w:r w:rsidRPr="003A7AF7">
        <w:rPr>
          <w:rFonts w:ascii="Book Antiqua" w:hAnsi="Book Antiqua"/>
        </w:rPr>
        <w:t xml:space="preserve"> </w:t>
      </w:r>
      <w:r w:rsidRPr="00AE076E">
        <w:rPr>
          <w:rFonts w:ascii="Book Antiqua" w:hAnsi="Book Antiqua"/>
        </w:rPr>
        <w:tab/>
        <w:t xml:space="preserve">PRITS, </w:t>
      </w:r>
      <w:r w:rsidRPr="00AE076E">
        <w:rPr>
          <w:rFonts w:ascii="Book Antiqua" w:hAnsi="Book Antiqua"/>
          <w:i/>
          <w:iCs/>
        </w:rPr>
        <w:t>supra</w:t>
      </w:r>
      <w:r w:rsidRPr="00AE076E">
        <w:rPr>
          <w:rFonts w:ascii="Book Antiqua" w:hAnsi="Book Antiqua"/>
        </w:rPr>
        <w:t xml:space="preserve">, págs. 4. </w:t>
      </w:r>
    </w:p>
  </w:footnote>
  <w:footnote w:id="93">
    <w:p w14:paraId="6791C1CC" w14:textId="7796625B" w:rsidR="00B05281" w:rsidRPr="00695F31" w:rsidRDefault="00B05281" w:rsidP="0082500C">
      <w:pPr>
        <w:pStyle w:val="FootnoteText"/>
        <w:ind w:left="720" w:hanging="720"/>
        <w:jc w:val="both"/>
        <w:rPr>
          <w:rFonts w:ascii="Book Antiqua" w:hAnsi="Book Antiqua"/>
        </w:rPr>
      </w:pPr>
      <w:r w:rsidRPr="00695F31">
        <w:rPr>
          <w:rStyle w:val="FootnoteReference"/>
          <w:rFonts w:ascii="Book Antiqua" w:hAnsi="Book Antiqua"/>
        </w:rPr>
        <w:footnoteRef/>
      </w:r>
      <w:r w:rsidRPr="00695F31">
        <w:rPr>
          <w:rFonts w:ascii="Book Antiqua" w:hAnsi="Book Antiqua"/>
        </w:rPr>
        <w:t xml:space="preserve"> </w:t>
      </w:r>
      <w:r w:rsidR="0082500C" w:rsidRPr="00695F31">
        <w:rPr>
          <w:rFonts w:ascii="Book Antiqua" w:hAnsi="Book Antiqua"/>
        </w:rPr>
        <w:tab/>
        <w:t xml:space="preserve">Ayuda Legal de Puerto Rico (ALPR), </w:t>
      </w:r>
      <w:r w:rsidR="0082500C" w:rsidRPr="00695F31">
        <w:rPr>
          <w:rFonts w:ascii="Book Antiqua" w:hAnsi="Book Antiqua"/>
          <w:i/>
          <w:iCs/>
        </w:rPr>
        <w:t>Comentarios al PC 1080 y PS988 (A-107) Enmiendas a la Ley de Procedimiento Administrativo Uniforme</w:t>
      </w:r>
      <w:r w:rsidR="0082500C" w:rsidRPr="00695F31">
        <w:rPr>
          <w:rFonts w:ascii="Book Antiqua" w:hAnsi="Book Antiqua"/>
        </w:rPr>
        <w:t xml:space="preserve">, pág. 1 (6 de febrero de 2026). </w:t>
      </w:r>
    </w:p>
  </w:footnote>
  <w:footnote w:id="94">
    <w:p w14:paraId="52EEE3FD" w14:textId="4E91878D" w:rsidR="0082500C" w:rsidRPr="00695F31" w:rsidRDefault="0082500C" w:rsidP="0082500C">
      <w:pPr>
        <w:pStyle w:val="FootnoteText"/>
        <w:jc w:val="both"/>
        <w:rPr>
          <w:rFonts w:ascii="Book Antiqua" w:hAnsi="Book Antiqua"/>
        </w:rPr>
      </w:pPr>
      <w:r w:rsidRPr="00695F31">
        <w:rPr>
          <w:rStyle w:val="FootnoteReference"/>
          <w:rFonts w:ascii="Book Antiqua" w:hAnsi="Book Antiqua"/>
        </w:rPr>
        <w:footnoteRef/>
      </w:r>
      <w:r w:rsidRPr="00695F31">
        <w:rPr>
          <w:rFonts w:ascii="Book Antiqua" w:hAnsi="Book Antiqua"/>
        </w:rPr>
        <w:t xml:space="preserve"> </w:t>
      </w:r>
      <w:r w:rsidRPr="00695F31">
        <w:rPr>
          <w:rFonts w:ascii="Book Antiqua" w:hAnsi="Book Antiqua"/>
        </w:rPr>
        <w:tab/>
      </w:r>
      <w:r w:rsidRPr="00695F31">
        <w:rPr>
          <w:rFonts w:ascii="Book Antiqua" w:hAnsi="Book Antiqua"/>
          <w:i/>
          <w:iCs/>
        </w:rPr>
        <w:t>Íd</w:t>
      </w:r>
      <w:r w:rsidRPr="00695F31">
        <w:rPr>
          <w:rFonts w:ascii="Book Antiqua" w:hAnsi="Book Antiqua"/>
        </w:rPr>
        <w:t>.</w:t>
      </w:r>
    </w:p>
  </w:footnote>
  <w:footnote w:id="95">
    <w:p w14:paraId="0D43A13C" w14:textId="6E6B36DD" w:rsidR="0082500C" w:rsidRPr="00695F31" w:rsidRDefault="0082500C" w:rsidP="0082500C">
      <w:pPr>
        <w:pStyle w:val="FootnoteText"/>
        <w:jc w:val="both"/>
        <w:rPr>
          <w:rFonts w:ascii="Book Antiqua" w:hAnsi="Book Antiqua"/>
        </w:rPr>
      </w:pPr>
      <w:r w:rsidRPr="00695F31">
        <w:rPr>
          <w:rStyle w:val="FootnoteReference"/>
          <w:rFonts w:ascii="Book Antiqua" w:hAnsi="Book Antiqua"/>
        </w:rPr>
        <w:footnoteRef/>
      </w:r>
      <w:r w:rsidRPr="00695F31">
        <w:rPr>
          <w:rFonts w:ascii="Book Antiqua" w:hAnsi="Book Antiqua"/>
        </w:rPr>
        <w:t xml:space="preserve"> </w:t>
      </w:r>
      <w:r w:rsidRPr="00695F31">
        <w:rPr>
          <w:rFonts w:ascii="Book Antiqua" w:hAnsi="Book Antiqua"/>
        </w:rPr>
        <w:tab/>
      </w:r>
      <w:r w:rsidRPr="00695F31">
        <w:rPr>
          <w:rFonts w:ascii="Book Antiqua" w:hAnsi="Book Antiqua"/>
          <w:i/>
          <w:iCs/>
        </w:rPr>
        <w:t>Íd</w:t>
      </w:r>
      <w:r w:rsidRPr="00695F31">
        <w:rPr>
          <w:rFonts w:ascii="Book Antiqua" w:hAnsi="Book Antiqua"/>
        </w:rPr>
        <w:t xml:space="preserve">., pág. 2. </w:t>
      </w:r>
    </w:p>
  </w:footnote>
  <w:footnote w:id="96">
    <w:p w14:paraId="3296D3A3" w14:textId="33309DF1" w:rsidR="009A0053" w:rsidRPr="00695F31" w:rsidRDefault="009A0053">
      <w:pPr>
        <w:pStyle w:val="FootnoteText"/>
        <w:rPr>
          <w:rFonts w:ascii="Book Antiqua" w:hAnsi="Book Antiqua"/>
        </w:rPr>
      </w:pPr>
      <w:r w:rsidRPr="00695F31">
        <w:rPr>
          <w:rStyle w:val="FootnoteReference"/>
          <w:rFonts w:ascii="Book Antiqua" w:hAnsi="Book Antiqua"/>
        </w:rPr>
        <w:footnoteRef/>
      </w:r>
      <w:r w:rsidRPr="00695F31">
        <w:rPr>
          <w:rFonts w:ascii="Book Antiqua" w:hAnsi="Book Antiqua"/>
        </w:rPr>
        <w:t xml:space="preserve"> </w:t>
      </w:r>
      <w:r w:rsidRPr="00695F31">
        <w:rPr>
          <w:rFonts w:ascii="Book Antiqua" w:hAnsi="Book Antiqua"/>
        </w:rPr>
        <w:tab/>
      </w:r>
      <w:r w:rsidRPr="00695F31">
        <w:rPr>
          <w:rFonts w:ascii="Book Antiqua" w:hAnsi="Book Antiqua"/>
          <w:i/>
          <w:iCs/>
        </w:rPr>
        <w:t>Íd</w:t>
      </w:r>
      <w:r w:rsidRPr="00695F31">
        <w:rPr>
          <w:rFonts w:ascii="Book Antiqua" w:hAnsi="Book Antiqua"/>
        </w:rPr>
        <w:t xml:space="preserve">., pág. 2. </w:t>
      </w:r>
    </w:p>
  </w:footnote>
  <w:footnote w:id="97">
    <w:p w14:paraId="4824710C" w14:textId="5559BF4C" w:rsidR="009A0053" w:rsidRPr="004470A2" w:rsidRDefault="009A0053">
      <w:pPr>
        <w:pStyle w:val="FootnoteText"/>
        <w:rPr>
          <w:rFonts w:ascii="Book Antiqua" w:hAnsi="Book Antiqua"/>
          <w:lang w:val="pt-BR"/>
        </w:rPr>
      </w:pPr>
      <w:r w:rsidRPr="00695F31">
        <w:rPr>
          <w:rStyle w:val="FootnoteReference"/>
          <w:rFonts w:ascii="Book Antiqua" w:hAnsi="Book Antiqua"/>
        </w:rPr>
        <w:footnoteRef/>
      </w:r>
      <w:r w:rsidRPr="004470A2">
        <w:rPr>
          <w:rFonts w:ascii="Book Antiqua" w:hAnsi="Book Antiqua"/>
          <w:lang w:val="pt-BR"/>
        </w:rPr>
        <w:t xml:space="preserve"> </w:t>
      </w:r>
      <w:r w:rsidRPr="004470A2">
        <w:rPr>
          <w:rFonts w:ascii="Book Antiqua" w:hAnsi="Book Antiqua"/>
          <w:lang w:val="pt-BR"/>
        </w:rPr>
        <w:tab/>
        <w:t xml:space="preserve">ALPR, </w:t>
      </w:r>
      <w:r w:rsidRPr="004470A2">
        <w:rPr>
          <w:rFonts w:ascii="Book Antiqua" w:hAnsi="Book Antiqua"/>
          <w:i/>
          <w:iCs/>
          <w:lang w:val="pt-BR"/>
        </w:rPr>
        <w:t>supra</w:t>
      </w:r>
      <w:r w:rsidRPr="004470A2">
        <w:rPr>
          <w:rFonts w:ascii="Book Antiqua" w:hAnsi="Book Antiqua"/>
          <w:lang w:val="pt-BR"/>
        </w:rPr>
        <w:t xml:space="preserve">, pág. 2. </w:t>
      </w:r>
    </w:p>
  </w:footnote>
  <w:footnote w:id="98">
    <w:p w14:paraId="5B91F95C" w14:textId="5BDC1BF5" w:rsidR="00695F31" w:rsidRPr="004470A2" w:rsidRDefault="00695F31">
      <w:pPr>
        <w:pStyle w:val="FootnoteText"/>
        <w:rPr>
          <w:rFonts w:ascii="Book Antiqua" w:hAnsi="Book Antiqua"/>
          <w:lang w:val="pt-BR"/>
        </w:rPr>
      </w:pPr>
      <w:r w:rsidRPr="00695F31">
        <w:rPr>
          <w:rStyle w:val="FootnoteReference"/>
          <w:rFonts w:ascii="Book Antiqua" w:hAnsi="Book Antiqua"/>
        </w:rPr>
        <w:footnoteRef/>
      </w:r>
      <w:r w:rsidRPr="004470A2">
        <w:rPr>
          <w:rFonts w:ascii="Book Antiqua" w:hAnsi="Book Antiqua"/>
          <w:lang w:val="pt-BR"/>
        </w:rPr>
        <w:t xml:space="preserve"> </w:t>
      </w:r>
      <w:r w:rsidRPr="004470A2">
        <w:rPr>
          <w:rFonts w:ascii="Book Antiqua" w:hAnsi="Book Antiqua"/>
          <w:lang w:val="pt-BR"/>
        </w:rPr>
        <w:tab/>
      </w:r>
      <w:r w:rsidRPr="004470A2">
        <w:rPr>
          <w:rFonts w:ascii="Book Antiqua" w:hAnsi="Book Antiqua"/>
          <w:i/>
          <w:iCs/>
          <w:lang w:val="pt-BR"/>
        </w:rPr>
        <w:t>Íd</w:t>
      </w:r>
      <w:r w:rsidRPr="004470A2">
        <w:rPr>
          <w:rFonts w:ascii="Book Antiqua" w:hAnsi="Book Antiqua"/>
          <w:lang w:val="pt-BR"/>
        </w:rPr>
        <w:t xml:space="preserve">., pág. 3. </w:t>
      </w:r>
    </w:p>
  </w:footnote>
  <w:footnote w:id="99">
    <w:p w14:paraId="2E8B75FD" w14:textId="72566BEA" w:rsidR="00695F31" w:rsidRPr="00695F31" w:rsidRDefault="00695F31">
      <w:pPr>
        <w:pStyle w:val="FootnoteText"/>
      </w:pPr>
      <w:r w:rsidRPr="00695F31">
        <w:rPr>
          <w:rStyle w:val="FootnoteReference"/>
          <w:rFonts w:ascii="Book Antiqua" w:hAnsi="Book Antiqua"/>
        </w:rPr>
        <w:footnoteRef/>
      </w:r>
      <w:r w:rsidRPr="00695F31">
        <w:rPr>
          <w:rFonts w:ascii="Book Antiqua" w:hAnsi="Book Antiqua"/>
        </w:rPr>
        <w:t xml:space="preserve"> </w:t>
      </w:r>
      <w:r w:rsidRPr="00695F31">
        <w:rPr>
          <w:rFonts w:ascii="Book Antiqua" w:hAnsi="Book Antiqua"/>
        </w:rPr>
        <w:tab/>
      </w:r>
      <w:r w:rsidRPr="00695F31">
        <w:rPr>
          <w:rFonts w:ascii="Book Antiqua" w:hAnsi="Book Antiqua"/>
          <w:i/>
          <w:iCs/>
        </w:rPr>
        <w:t>Íd</w:t>
      </w:r>
      <w:r w:rsidRPr="00695F31">
        <w:rPr>
          <w:rFonts w:ascii="Book Antiqua" w:hAnsi="Book Antiqua"/>
        </w:rPr>
        <w:t>.</w:t>
      </w:r>
    </w:p>
  </w:footnote>
  <w:footnote w:id="100">
    <w:p w14:paraId="2270FA63" w14:textId="03D0D724" w:rsidR="00695F31" w:rsidRPr="000A312B" w:rsidRDefault="00695F31">
      <w:pPr>
        <w:pStyle w:val="FootnoteText"/>
        <w:rPr>
          <w:rFonts w:ascii="Book Antiqua" w:hAnsi="Book Antiqua"/>
        </w:rPr>
      </w:pPr>
      <w:r w:rsidRPr="000A312B">
        <w:rPr>
          <w:rStyle w:val="FootnoteReference"/>
          <w:rFonts w:ascii="Book Antiqua" w:hAnsi="Book Antiqua"/>
        </w:rPr>
        <w:footnoteRef/>
      </w:r>
      <w:r w:rsidRPr="000A312B">
        <w:rPr>
          <w:rFonts w:ascii="Book Antiqua" w:hAnsi="Book Antiqua"/>
        </w:rPr>
        <w:t xml:space="preserve"> </w:t>
      </w:r>
      <w:r w:rsidRPr="000A312B">
        <w:rPr>
          <w:rFonts w:ascii="Book Antiqua" w:hAnsi="Book Antiqua"/>
        </w:rPr>
        <w:tab/>
      </w:r>
      <w:r w:rsidRPr="000A312B">
        <w:rPr>
          <w:rFonts w:ascii="Book Antiqua" w:hAnsi="Book Antiqua"/>
          <w:i/>
          <w:iCs/>
        </w:rPr>
        <w:t>Íd</w:t>
      </w:r>
      <w:r w:rsidRPr="000A312B">
        <w:rPr>
          <w:rFonts w:ascii="Book Antiqua" w:hAnsi="Book Antiqua"/>
        </w:rPr>
        <w:t>., pág. 4.</w:t>
      </w:r>
    </w:p>
  </w:footnote>
  <w:footnote w:id="101">
    <w:p w14:paraId="4B4D4A70" w14:textId="4EF29C74" w:rsidR="000A312B" w:rsidRPr="000A312B" w:rsidRDefault="000A312B">
      <w:pPr>
        <w:pStyle w:val="FootnoteText"/>
      </w:pPr>
      <w:r w:rsidRPr="000A312B">
        <w:rPr>
          <w:rStyle w:val="FootnoteReference"/>
          <w:rFonts w:ascii="Book Antiqua" w:hAnsi="Book Antiqua"/>
        </w:rPr>
        <w:footnoteRef/>
      </w:r>
      <w:r w:rsidRPr="000A312B">
        <w:rPr>
          <w:rFonts w:ascii="Book Antiqua" w:hAnsi="Book Antiqua"/>
        </w:rPr>
        <w:t xml:space="preserve"> </w:t>
      </w:r>
      <w:r w:rsidRPr="000A312B">
        <w:rPr>
          <w:rFonts w:ascii="Book Antiqua" w:hAnsi="Book Antiqua"/>
        </w:rPr>
        <w:tab/>
      </w:r>
      <w:r w:rsidRPr="000A312B">
        <w:rPr>
          <w:rFonts w:ascii="Book Antiqua" w:hAnsi="Book Antiqua"/>
          <w:i/>
          <w:iCs/>
        </w:rPr>
        <w:t>Íd</w:t>
      </w:r>
      <w:r w:rsidRPr="000A312B">
        <w:rPr>
          <w:rFonts w:ascii="Book Antiqua" w:hAnsi="Book Antiqua"/>
        </w:rPr>
        <w:t>.</w:t>
      </w:r>
    </w:p>
  </w:footnote>
  <w:footnote w:id="102">
    <w:p w14:paraId="59BDE7A7" w14:textId="00801299" w:rsidR="0052608D" w:rsidRPr="0082500C" w:rsidRDefault="0052608D" w:rsidP="0082500C">
      <w:pPr>
        <w:pStyle w:val="FootnoteText"/>
        <w:ind w:left="720" w:hanging="720"/>
        <w:jc w:val="both"/>
        <w:rPr>
          <w:rFonts w:ascii="Book Antiqua" w:hAnsi="Book Antiqua"/>
        </w:rPr>
      </w:pPr>
      <w:r w:rsidRPr="0082500C">
        <w:rPr>
          <w:rStyle w:val="FootnoteReference"/>
          <w:rFonts w:ascii="Book Antiqua" w:hAnsi="Book Antiqua"/>
        </w:rPr>
        <w:footnoteRef/>
      </w:r>
      <w:r w:rsidRPr="0082500C">
        <w:rPr>
          <w:rFonts w:ascii="Book Antiqua" w:hAnsi="Book Antiqua"/>
        </w:rPr>
        <w:t xml:space="preserve"> </w:t>
      </w:r>
      <w:r w:rsidRPr="0082500C">
        <w:rPr>
          <w:rFonts w:ascii="Book Antiqua" w:hAnsi="Book Antiqua"/>
        </w:rPr>
        <w:tab/>
        <w:t>Amigxs del Mar</w:t>
      </w:r>
      <w:r w:rsidR="006C7FFC" w:rsidRPr="0082500C">
        <w:rPr>
          <w:rFonts w:ascii="Book Antiqua" w:hAnsi="Book Antiqua"/>
        </w:rPr>
        <w:t xml:space="preserve">, </w:t>
      </w:r>
      <w:r w:rsidR="006C7FFC" w:rsidRPr="0082500C">
        <w:rPr>
          <w:rFonts w:ascii="Book Antiqua" w:hAnsi="Book Antiqua"/>
          <w:i/>
          <w:iCs/>
        </w:rPr>
        <w:t>Memorando: Sobre el Proyecto de la Cámara 1080 para enmendar los Capítulos I y II de la Ley Núm. 38-2017, según enmendada, conocida como “Ley de Procedimiento Administrativo Uniforme del Gobierno de Puerto Rico”</w:t>
      </w:r>
      <w:r w:rsidR="006C7FFC" w:rsidRPr="0082500C">
        <w:rPr>
          <w:rFonts w:ascii="Book Antiqua" w:hAnsi="Book Antiqua"/>
        </w:rPr>
        <w:t xml:space="preserve">, pág. 2 (7 de marzo de 2026). </w:t>
      </w:r>
    </w:p>
  </w:footnote>
  <w:footnote w:id="103">
    <w:p w14:paraId="388349C0" w14:textId="018EF6DF" w:rsidR="00E424E5" w:rsidRPr="0082500C" w:rsidRDefault="00E424E5" w:rsidP="0082500C">
      <w:pPr>
        <w:pStyle w:val="FootnoteText"/>
        <w:ind w:left="720" w:hanging="720"/>
        <w:jc w:val="both"/>
        <w:rPr>
          <w:rFonts w:ascii="Book Antiqua" w:hAnsi="Book Antiqua"/>
        </w:rPr>
      </w:pPr>
      <w:r w:rsidRPr="0082500C">
        <w:rPr>
          <w:rStyle w:val="FootnoteReference"/>
          <w:rFonts w:ascii="Book Antiqua" w:hAnsi="Book Antiqua"/>
        </w:rPr>
        <w:footnoteRef/>
      </w:r>
      <w:r w:rsidRPr="0082500C">
        <w:rPr>
          <w:rFonts w:ascii="Book Antiqua" w:hAnsi="Book Antiqua"/>
        </w:rPr>
        <w:t xml:space="preserve"> </w:t>
      </w:r>
      <w:r w:rsidRPr="0082500C">
        <w:rPr>
          <w:rFonts w:ascii="Book Antiqua" w:hAnsi="Book Antiqua"/>
        </w:rPr>
        <w:tab/>
      </w:r>
      <w:r w:rsidRPr="0082500C">
        <w:rPr>
          <w:rFonts w:ascii="Book Antiqua" w:hAnsi="Book Antiqua"/>
          <w:i/>
          <w:iCs/>
        </w:rPr>
        <w:t>Íd.</w:t>
      </w:r>
      <w:r w:rsidRPr="0082500C">
        <w:rPr>
          <w:rFonts w:ascii="Book Antiqua" w:hAnsi="Book Antiqua"/>
        </w:rPr>
        <w:t xml:space="preserve"> citando a </w:t>
      </w:r>
      <w:r w:rsidR="004A4385" w:rsidRPr="0082500C">
        <w:rPr>
          <w:rFonts w:ascii="Book Antiqua" w:hAnsi="Book Antiqua"/>
        </w:rPr>
        <w:t xml:space="preserve">P. de la C. 1080, Vigésima Asamblea Legislativa, 3ra </w:t>
      </w:r>
      <w:r w:rsidR="003A7AF7" w:rsidRPr="0082500C">
        <w:rPr>
          <w:rFonts w:ascii="Book Antiqua" w:hAnsi="Book Antiqua"/>
        </w:rPr>
        <w:t>Sesión</w:t>
      </w:r>
      <w:r w:rsidR="004A4385" w:rsidRPr="0082500C">
        <w:rPr>
          <w:rFonts w:ascii="Book Antiqua" w:hAnsi="Book Antiqua"/>
        </w:rPr>
        <w:t xml:space="preserve"> Ordinaria, pág. 3, líns. 10-13. </w:t>
      </w:r>
    </w:p>
  </w:footnote>
  <w:footnote w:id="104">
    <w:p w14:paraId="0CCA7F41" w14:textId="609BFDBB" w:rsidR="003A7AF7" w:rsidRPr="00AE076E" w:rsidRDefault="003A7AF7" w:rsidP="0082500C">
      <w:pPr>
        <w:pStyle w:val="FootnoteText"/>
        <w:jc w:val="both"/>
        <w:rPr>
          <w:rFonts w:ascii="Book Antiqua" w:hAnsi="Book Antiqua"/>
        </w:rPr>
      </w:pPr>
      <w:r w:rsidRPr="0082500C">
        <w:rPr>
          <w:rStyle w:val="FootnoteReference"/>
          <w:rFonts w:ascii="Book Antiqua" w:hAnsi="Book Antiqua"/>
        </w:rPr>
        <w:footnoteRef/>
      </w:r>
      <w:r w:rsidRPr="0082500C">
        <w:rPr>
          <w:rFonts w:ascii="Book Antiqua" w:hAnsi="Book Antiqua"/>
        </w:rPr>
        <w:t xml:space="preserve"> </w:t>
      </w:r>
      <w:r w:rsidRPr="0082500C">
        <w:rPr>
          <w:rFonts w:ascii="Book Antiqua" w:hAnsi="Book Antiqua"/>
        </w:rPr>
        <w:tab/>
      </w:r>
      <w:r w:rsidRPr="0082500C">
        <w:rPr>
          <w:rFonts w:ascii="Book Antiqua" w:hAnsi="Book Antiqua"/>
          <w:i/>
          <w:iCs/>
        </w:rPr>
        <w:t>Íd</w:t>
      </w:r>
      <w:r w:rsidRPr="0082500C">
        <w:rPr>
          <w:rFonts w:ascii="Book Antiqua" w:hAnsi="Book Antiqua"/>
        </w:rPr>
        <w:t>., pág. 2.</w:t>
      </w:r>
      <w:r w:rsidRPr="00AE076E">
        <w:rPr>
          <w:rFonts w:ascii="Book Antiqua" w:hAnsi="Book Antiqua"/>
        </w:rPr>
        <w:t xml:space="preserve"> </w:t>
      </w:r>
    </w:p>
  </w:footnote>
  <w:footnote w:id="105">
    <w:p w14:paraId="6C5E594B" w14:textId="4A93E219" w:rsidR="003A7AF7" w:rsidRPr="00AE076E" w:rsidRDefault="003A7AF7">
      <w:pPr>
        <w:pStyle w:val="FootnoteText"/>
      </w:pPr>
      <w:r w:rsidRPr="003A7AF7">
        <w:rPr>
          <w:rStyle w:val="FootnoteReference"/>
          <w:rFonts w:ascii="Book Antiqua" w:hAnsi="Book Antiqua"/>
        </w:rPr>
        <w:footnoteRef/>
      </w:r>
      <w:r w:rsidRPr="003A7AF7">
        <w:rPr>
          <w:rFonts w:ascii="Book Antiqua" w:hAnsi="Book Antiqua"/>
        </w:rPr>
        <w:t xml:space="preserve"> </w:t>
      </w:r>
      <w:r w:rsidRPr="00AE076E">
        <w:rPr>
          <w:rFonts w:ascii="Book Antiqua" w:hAnsi="Book Antiqua"/>
        </w:rPr>
        <w:tab/>
      </w:r>
      <w:r w:rsidRPr="00AE076E">
        <w:rPr>
          <w:rFonts w:ascii="Book Antiqua" w:hAnsi="Book Antiqua"/>
          <w:i/>
          <w:iCs/>
        </w:rPr>
        <w:t>Íd</w:t>
      </w:r>
      <w:r w:rsidRPr="00AE076E">
        <w:rPr>
          <w:rFonts w:ascii="Book Antiqua" w:hAnsi="Book Antiqua"/>
        </w:rPr>
        <w:t>., pág. 3.</w:t>
      </w:r>
      <w:r w:rsidRPr="00AE076E">
        <w:t xml:space="preserve"> </w:t>
      </w:r>
    </w:p>
  </w:footnote>
  <w:footnote w:id="106">
    <w:p w14:paraId="02208BC5" w14:textId="1D780894" w:rsidR="00F814E0" w:rsidRPr="00AE076E" w:rsidRDefault="00F814E0" w:rsidP="00F30BA8">
      <w:pPr>
        <w:pStyle w:val="FootnoteText"/>
        <w:jc w:val="both"/>
        <w:rPr>
          <w:rFonts w:ascii="Book Antiqua" w:hAnsi="Book Antiqua"/>
        </w:rPr>
      </w:pPr>
      <w:r w:rsidRPr="00F30BA8">
        <w:rPr>
          <w:rStyle w:val="FootnoteReference"/>
          <w:rFonts w:ascii="Book Antiqua" w:hAnsi="Book Antiqua"/>
        </w:rPr>
        <w:footnoteRef/>
      </w:r>
      <w:r w:rsidRPr="00F30BA8">
        <w:rPr>
          <w:rFonts w:ascii="Book Antiqua" w:hAnsi="Book Antiqua"/>
        </w:rPr>
        <w:t xml:space="preserve"> </w:t>
      </w:r>
      <w:r w:rsidRPr="00F30BA8">
        <w:rPr>
          <w:rFonts w:ascii="Book Antiqua" w:hAnsi="Book Antiqua"/>
        </w:rPr>
        <w:tab/>
      </w:r>
      <w:r w:rsidRPr="00AE076E">
        <w:rPr>
          <w:rFonts w:ascii="Book Antiqua" w:hAnsi="Book Antiqua"/>
          <w:i/>
          <w:iCs/>
        </w:rPr>
        <w:t>Íd</w:t>
      </w:r>
      <w:r w:rsidRPr="00AE076E">
        <w:rPr>
          <w:rFonts w:ascii="Book Antiqua" w:hAnsi="Book Antiqua"/>
        </w:rPr>
        <w:t xml:space="preserve">., pág. 3 citando a P. de la C. 1080, </w:t>
      </w:r>
      <w:r w:rsidRPr="00AE076E">
        <w:rPr>
          <w:rFonts w:ascii="Book Antiqua" w:hAnsi="Book Antiqua"/>
          <w:i/>
          <w:iCs/>
        </w:rPr>
        <w:t>supra</w:t>
      </w:r>
      <w:r w:rsidRPr="00AE076E">
        <w:rPr>
          <w:rFonts w:ascii="Book Antiqua" w:hAnsi="Book Antiqua"/>
        </w:rPr>
        <w:t>, pág. 12, líns. 1-5. (subrayado en el original).</w:t>
      </w:r>
    </w:p>
  </w:footnote>
  <w:footnote w:id="107">
    <w:p w14:paraId="442BC614" w14:textId="7C6381E2" w:rsidR="00E01A23" w:rsidRPr="00AE076E" w:rsidRDefault="00E01A23" w:rsidP="00F30BA8">
      <w:pPr>
        <w:pStyle w:val="FootnoteText"/>
        <w:jc w:val="both"/>
        <w:rPr>
          <w:rFonts w:ascii="Book Antiqua" w:hAnsi="Book Antiqua"/>
        </w:rPr>
      </w:pPr>
      <w:r w:rsidRPr="00F30BA8">
        <w:rPr>
          <w:rStyle w:val="FootnoteReference"/>
          <w:rFonts w:ascii="Book Antiqua" w:hAnsi="Book Antiqua"/>
        </w:rPr>
        <w:footnoteRef/>
      </w:r>
      <w:r w:rsidRPr="00F30BA8">
        <w:rPr>
          <w:rFonts w:ascii="Book Antiqua" w:hAnsi="Book Antiqua"/>
        </w:rPr>
        <w:t xml:space="preserve"> </w:t>
      </w:r>
      <w:r w:rsidRPr="00F30BA8">
        <w:rPr>
          <w:rFonts w:ascii="Book Antiqua" w:hAnsi="Book Antiqua"/>
        </w:rPr>
        <w:tab/>
        <w:t xml:space="preserve">Amigxs del Mar, </w:t>
      </w:r>
      <w:r w:rsidRPr="00F30BA8">
        <w:rPr>
          <w:rFonts w:ascii="Book Antiqua" w:hAnsi="Book Antiqua"/>
          <w:i/>
          <w:iCs/>
        </w:rPr>
        <w:t>supra</w:t>
      </w:r>
      <w:r w:rsidRPr="00F30BA8">
        <w:rPr>
          <w:rFonts w:ascii="Book Antiqua" w:hAnsi="Book Antiqua"/>
        </w:rPr>
        <w:t xml:space="preserve">, pág. 3. </w:t>
      </w:r>
    </w:p>
  </w:footnote>
  <w:footnote w:id="108">
    <w:p w14:paraId="768F209F" w14:textId="254F2B63" w:rsidR="00E01A23" w:rsidRPr="00AE076E" w:rsidRDefault="00E01A23" w:rsidP="00F30BA8">
      <w:pPr>
        <w:pStyle w:val="FootnoteText"/>
        <w:jc w:val="both"/>
        <w:rPr>
          <w:rFonts w:ascii="Book Antiqua" w:hAnsi="Book Antiqua"/>
        </w:rPr>
      </w:pPr>
      <w:r w:rsidRPr="00F30BA8">
        <w:rPr>
          <w:rStyle w:val="FootnoteReference"/>
          <w:rFonts w:ascii="Book Antiqua" w:hAnsi="Book Antiqua"/>
        </w:rPr>
        <w:footnoteRef/>
      </w:r>
      <w:r w:rsidRPr="00F30BA8">
        <w:rPr>
          <w:rFonts w:ascii="Book Antiqua" w:hAnsi="Book Antiqua"/>
        </w:rPr>
        <w:t xml:space="preserve"> </w:t>
      </w:r>
      <w:r w:rsidRPr="00F30BA8">
        <w:rPr>
          <w:rFonts w:ascii="Book Antiqua" w:hAnsi="Book Antiqua"/>
        </w:rPr>
        <w:tab/>
      </w:r>
      <w:r w:rsidRPr="00F30BA8">
        <w:rPr>
          <w:rFonts w:ascii="Book Antiqua" w:hAnsi="Book Antiqua"/>
          <w:i/>
          <w:iCs/>
        </w:rPr>
        <w:t>Íd</w:t>
      </w:r>
      <w:r w:rsidRPr="00F30BA8">
        <w:rPr>
          <w:rFonts w:ascii="Book Antiqua" w:hAnsi="Book Antiqua"/>
        </w:rPr>
        <w:t xml:space="preserve">., pág. 4. </w:t>
      </w:r>
    </w:p>
  </w:footnote>
  <w:footnote w:id="109">
    <w:p w14:paraId="27ADD1A6" w14:textId="7437314A" w:rsidR="00F30BA8" w:rsidRPr="00AE076E" w:rsidRDefault="00F30BA8" w:rsidP="00F30BA8">
      <w:pPr>
        <w:pStyle w:val="FootnoteText"/>
        <w:jc w:val="both"/>
      </w:pPr>
      <w:r w:rsidRPr="00F30BA8">
        <w:rPr>
          <w:rStyle w:val="FootnoteReference"/>
          <w:rFonts w:ascii="Book Antiqua" w:hAnsi="Book Antiqua"/>
        </w:rPr>
        <w:footnoteRef/>
      </w:r>
      <w:r w:rsidRPr="00F30BA8">
        <w:rPr>
          <w:rFonts w:ascii="Book Antiqua" w:hAnsi="Book Antiqua"/>
        </w:rPr>
        <w:t xml:space="preserve"> </w:t>
      </w:r>
      <w:r w:rsidRPr="00AE076E">
        <w:rPr>
          <w:rFonts w:ascii="Book Antiqua" w:hAnsi="Book Antiqua"/>
        </w:rPr>
        <w:tab/>
      </w:r>
      <w:r w:rsidRPr="00AE076E">
        <w:rPr>
          <w:rFonts w:ascii="Book Antiqua" w:hAnsi="Book Antiqua"/>
          <w:i/>
          <w:iCs/>
        </w:rPr>
        <w:t>Íd.</w:t>
      </w:r>
    </w:p>
  </w:footnote>
  <w:footnote w:id="110">
    <w:p w14:paraId="7F449AA0" w14:textId="47474167" w:rsidR="00455808" w:rsidRPr="00AE076E" w:rsidRDefault="00455808">
      <w:pPr>
        <w:pStyle w:val="FootnoteText"/>
      </w:pPr>
      <w:r>
        <w:rPr>
          <w:rStyle w:val="FootnoteReference"/>
        </w:rPr>
        <w:footnoteRef/>
      </w:r>
      <w:r>
        <w:t xml:space="preserve"> </w:t>
      </w:r>
      <w:r w:rsidR="00302AF1">
        <w:tab/>
      </w:r>
      <w:r w:rsidR="00302AF1" w:rsidRPr="00AE076E">
        <w:rPr>
          <w:rFonts w:ascii="Book Antiqua" w:hAnsi="Book Antiqua"/>
          <w:i/>
          <w:iCs/>
        </w:rPr>
        <w:t>Íd</w:t>
      </w:r>
      <w:r w:rsidR="00302AF1" w:rsidRPr="00AE076E">
        <w:rPr>
          <w:rFonts w:ascii="Book Antiqua" w:hAnsi="Book Antiqua"/>
        </w:rPr>
        <w:t>.</w:t>
      </w:r>
    </w:p>
  </w:footnote>
  <w:footnote w:id="111">
    <w:p w14:paraId="51F4B5BE" w14:textId="5401E09A" w:rsidR="00455808" w:rsidRPr="00302AF1" w:rsidRDefault="00455808">
      <w:pPr>
        <w:pStyle w:val="FootnoteText"/>
        <w:rPr>
          <w:rFonts w:ascii="Book Antiqua" w:hAnsi="Book Antiqua"/>
        </w:rPr>
      </w:pPr>
      <w:r w:rsidRPr="00302AF1">
        <w:rPr>
          <w:rStyle w:val="FootnoteReference"/>
          <w:rFonts w:ascii="Book Antiqua" w:hAnsi="Book Antiqua"/>
        </w:rPr>
        <w:footnoteRef/>
      </w:r>
      <w:r w:rsidRPr="00302AF1">
        <w:rPr>
          <w:rFonts w:ascii="Book Antiqua" w:hAnsi="Book Antiqua"/>
        </w:rPr>
        <w:t xml:space="preserve"> </w:t>
      </w:r>
      <w:r w:rsidRPr="00302AF1">
        <w:rPr>
          <w:rFonts w:ascii="Book Antiqua" w:hAnsi="Book Antiqua"/>
        </w:rPr>
        <w:tab/>
      </w:r>
      <w:r w:rsidR="00302AF1" w:rsidRPr="00302AF1">
        <w:rPr>
          <w:rFonts w:ascii="Book Antiqua" w:hAnsi="Book Antiqua"/>
          <w:i/>
          <w:iCs/>
        </w:rPr>
        <w:t>Íd.</w:t>
      </w:r>
    </w:p>
  </w:footnote>
  <w:footnote w:id="112">
    <w:p w14:paraId="0C78CA0C" w14:textId="5F6F9F5F" w:rsidR="00455808" w:rsidRPr="00302AF1" w:rsidRDefault="00455808">
      <w:pPr>
        <w:pStyle w:val="FootnoteText"/>
        <w:rPr>
          <w:rFonts w:ascii="Book Antiqua" w:hAnsi="Book Antiqua"/>
        </w:rPr>
      </w:pPr>
      <w:r w:rsidRPr="00302AF1">
        <w:rPr>
          <w:rStyle w:val="FootnoteReference"/>
          <w:rFonts w:ascii="Book Antiqua" w:hAnsi="Book Antiqua"/>
        </w:rPr>
        <w:footnoteRef/>
      </w:r>
      <w:r w:rsidRPr="00302AF1">
        <w:rPr>
          <w:rFonts w:ascii="Book Antiqua" w:hAnsi="Book Antiqua"/>
        </w:rPr>
        <w:t xml:space="preserve"> </w:t>
      </w:r>
      <w:r w:rsidRPr="00302AF1">
        <w:rPr>
          <w:rFonts w:ascii="Book Antiqua" w:hAnsi="Book Antiqua"/>
        </w:rPr>
        <w:tab/>
      </w:r>
      <w:r w:rsidR="00302AF1" w:rsidRPr="00302AF1">
        <w:rPr>
          <w:rFonts w:ascii="Book Antiqua" w:hAnsi="Book Antiqua"/>
        </w:rPr>
        <w:t xml:space="preserve">Amigxs del Mar, </w:t>
      </w:r>
      <w:r w:rsidR="00302AF1" w:rsidRPr="00302AF1">
        <w:rPr>
          <w:rFonts w:ascii="Book Antiqua" w:hAnsi="Book Antiqua"/>
          <w:i/>
          <w:iCs/>
        </w:rPr>
        <w:t>supra</w:t>
      </w:r>
      <w:r w:rsidR="00302AF1" w:rsidRPr="00302AF1">
        <w:rPr>
          <w:rFonts w:ascii="Book Antiqua" w:hAnsi="Book Antiqua"/>
        </w:rPr>
        <w:t>, pág. 4.</w:t>
      </w:r>
    </w:p>
  </w:footnote>
  <w:footnote w:id="113">
    <w:p w14:paraId="7C0E4D57" w14:textId="72B13C21" w:rsidR="00302AF1" w:rsidRPr="002C7BFD" w:rsidRDefault="00302AF1">
      <w:pPr>
        <w:pStyle w:val="FootnoteText"/>
        <w:rPr>
          <w:rFonts w:ascii="Book Antiqua" w:hAnsi="Book Antiqua"/>
        </w:rPr>
      </w:pPr>
      <w:r w:rsidRPr="00302AF1">
        <w:rPr>
          <w:rStyle w:val="FootnoteReference"/>
          <w:rFonts w:ascii="Book Antiqua" w:hAnsi="Book Antiqua"/>
        </w:rPr>
        <w:footnoteRef/>
      </w:r>
      <w:r w:rsidRPr="00302AF1">
        <w:rPr>
          <w:rFonts w:ascii="Book Antiqua" w:hAnsi="Book Antiqua"/>
        </w:rPr>
        <w:t xml:space="preserve"> </w:t>
      </w:r>
      <w:r w:rsidRPr="002C7BFD">
        <w:rPr>
          <w:rFonts w:ascii="Book Antiqua" w:hAnsi="Book Antiqua"/>
        </w:rPr>
        <w:tab/>
      </w:r>
      <w:r w:rsidR="002C7BFD" w:rsidRPr="002C7BFD">
        <w:rPr>
          <w:rFonts w:ascii="Book Antiqua" w:hAnsi="Book Antiqua"/>
        </w:rPr>
        <w:t xml:space="preserve">OPAL, </w:t>
      </w:r>
      <w:r w:rsidR="002C7BFD" w:rsidRPr="002C7BFD">
        <w:rPr>
          <w:rFonts w:ascii="Book Antiqua" w:hAnsi="Book Antiqua"/>
          <w:i/>
          <w:iCs/>
        </w:rPr>
        <w:t>supra</w:t>
      </w:r>
      <w:r w:rsidR="002C7BFD">
        <w:rPr>
          <w:rFonts w:ascii="Book Antiqua" w:hAnsi="Book Antiqua"/>
        </w:rPr>
        <w:t xml:space="preserve">, págs. 1 y 27. </w:t>
      </w:r>
    </w:p>
  </w:footnote>
  <w:footnote w:id="114">
    <w:p w14:paraId="4A996A12" w14:textId="77777777" w:rsidR="00302AF1" w:rsidRPr="002C7BFD" w:rsidRDefault="00302AF1" w:rsidP="00302AF1">
      <w:pPr>
        <w:pStyle w:val="FootnoteText"/>
      </w:pPr>
      <w:r w:rsidRPr="00302AF1">
        <w:rPr>
          <w:rStyle w:val="FootnoteReference"/>
          <w:rFonts w:ascii="Book Antiqua" w:hAnsi="Book Antiqua"/>
        </w:rPr>
        <w:footnoteRef/>
      </w:r>
      <w:r w:rsidRPr="00302AF1">
        <w:rPr>
          <w:rFonts w:ascii="Book Antiqua" w:hAnsi="Book Antiqua"/>
        </w:rPr>
        <w:t xml:space="preserve"> </w:t>
      </w:r>
      <w:r w:rsidRPr="00302AF1">
        <w:rPr>
          <w:rFonts w:ascii="Book Antiqua" w:hAnsi="Book Antiqua"/>
        </w:rPr>
        <w:tab/>
        <w:t xml:space="preserve">Departamento de Estado, </w:t>
      </w:r>
      <w:r w:rsidRPr="00302AF1">
        <w:rPr>
          <w:rFonts w:ascii="Book Antiqua" w:hAnsi="Book Antiqua"/>
          <w:i/>
          <w:iCs/>
        </w:rPr>
        <w:t>supra</w:t>
      </w:r>
      <w:r w:rsidRPr="00302AF1">
        <w:rPr>
          <w:rFonts w:ascii="Book Antiqua" w:hAnsi="Book Antiqua"/>
        </w:rPr>
        <w:t>, 18 de febrero de 2026, pág. 4.</w:t>
      </w:r>
    </w:p>
  </w:footnote>
  <w:footnote w:id="115">
    <w:p w14:paraId="66E40D55" w14:textId="1D69E8F6" w:rsidR="00890910" w:rsidRPr="002C7BFD" w:rsidRDefault="00890910">
      <w:pPr>
        <w:pStyle w:val="FootnoteText"/>
      </w:pPr>
      <w:r>
        <w:rPr>
          <w:rStyle w:val="FootnoteReference"/>
        </w:rPr>
        <w:footnoteRef/>
      </w:r>
      <w:r>
        <w:t xml:space="preserve"> </w:t>
      </w:r>
    </w:p>
  </w:footnote>
  <w:footnote w:id="116">
    <w:p w14:paraId="584EC6EE" w14:textId="0BC7F971" w:rsidR="00890910" w:rsidRPr="004470A2" w:rsidRDefault="00890910">
      <w:pPr>
        <w:pStyle w:val="FootnoteText"/>
      </w:pPr>
      <w:r>
        <w:rPr>
          <w:rStyle w:val="FootnoteReference"/>
        </w:rPr>
        <w:footnoteRef/>
      </w:r>
      <w:r>
        <w:t xml:space="preserve"> </w:t>
      </w:r>
      <w:r w:rsidR="00A81978">
        <w:tab/>
      </w:r>
      <w:r w:rsidR="00A81978" w:rsidRPr="00A81978">
        <w:rPr>
          <w:rFonts w:ascii="Book Antiqua" w:hAnsi="Book Antiqua"/>
        </w:rPr>
        <w:t xml:space="preserve">Departamento de Estado, </w:t>
      </w:r>
      <w:r w:rsidR="00A81978" w:rsidRPr="00A81978">
        <w:rPr>
          <w:rFonts w:ascii="Book Antiqua" w:hAnsi="Book Antiqua"/>
          <w:i/>
          <w:iCs/>
        </w:rPr>
        <w:t>supra</w:t>
      </w:r>
      <w:r w:rsidR="00A81978" w:rsidRPr="00A81978">
        <w:rPr>
          <w:rFonts w:ascii="Book Antiqua" w:hAnsi="Book Antiqua"/>
        </w:rPr>
        <w:t xml:space="preserve">, </w:t>
      </w:r>
      <w:r w:rsidR="00A81978">
        <w:rPr>
          <w:rFonts w:ascii="Book Antiqua" w:hAnsi="Book Antiqua"/>
        </w:rPr>
        <w:t>18</w:t>
      </w:r>
      <w:r w:rsidR="00A81978" w:rsidRPr="00A81978">
        <w:rPr>
          <w:rFonts w:ascii="Book Antiqua" w:hAnsi="Book Antiqua"/>
        </w:rPr>
        <w:t xml:space="preserve"> de febrero de 2026, pág. 4.</w:t>
      </w:r>
    </w:p>
  </w:footnote>
  <w:footnote w:id="117">
    <w:p w14:paraId="0B18E887" w14:textId="35A76B83" w:rsidR="00BB6A49" w:rsidRPr="00BB6A49" w:rsidRDefault="00BB6A49" w:rsidP="00BB6A49">
      <w:pPr>
        <w:pStyle w:val="FootnoteText"/>
        <w:ind w:left="720" w:hanging="720"/>
        <w:jc w:val="both"/>
        <w:rPr>
          <w:rFonts w:ascii="Book Antiqua" w:hAnsi="Book Antiqua"/>
        </w:rPr>
      </w:pPr>
      <w:r w:rsidRPr="00BB6A49">
        <w:rPr>
          <w:rStyle w:val="FootnoteReference"/>
          <w:rFonts w:ascii="Book Antiqua" w:hAnsi="Book Antiqua"/>
        </w:rPr>
        <w:footnoteRef/>
      </w:r>
      <w:r w:rsidRPr="00BB6A49">
        <w:rPr>
          <w:rFonts w:ascii="Book Antiqua" w:hAnsi="Book Antiqua"/>
        </w:rPr>
        <w:t xml:space="preserve"> </w:t>
      </w:r>
      <w:r w:rsidRPr="00BB6A49">
        <w:rPr>
          <w:rFonts w:ascii="Book Antiqua" w:hAnsi="Book Antiqua"/>
        </w:rPr>
        <w:tab/>
        <w:t>Hon. Jenniffer A. González Colón, Boletín Administrativo Núm. OE-2025-009</w:t>
      </w:r>
      <w:r>
        <w:rPr>
          <w:rFonts w:ascii="Book Antiqua" w:hAnsi="Book Antiqua"/>
        </w:rPr>
        <w:t xml:space="preserve">, </w:t>
      </w:r>
      <w:r w:rsidRPr="00BB6A49">
        <w:rPr>
          <w:rFonts w:ascii="Book Antiqua" w:hAnsi="Book Antiqua"/>
          <w:i/>
          <w:iCs/>
        </w:rPr>
        <w:t>Orden ejecutiva de la Gobernadora de Puerto Rico, Hon. Jennifer A. González Colón, para la revisión y actualización de las estructuras y sistemas gubernamentales, así como para la modernización y simplificación de los procesos, trámites, reglamentación, regulaciones y otras disposiciones</w:t>
      </w:r>
      <w:r>
        <w:rPr>
          <w:rFonts w:ascii="Book Antiqua" w:hAnsi="Book Antiqua"/>
        </w:rPr>
        <w:t>,</w:t>
      </w:r>
      <w:r w:rsidRPr="00BB6A49">
        <w:rPr>
          <w:rFonts w:ascii="Book Antiqua" w:hAnsi="Book Antiqua"/>
        </w:rPr>
        <w:t xml:space="preserve"> (4 de febrero de 2026), disponible en </w:t>
      </w:r>
      <w:hyperlink r:id="rId1" w:history="1">
        <w:r w:rsidRPr="00BB6A49">
          <w:rPr>
            <w:rStyle w:val="Hyperlink"/>
            <w:rFonts w:ascii="Book Antiqua" w:hAnsi="Book Antiqua"/>
          </w:rPr>
          <w:t>https://docs.pr.gov/files/Estado/OrdenesEjecutivas/2025/OE-2025-009.pdf</w:t>
        </w:r>
      </w:hyperlink>
      <w:r w:rsidRPr="00BB6A49">
        <w:rPr>
          <w:rFonts w:ascii="Book Antiqua" w:hAnsi="Book Antiqua"/>
        </w:rPr>
        <w:t xml:space="preserve">. </w:t>
      </w:r>
    </w:p>
  </w:footnote>
  <w:footnote w:id="118">
    <w:p w14:paraId="4A152C06" w14:textId="13FEF089" w:rsidR="00D41452" w:rsidRPr="00D41452" w:rsidRDefault="00D41452" w:rsidP="00D41452">
      <w:pPr>
        <w:pStyle w:val="FootnoteText"/>
        <w:ind w:left="720" w:hanging="720"/>
        <w:jc w:val="both"/>
      </w:pPr>
      <w:r>
        <w:rPr>
          <w:rStyle w:val="FootnoteReference"/>
        </w:rPr>
        <w:footnoteRef/>
      </w:r>
      <w:r>
        <w:t xml:space="preserve"> </w:t>
      </w:r>
      <w:r w:rsidRPr="00D41452">
        <w:tab/>
      </w:r>
      <w:r w:rsidRPr="00D41452">
        <w:rPr>
          <w:rFonts w:ascii="Book Antiqua" w:hAnsi="Book Antiqua"/>
        </w:rPr>
        <w:t xml:space="preserve">Ley Núm. 151-2004, según enmendada, conocida como </w:t>
      </w:r>
      <w:r w:rsidRPr="00D41452">
        <w:rPr>
          <w:rFonts w:ascii="Book Antiqua" w:hAnsi="Book Antiqua"/>
          <w:i/>
          <w:iCs/>
        </w:rPr>
        <w:t>Ley de Gobierno Electrónico</w:t>
      </w:r>
      <w:r>
        <w:rPr>
          <w:rFonts w:ascii="Book Antiqua" w:hAnsi="Book Antiqua"/>
        </w:rPr>
        <w:t xml:space="preserve">, 3 LPRA sec. 991 </w:t>
      </w:r>
      <w:r w:rsidRPr="00D41452">
        <w:rPr>
          <w:rFonts w:ascii="Book Antiqua" w:hAnsi="Book Antiqua"/>
          <w:i/>
          <w:iCs/>
        </w:rPr>
        <w:t>et seq</w:t>
      </w:r>
      <w:r>
        <w:rPr>
          <w:rFonts w:ascii="Book Antiqua" w:hAnsi="Book Antiqua"/>
        </w:rPr>
        <w:t xml:space="preserve">. </w:t>
      </w:r>
    </w:p>
  </w:footnote>
  <w:footnote w:id="119">
    <w:p w14:paraId="08D45B06" w14:textId="7312C8D0" w:rsidR="00D41452" w:rsidRPr="00D41452" w:rsidRDefault="00D41452" w:rsidP="00D41452">
      <w:pPr>
        <w:pStyle w:val="FootnoteText"/>
        <w:ind w:left="720" w:hanging="720"/>
        <w:jc w:val="both"/>
        <w:rPr>
          <w:rFonts w:ascii="Book Antiqua" w:hAnsi="Book Antiqua"/>
        </w:rPr>
      </w:pPr>
      <w:r w:rsidRPr="00D41452">
        <w:rPr>
          <w:rStyle w:val="FootnoteReference"/>
          <w:rFonts w:ascii="Book Antiqua" w:hAnsi="Book Antiqua"/>
        </w:rPr>
        <w:footnoteRef/>
      </w:r>
      <w:r w:rsidRPr="00D41452">
        <w:rPr>
          <w:rFonts w:ascii="Book Antiqua" w:hAnsi="Book Antiqua"/>
        </w:rPr>
        <w:t xml:space="preserve"> </w:t>
      </w:r>
      <w:r>
        <w:rPr>
          <w:rFonts w:ascii="Book Antiqua" w:hAnsi="Book Antiqua"/>
        </w:rPr>
        <w:tab/>
      </w:r>
      <w:r w:rsidRPr="00D41452">
        <w:rPr>
          <w:rFonts w:ascii="Book Antiqua" w:hAnsi="Book Antiqua"/>
        </w:rPr>
        <w:t xml:space="preserve">Ley Núm. 75-2019, según enmendada, conocida como </w:t>
      </w:r>
      <w:r w:rsidRPr="00D41452">
        <w:rPr>
          <w:rFonts w:ascii="Book Antiqua" w:hAnsi="Book Antiqua"/>
          <w:i/>
          <w:iCs/>
        </w:rPr>
        <w:t>Ley de la Puerto Rico Innovation and Technology Service</w:t>
      </w:r>
      <w:r w:rsidRPr="00D41452">
        <w:rPr>
          <w:rFonts w:ascii="Book Antiqua" w:hAnsi="Book Antiqua"/>
        </w:rPr>
        <w:t xml:space="preserve">, 3 LPRA sec. 9681 </w:t>
      </w:r>
      <w:r w:rsidRPr="00D41452">
        <w:rPr>
          <w:rFonts w:ascii="Book Antiqua" w:hAnsi="Book Antiqua"/>
          <w:i/>
          <w:iCs/>
        </w:rPr>
        <w:t>et seq</w:t>
      </w:r>
      <w:r w:rsidRPr="00D41452">
        <w:rPr>
          <w:rFonts w:ascii="Book Antiqua" w:hAnsi="Book Antiqua"/>
        </w:rPr>
        <w:t xml:space="preserve">. </w:t>
      </w:r>
    </w:p>
  </w:footnote>
  <w:footnote w:id="120">
    <w:p w14:paraId="00B79E04" w14:textId="32AEC262" w:rsidR="00D41452" w:rsidRPr="00D41452" w:rsidRDefault="00D41452" w:rsidP="00D41452">
      <w:pPr>
        <w:pStyle w:val="FootnoteText"/>
        <w:ind w:left="720" w:hanging="720"/>
        <w:jc w:val="both"/>
      </w:pPr>
      <w:r w:rsidRPr="00D41452">
        <w:rPr>
          <w:rStyle w:val="FootnoteReference"/>
          <w:rFonts w:ascii="Book Antiqua" w:hAnsi="Book Antiqua"/>
        </w:rPr>
        <w:footnoteRef/>
      </w:r>
      <w:r w:rsidRPr="00D41452">
        <w:rPr>
          <w:rFonts w:ascii="Book Antiqua" w:hAnsi="Book Antiqua"/>
        </w:rPr>
        <w:t xml:space="preserve"> </w:t>
      </w:r>
      <w:r>
        <w:rPr>
          <w:rFonts w:ascii="Book Antiqua" w:hAnsi="Book Antiqua"/>
        </w:rPr>
        <w:tab/>
      </w:r>
      <w:r w:rsidRPr="00D41452">
        <w:rPr>
          <w:rFonts w:ascii="Book Antiqua" w:hAnsi="Book Antiqua"/>
        </w:rPr>
        <w:t xml:space="preserve">Ley Núm. 148-2006, según enmendada, conocida como </w:t>
      </w:r>
      <w:r w:rsidRPr="00D41452">
        <w:rPr>
          <w:rFonts w:ascii="Book Antiqua" w:hAnsi="Book Antiqua"/>
          <w:i/>
          <w:iCs/>
        </w:rPr>
        <w:t>Ley de Transacciones Electrónicas</w:t>
      </w:r>
      <w:r w:rsidRPr="00D41452">
        <w:rPr>
          <w:rFonts w:ascii="Book Antiqua" w:hAnsi="Book Antiqua"/>
        </w:rPr>
        <w:t xml:space="preserve">, 10 LPRA sec. 4081 </w:t>
      </w:r>
      <w:r w:rsidRPr="00D41452">
        <w:rPr>
          <w:rFonts w:ascii="Book Antiqua" w:hAnsi="Book Antiqua"/>
          <w:i/>
          <w:iCs/>
        </w:rPr>
        <w:t>et seq</w:t>
      </w:r>
      <w:r w:rsidRPr="00D41452">
        <w:rPr>
          <w:rFonts w:ascii="Book Antiqua" w:hAnsi="Book Antiqua"/>
        </w:rPr>
        <w:t>.</w:t>
      </w:r>
      <w:r>
        <w:rPr>
          <w:rFonts w:ascii="Book Antiqua" w:hAnsi="Book Antiqua"/>
        </w:rPr>
        <w:t xml:space="preserve"> </w:t>
      </w:r>
    </w:p>
  </w:footnote>
  <w:footnote w:id="121">
    <w:p w14:paraId="192E14AD" w14:textId="215A4163" w:rsidR="00D41452" w:rsidRPr="00D41452" w:rsidRDefault="00D41452">
      <w:pPr>
        <w:pStyle w:val="FootnoteText"/>
        <w:rPr>
          <w:lang w:val="en-US"/>
        </w:rPr>
      </w:pPr>
      <w:r>
        <w:rPr>
          <w:rStyle w:val="FootnoteReference"/>
        </w:rPr>
        <w:footnoteRef/>
      </w:r>
      <w:r w:rsidRPr="00D24E1E">
        <w:rPr>
          <w:lang w:val="en-US"/>
        </w:rPr>
        <w:t xml:space="preserve"> </w:t>
      </w:r>
      <w:r>
        <w:rPr>
          <w:lang w:val="en-US"/>
        </w:rPr>
        <w:tab/>
      </w:r>
      <w:r w:rsidRPr="00D24E1E">
        <w:rPr>
          <w:rFonts w:ascii="Book Antiqua" w:hAnsi="Book Antiqua"/>
          <w:i/>
          <w:iCs/>
          <w:lang w:val="en-US"/>
        </w:rPr>
        <w:t>Tricoche Matos v. Freire Div. of K.M.A. Associates of PR, Inc.,</w:t>
      </w:r>
      <w:r w:rsidRPr="00D24E1E">
        <w:rPr>
          <w:rFonts w:ascii="Book Antiqua" w:hAnsi="Book Antiqua"/>
          <w:lang w:val="en-US"/>
        </w:rPr>
        <w:t xml:space="preserve"> 216 DPR __ (2025), 2025 TSPR 92.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20810"/>
    <w:multiLevelType w:val="hybridMultilevel"/>
    <w:tmpl w:val="116260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1F017D"/>
    <w:multiLevelType w:val="hybridMultilevel"/>
    <w:tmpl w:val="8CD8A0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50347B6"/>
    <w:multiLevelType w:val="hybridMultilevel"/>
    <w:tmpl w:val="CDEC69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41608AE"/>
    <w:multiLevelType w:val="hybridMultilevel"/>
    <w:tmpl w:val="AF2CB20E"/>
    <w:lvl w:ilvl="0" w:tplc="0409000F">
      <w:start w:val="1"/>
      <w:numFmt w:val="decimal"/>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C2411CB"/>
    <w:multiLevelType w:val="hybridMultilevel"/>
    <w:tmpl w:val="F1C234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B54F6D"/>
    <w:multiLevelType w:val="hybridMultilevel"/>
    <w:tmpl w:val="76889D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871019"/>
    <w:multiLevelType w:val="hybridMultilevel"/>
    <w:tmpl w:val="6428BB1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1B35935"/>
    <w:multiLevelType w:val="hybridMultilevel"/>
    <w:tmpl w:val="411071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AAD4EC9"/>
    <w:multiLevelType w:val="hybridMultilevel"/>
    <w:tmpl w:val="78EA1184"/>
    <w:lvl w:ilvl="0" w:tplc="597205F8">
      <w:start w:val="1"/>
      <w:numFmt w:val="decimal"/>
      <w:lvlText w:val="%1."/>
      <w:lvlJc w:val="left"/>
      <w:pPr>
        <w:ind w:left="1440" w:hanging="360"/>
      </w:pPr>
      <w:rPr>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334961873">
    <w:abstractNumId w:val="5"/>
  </w:num>
  <w:num w:numId="2" w16cid:durableId="1796752155">
    <w:abstractNumId w:val="4"/>
  </w:num>
  <w:num w:numId="3" w16cid:durableId="1833058163">
    <w:abstractNumId w:val="8"/>
  </w:num>
  <w:num w:numId="4" w16cid:durableId="151996382">
    <w:abstractNumId w:val="7"/>
  </w:num>
  <w:num w:numId="5" w16cid:durableId="1383552919">
    <w:abstractNumId w:val="2"/>
  </w:num>
  <w:num w:numId="6" w16cid:durableId="760948948">
    <w:abstractNumId w:val="1"/>
  </w:num>
  <w:num w:numId="7" w16cid:durableId="372921983">
    <w:abstractNumId w:val="0"/>
  </w:num>
  <w:num w:numId="8" w16cid:durableId="570308379">
    <w:abstractNumId w:val="3"/>
  </w:num>
  <w:num w:numId="9" w16cid:durableId="12361609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F0"/>
    <w:rsid w:val="00010D4B"/>
    <w:rsid w:val="00040D99"/>
    <w:rsid w:val="0004198B"/>
    <w:rsid w:val="00047647"/>
    <w:rsid w:val="000503BF"/>
    <w:rsid w:val="00053B4D"/>
    <w:rsid w:val="00055081"/>
    <w:rsid w:val="0006062E"/>
    <w:rsid w:val="00062923"/>
    <w:rsid w:val="00075A72"/>
    <w:rsid w:val="00083DB6"/>
    <w:rsid w:val="00087E69"/>
    <w:rsid w:val="000A235C"/>
    <w:rsid w:val="000A312B"/>
    <w:rsid w:val="000B275E"/>
    <w:rsid w:val="000B2860"/>
    <w:rsid w:val="000C0ECB"/>
    <w:rsid w:val="000C232E"/>
    <w:rsid w:val="000C5343"/>
    <w:rsid w:val="000D76FC"/>
    <w:rsid w:val="000E3027"/>
    <w:rsid w:val="000F7370"/>
    <w:rsid w:val="001149A2"/>
    <w:rsid w:val="00116D6C"/>
    <w:rsid w:val="00121035"/>
    <w:rsid w:val="00122A92"/>
    <w:rsid w:val="00126B2D"/>
    <w:rsid w:val="00130008"/>
    <w:rsid w:val="0013170B"/>
    <w:rsid w:val="00131E08"/>
    <w:rsid w:val="0014295A"/>
    <w:rsid w:val="00155FF4"/>
    <w:rsid w:val="001578CC"/>
    <w:rsid w:val="0016410A"/>
    <w:rsid w:val="001752A9"/>
    <w:rsid w:val="00184D12"/>
    <w:rsid w:val="00194948"/>
    <w:rsid w:val="00196B89"/>
    <w:rsid w:val="001B0795"/>
    <w:rsid w:val="001B1548"/>
    <w:rsid w:val="001B4EAF"/>
    <w:rsid w:val="001D0744"/>
    <w:rsid w:val="001E1EB2"/>
    <w:rsid w:val="001E5D6C"/>
    <w:rsid w:val="001F12B4"/>
    <w:rsid w:val="001F404E"/>
    <w:rsid w:val="001F40D3"/>
    <w:rsid w:val="001F5CAD"/>
    <w:rsid w:val="0020165B"/>
    <w:rsid w:val="00235512"/>
    <w:rsid w:val="00247570"/>
    <w:rsid w:val="002554B3"/>
    <w:rsid w:val="00255C26"/>
    <w:rsid w:val="00265731"/>
    <w:rsid w:val="002753B7"/>
    <w:rsid w:val="00276365"/>
    <w:rsid w:val="002928F0"/>
    <w:rsid w:val="00294733"/>
    <w:rsid w:val="00297DB1"/>
    <w:rsid w:val="002B5A25"/>
    <w:rsid w:val="002C132D"/>
    <w:rsid w:val="002C7BFD"/>
    <w:rsid w:val="002D3140"/>
    <w:rsid w:val="002D578F"/>
    <w:rsid w:val="002E3564"/>
    <w:rsid w:val="002E46F2"/>
    <w:rsid w:val="002E4A3A"/>
    <w:rsid w:val="002F48BC"/>
    <w:rsid w:val="00302AF1"/>
    <w:rsid w:val="00304481"/>
    <w:rsid w:val="00312586"/>
    <w:rsid w:val="00312DC8"/>
    <w:rsid w:val="00331D65"/>
    <w:rsid w:val="0034567B"/>
    <w:rsid w:val="00352764"/>
    <w:rsid w:val="00364D55"/>
    <w:rsid w:val="00380CE0"/>
    <w:rsid w:val="003872EC"/>
    <w:rsid w:val="0038748D"/>
    <w:rsid w:val="00392771"/>
    <w:rsid w:val="00394C77"/>
    <w:rsid w:val="003A4282"/>
    <w:rsid w:val="003A73E0"/>
    <w:rsid w:val="003A7AF7"/>
    <w:rsid w:val="003B622A"/>
    <w:rsid w:val="003C54BF"/>
    <w:rsid w:val="003D0453"/>
    <w:rsid w:val="003F6F8A"/>
    <w:rsid w:val="00406F4D"/>
    <w:rsid w:val="004111A6"/>
    <w:rsid w:val="00414833"/>
    <w:rsid w:val="00417087"/>
    <w:rsid w:val="00422BB7"/>
    <w:rsid w:val="004267E1"/>
    <w:rsid w:val="004316C7"/>
    <w:rsid w:val="00433876"/>
    <w:rsid w:val="00440A59"/>
    <w:rsid w:val="00445064"/>
    <w:rsid w:val="004470A2"/>
    <w:rsid w:val="00455808"/>
    <w:rsid w:val="00465CE2"/>
    <w:rsid w:val="0047364B"/>
    <w:rsid w:val="00485951"/>
    <w:rsid w:val="004A0AC6"/>
    <w:rsid w:val="004A1BE5"/>
    <w:rsid w:val="004A2D24"/>
    <w:rsid w:val="004A3C82"/>
    <w:rsid w:val="004A4385"/>
    <w:rsid w:val="004A4E99"/>
    <w:rsid w:val="004A5647"/>
    <w:rsid w:val="004B2A29"/>
    <w:rsid w:val="004D0894"/>
    <w:rsid w:val="004D44C6"/>
    <w:rsid w:val="004E0F19"/>
    <w:rsid w:val="004E197E"/>
    <w:rsid w:val="004F7549"/>
    <w:rsid w:val="00504A43"/>
    <w:rsid w:val="0052608D"/>
    <w:rsid w:val="00537606"/>
    <w:rsid w:val="005449BC"/>
    <w:rsid w:val="00546B8D"/>
    <w:rsid w:val="00565ABE"/>
    <w:rsid w:val="00596031"/>
    <w:rsid w:val="005977BF"/>
    <w:rsid w:val="005B7DE9"/>
    <w:rsid w:val="005C2470"/>
    <w:rsid w:val="005C6849"/>
    <w:rsid w:val="005E118E"/>
    <w:rsid w:val="005F1042"/>
    <w:rsid w:val="005F79B8"/>
    <w:rsid w:val="006032D2"/>
    <w:rsid w:val="0060366D"/>
    <w:rsid w:val="0061551C"/>
    <w:rsid w:val="006229F1"/>
    <w:rsid w:val="0063783F"/>
    <w:rsid w:val="00647DED"/>
    <w:rsid w:val="006548AD"/>
    <w:rsid w:val="00655F52"/>
    <w:rsid w:val="00663D4E"/>
    <w:rsid w:val="00667221"/>
    <w:rsid w:val="006736F9"/>
    <w:rsid w:val="00675DC7"/>
    <w:rsid w:val="00683501"/>
    <w:rsid w:val="006864F6"/>
    <w:rsid w:val="00695F31"/>
    <w:rsid w:val="006A092E"/>
    <w:rsid w:val="006A3C2B"/>
    <w:rsid w:val="006A717B"/>
    <w:rsid w:val="006B7733"/>
    <w:rsid w:val="006B79E0"/>
    <w:rsid w:val="006C6ADE"/>
    <w:rsid w:val="006C7FFC"/>
    <w:rsid w:val="006F5D38"/>
    <w:rsid w:val="006F61CA"/>
    <w:rsid w:val="007010DC"/>
    <w:rsid w:val="00702959"/>
    <w:rsid w:val="00707D89"/>
    <w:rsid w:val="007119D0"/>
    <w:rsid w:val="00725736"/>
    <w:rsid w:val="00725BF8"/>
    <w:rsid w:val="00727F09"/>
    <w:rsid w:val="00732ADB"/>
    <w:rsid w:val="00737B6A"/>
    <w:rsid w:val="00745416"/>
    <w:rsid w:val="007475FE"/>
    <w:rsid w:val="007479C5"/>
    <w:rsid w:val="00753E0F"/>
    <w:rsid w:val="0076518E"/>
    <w:rsid w:val="00765955"/>
    <w:rsid w:val="007703AC"/>
    <w:rsid w:val="0077572B"/>
    <w:rsid w:val="00775DC3"/>
    <w:rsid w:val="0078577E"/>
    <w:rsid w:val="007908EA"/>
    <w:rsid w:val="00792C46"/>
    <w:rsid w:val="00792F5A"/>
    <w:rsid w:val="007A354B"/>
    <w:rsid w:val="007B0455"/>
    <w:rsid w:val="007D7A61"/>
    <w:rsid w:val="007E23F0"/>
    <w:rsid w:val="007F1076"/>
    <w:rsid w:val="007F113F"/>
    <w:rsid w:val="007F126E"/>
    <w:rsid w:val="00804BB9"/>
    <w:rsid w:val="00815138"/>
    <w:rsid w:val="00820E21"/>
    <w:rsid w:val="0082185F"/>
    <w:rsid w:val="00824BFE"/>
    <w:rsid w:val="0082500C"/>
    <w:rsid w:val="00832A99"/>
    <w:rsid w:val="00843617"/>
    <w:rsid w:val="008445AB"/>
    <w:rsid w:val="00845457"/>
    <w:rsid w:val="00860EC4"/>
    <w:rsid w:val="00862A5F"/>
    <w:rsid w:val="00864F41"/>
    <w:rsid w:val="00872503"/>
    <w:rsid w:val="00884D33"/>
    <w:rsid w:val="00887245"/>
    <w:rsid w:val="00890910"/>
    <w:rsid w:val="008A26CD"/>
    <w:rsid w:val="008A4272"/>
    <w:rsid w:val="008A7707"/>
    <w:rsid w:val="008B136E"/>
    <w:rsid w:val="008B2205"/>
    <w:rsid w:val="008C3B2E"/>
    <w:rsid w:val="008C5FE7"/>
    <w:rsid w:val="008D76FB"/>
    <w:rsid w:val="008D7B18"/>
    <w:rsid w:val="008D7B2F"/>
    <w:rsid w:val="008E1D6B"/>
    <w:rsid w:val="008E59D2"/>
    <w:rsid w:val="008F5773"/>
    <w:rsid w:val="008F6046"/>
    <w:rsid w:val="008F7986"/>
    <w:rsid w:val="00911863"/>
    <w:rsid w:val="0091317D"/>
    <w:rsid w:val="00915E71"/>
    <w:rsid w:val="00925E60"/>
    <w:rsid w:val="00927D8A"/>
    <w:rsid w:val="0093502D"/>
    <w:rsid w:val="009363FC"/>
    <w:rsid w:val="009364AF"/>
    <w:rsid w:val="00941C9C"/>
    <w:rsid w:val="009442AB"/>
    <w:rsid w:val="009471DA"/>
    <w:rsid w:val="00947E8C"/>
    <w:rsid w:val="00950C35"/>
    <w:rsid w:val="00960BA9"/>
    <w:rsid w:val="009722AA"/>
    <w:rsid w:val="009735EC"/>
    <w:rsid w:val="0098281E"/>
    <w:rsid w:val="009A0011"/>
    <w:rsid w:val="009A0053"/>
    <w:rsid w:val="009A0D1F"/>
    <w:rsid w:val="009B01D1"/>
    <w:rsid w:val="009B7BD9"/>
    <w:rsid w:val="009C28D3"/>
    <w:rsid w:val="009C5642"/>
    <w:rsid w:val="009D441B"/>
    <w:rsid w:val="009D593E"/>
    <w:rsid w:val="009D7122"/>
    <w:rsid w:val="009D76F2"/>
    <w:rsid w:val="009D7DC8"/>
    <w:rsid w:val="00A04477"/>
    <w:rsid w:val="00A0477E"/>
    <w:rsid w:val="00A350FB"/>
    <w:rsid w:val="00A54AF0"/>
    <w:rsid w:val="00A5783E"/>
    <w:rsid w:val="00A615C4"/>
    <w:rsid w:val="00A7082D"/>
    <w:rsid w:val="00A70C64"/>
    <w:rsid w:val="00A7562E"/>
    <w:rsid w:val="00A81978"/>
    <w:rsid w:val="00A82641"/>
    <w:rsid w:val="00A85425"/>
    <w:rsid w:val="00A92D7C"/>
    <w:rsid w:val="00A931F0"/>
    <w:rsid w:val="00A94C23"/>
    <w:rsid w:val="00A94D6C"/>
    <w:rsid w:val="00A96E54"/>
    <w:rsid w:val="00AB0792"/>
    <w:rsid w:val="00AB0F36"/>
    <w:rsid w:val="00AB7D4B"/>
    <w:rsid w:val="00AC04B8"/>
    <w:rsid w:val="00AC29DB"/>
    <w:rsid w:val="00AC4A07"/>
    <w:rsid w:val="00AC6B4B"/>
    <w:rsid w:val="00AD79E9"/>
    <w:rsid w:val="00AD7EF3"/>
    <w:rsid w:val="00AE076E"/>
    <w:rsid w:val="00B05281"/>
    <w:rsid w:val="00B07592"/>
    <w:rsid w:val="00B1602B"/>
    <w:rsid w:val="00B20943"/>
    <w:rsid w:val="00B33167"/>
    <w:rsid w:val="00B33B22"/>
    <w:rsid w:val="00B33F20"/>
    <w:rsid w:val="00B44FB9"/>
    <w:rsid w:val="00B5572D"/>
    <w:rsid w:val="00B638D1"/>
    <w:rsid w:val="00B67C4D"/>
    <w:rsid w:val="00B71591"/>
    <w:rsid w:val="00B87248"/>
    <w:rsid w:val="00B94A55"/>
    <w:rsid w:val="00BB6A49"/>
    <w:rsid w:val="00BC3AFC"/>
    <w:rsid w:val="00BD214E"/>
    <w:rsid w:val="00C03D6C"/>
    <w:rsid w:val="00C1455B"/>
    <w:rsid w:val="00C267AE"/>
    <w:rsid w:val="00C34B97"/>
    <w:rsid w:val="00C36EC1"/>
    <w:rsid w:val="00C64058"/>
    <w:rsid w:val="00C73967"/>
    <w:rsid w:val="00C75809"/>
    <w:rsid w:val="00C941F1"/>
    <w:rsid w:val="00CA0E1C"/>
    <w:rsid w:val="00CA12CB"/>
    <w:rsid w:val="00CA60FD"/>
    <w:rsid w:val="00CB1979"/>
    <w:rsid w:val="00CB2BA0"/>
    <w:rsid w:val="00CC4656"/>
    <w:rsid w:val="00CC52D1"/>
    <w:rsid w:val="00CD09BE"/>
    <w:rsid w:val="00CD5CFE"/>
    <w:rsid w:val="00CE4CF6"/>
    <w:rsid w:val="00CE6DAA"/>
    <w:rsid w:val="00CF6184"/>
    <w:rsid w:val="00D02CDF"/>
    <w:rsid w:val="00D03212"/>
    <w:rsid w:val="00D11501"/>
    <w:rsid w:val="00D21B1F"/>
    <w:rsid w:val="00D24E1E"/>
    <w:rsid w:val="00D335D7"/>
    <w:rsid w:val="00D36E37"/>
    <w:rsid w:val="00D41452"/>
    <w:rsid w:val="00D6171B"/>
    <w:rsid w:val="00D619D1"/>
    <w:rsid w:val="00D6465F"/>
    <w:rsid w:val="00D66489"/>
    <w:rsid w:val="00D92A8F"/>
    <w:rsid w:val="00D92DD5"/>
    <w:rsid w:val="00D96323"/>
    <w:rsid w:val="00D97AD8"/>
    <w:rsid w:val="00DA35FB"/>
    <w:rsid w:val="00DA626E"/>
    <w:rsid w:val="00DA7C29"/>
    <w:rsid w:val="00DB44B5"/>
    <w:rsid w:val="00DD08D2"/>
    <w:rsid w:val="00DD1EBD"/>
    <w:rsid w:val="00DD76F7"/>
    <w:rsid w:val="00E01A23"/>
    <w:rsid w:val="00E26E8C"/>
    <w:rsid w:val="00E31E91"/>
    <w:rsid w:val="00E424E5"/>
    <w:rsid w:val="00E47DF1"/>
    <w:rsid w:val="00E53500"/>
    <w:rsid w:val="00E557E1"/>
    <w:rsid w:val="00E82740"/>
    <w:rsid w:val="00E92C53"/>
    <w:rsid w:val="00E97F9B"/>
    <w:rsid w:val="00EA6EE4"/>
    <w:rsid w:val="00EC3642"/>
    <w:rsid w:val="00EC4DB4"/>
    <w:rsid w:val="00ED0791"/>
    <w:rsid w:val="00ED27EA"/>
    <w:rsid w:val="00EE614E"/>
    <w:rsid w:val="00EE7EF2"/>
    <w:rsid w:val="00EF2D95"/>
    <w:rsid w:val="00EF5C83"/>
    <w:rsid w:val="00F06CD1"/>
    <w:rsid w:val="00F0725D"/>
    <w:rsid w:val="00F30A44"/>
    <w:rsid w:val="00F30BA8"/>
    <w:rsid w:val="00F35E4B"/>
    <w:rsid w:val="00F36C67"/>
    <w:rsid w:val="00F523E4"/>
    <w:rsid w:val="00F751C1"/>
    <w:rsid w:val="00F814E0"/>
    <w:rsid w:val="00F96831"/>
    <w:rsid w:val="00FA0580"/>
    <w:rsid w:val="00FA48A2"/>
    <w:rsid w:val="00FA73BD"/>
    <w:rsid w:val="00FC0324"/>
    <w:rsid w:val="00FC4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FEEC3"/>
  <w15:chartTrackingRefBased/>
  <w15:docId w15:val="{B1F25BE9-FB9C-4A2C-ACF4-6EB953A5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AF0"/>
    <w:rPr>
      <w:lang w:val="es-PR"/>
    </w:rPr>
  </w:style>
  <w:style w:type="paragraph" w:styleId="Heading1">
    <w:name w:val="heading 1"/>
    <w:basedOn w:val="Normal"/>
    <w:next w:val="Normal"/>
    <w:link w:val="Heading1Char"/>
    <w:uiPriority w:val="9"/>
    <w:qFormat/>
    <w:rsid w:val="00A54A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A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A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A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A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A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A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A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A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AF0"/>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A54AF0"/>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A54AF0"/>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A54AF0"/>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A54AF0"/>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A54AF0"/>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A54AF0"/>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A54AF0"/>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A54AF0"/>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A54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AF0"/>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A54A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AF0"/>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A54AF0"/>
    <w:pPr>
      <w:spacing w:before="160"/>
      <w:jc w:val="center"/>
    </w:pPr>
    <w:rPr>
      <w:i/>
      <w:iCs/>
      <w:color w:val="404040" w:themeColor="text1" w:themeTint="BF"/>
    </w:rPr>
  </w:style>
  <w:style w:type="character" w:customStyle="1" w:styleId="QuoteChar">
    <w:name w:val="Quote Char"/>
    <w:basedOn w:val="DefaultParagraphFont"/>
    <w:link w:val="Quote"/>
    <w:uiPriority w:val="29"/>
    <w:rsid w:val="00A54AF0"/>
    <w:rPr>
      <w:i/>
      <w:iCs/>
      <w:color w:val="404040" w:themeColor="text1" w:themeTint="BF"/>
      <w:lang w:val="es-PR"/>
    </w:rPr>
  </w:style>
  <w:style w:type="paragraph" w:styleId="ListParagraph">
    <w:name w:val="List Paragraph"/>
    <w:basedOn w:val="Normal"/>
    <w:uiPriority w:val="99"/>
    <w:qFormat/>
    <w:rsid w:val="00A54AF0"/>
    <w:pPr>
      <w:ind w:left="720"/>
      <w:contextualSpacing/>
    </w:pPr>
  </w:style>
  <w:style w:type="character" w:styleId="IntenseEmphasis">
    <w:name w:val="Intense Emphasis"/>
    <w:basedOn w:val="DefaultParagraphFont"/>
    <w:uiPriority w:val="21"/>
    <w:qFormat/>
    <w:rsid w:val="00A54AF0"/>
    <w:rPr>
      <w:i/>
      <w:iCs/>
      <w:color w:val="0F4761" w:themeColor="accent1" w:themeShade="BF"/>
    </w:rPr>
  </w:style>
  <w:style w:type="paragraph" w:styleId="IntenseQuote">
    <w:name w:val="Intense Quote"/>
    <w:basedOn w:val="Normal"/>
    <w:next w:val="Normal"/>
    <w:link w:val="IntenseQuoteChar"/>
    <w:uiPriority w:val="30"/>
    <w:qFormat/>
    <w:rsid w:val="00A54A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AF0"/>
    <w:rPr>
      <w:i/>
      <w:iCs/>
      <w:color w:val="0F4761" w:themeColor="accent1" w:themeShade="BF"/>
      <w:lang w:val="es-PR"/>
    </w:rPr>
  </w:style>
  <w:style w:type="character" w:styleId="IntenseReference">
    <w:name w:val="Intense Reference"/>
    <w:basedOn w:val="DefaultParagraphFont"/>
    <w:uiPriority w:val="32"/>
    <w:qFormat/>
    <w:rsid w:val="00A54AF0"/>
    <w:rPr>
      <w:b/>
      <w:bCs/>
      <w:smallCaps/>
      <w:color w:val="0F4761" w:themeColor="accent1" w:themeShade="BF"/>
      <w:spacing w:val="5"/>
    </w:rPr>
  </w:style>
  <w:style w:type="paragraph" w:styleId="FootnoteText">
    <w:name w:val="footnote text"/>
    <w:basedOn w:val="Normal"/>
    <w:link w:val="FootnoteTextChar"/>
    <w:uiPriority w:val="99"/>
    <w:unhideWhenUsed/>
    <w:rsid w:val="00A54AF0"/>
    <w:pPr>
      <w:spacing w:after="0" w:line="240" w:lineRule="auto"/>
    </w:pPr>
    <w:rPr>
      <w:sz w:val="20"/>
      <w:szCs w:val="20"/>
    </w:rPr>
  </w:style>
  <w:style w:type="character" w:customStyle="1" w:styleId="FootnoteTextChar">
    <w:name w:val="Footnote Text Char"/>
    <w:basedOn w:val="DefaultParagraphFont"/>
    <w:link w:val="FootnoteText"/>
    <w:uiPriority w:val="99"/>
    <w:rsid w:val="00A54AF0"/>
    <w:rPr>
      <w:sz w:val="20"/>
      <w:szCs w:val="20"/>
      <w:lang w:val="es-PR"/>
    </w:rPr>
  </w:style>
  <w:style w:type="character" w:styleId="FootnoteReference">
    <w:name w:val="footnote reference"/>
    <w:uiPriority w:val="99"/>
    <w:unhideWhenUsed/>
    <w:rsid w:val="00A54AF0"/>
    <w:rPr>
      <w:rFonts w:cs="Times New Roman"/>
      <w:vertAlign w:val="superscript"/>
    </w:rPr>
  </w:style>
  <w:style w:type="paragraph" w:styleId="Header">
    <w:name w:val="header"/>
    <w:basedOn w:val="Normal"/>
    <w:link w:val="HeaderChar"/>
    <w:uiPriority w:val="99"/>
    <w:unhideWhenUsed/>
    <w:rsid w:val="00E97F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F9B"/>
    <w:rPr>
      <w:lang w:val="es-PR"/>
    </w:rPr>
  </w:style>
  <w:style w:type="paragraph" w:styleId="Footer">
    <w:name w:val="footer"/>
    <w:basedOn w:val="Normal"/>
    <w:link w:val="FooterChar"/>
    <w:uiPriority w:val="99"/>
    <w:unhideWhenUsed/>
    <w:rsid w:val="00E97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F9B"/>
    <w:rPr>
      <w:lang w:val="es-PR"/>
    </w:rPr>
  </w:style>
  <w:style w:type="character" w:customStyle="1" w:styleId="hps">
    <w:name w:val="hps"/>
    <w:basedOn w:val="DefaultParagraphFont"/>
    <w:rsid w:val="00392771"/>
  </w:style>
  <w:style w:type="character" w:styleId="Hyperlink">
    <w:name w:val="Hyperlink"/>
    <w:basedOn w:val="DefaultParagraphFont"/>
    <w:unhideWhenUsed/>
    <w:rsid w:val="009471DA"/>
    <w:rPr>
      <w:color w:val="0000FF"/>
      <w:u w:val="single"/>
    </w:rPr>
  </w:style>
  <w:style w:type="character" w:styleId="UnresolvedMention">
    <w:name w:val="Unresolved Mention"/>
    <w:basedOn w:val="DefaultParagraphFont"/>
    <w:uiPriority w:val="99"/>
    <w:semiHidden/>
    <w:unhideWhenUsed/>
    <w:rsid w:val="009471DA"/>
    <w:rPr>
      <w:color w:val="605E5C"/>
      <w:shd w:val="clear" w:color="auto" w:fill="E1DFDD"/>
    </w:rPr>
  </w:style>
  <w:style w:type="paragraph" w:styleId="NormalWeb">
    <w:name w:val="Normal (Web)"/>
    <w:basedOn w:val="Normal"/>
    <w:uiPriority w:val="99"/>
    <w:unhideWhenUsed/>
    <w:rsid w:val="0060366D"/>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styleId="NoSpacing">
    <w:name w:val="No Spacing"/>
    <w:uiPriority w:val="1"/>
    <w:qFormat/>
    <w:rsid w:val="00AB0F36"/>
    <w:pPr>
      <w:spacing w:after="0" w:line="240" w:lineRule="auto"/>
    </w:pPr>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gulation.go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docs.pr.gov/files/Estado/OrdenesEjecutivas/2025/OE-2025-00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1549E-9BAA-451C-803C-DF0700CF5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38</Pages>
  <Words>9754</Words>
  <Characters>55604</Characters>
  <Application>Microsoft Office Word</Application>
  <DocSecurity>4</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E. González Ramos</dc:creator>
  <cp:keywords/>
  <dc:description/>
  <cp:lastModifiedBy>Camyl Moreno Pantojas</cp:lastModifiedBy>
  <cp:revision>2</cp:revision>
  <cp:lastPrinted>2026-05-28T21:19:00Z</cp:lastPrinted>
  <dcterms:created xsi:type="dcterms:W3CDTF">2026-05-29T18:56:00Z</dcterms:created>
  <dcterms:modified xsi:type="dcterms:W3CDTF">2026-05-29T18:56:00Z</dcterms:modified>
</cp:coreProperties>
</file>