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33628" w14:textId="57B5A88F" w:rsidR="000D6AA6" w:rsidRDefault="000D6AA6" w:rsidP="003F655C">
      <w:pPr>
        <w:jc w:val="center"/>
        <w:rPr>
          <w:rFonts w:ascii="Book Antiqua" w:hAnsi="Book Antiqua"/>
          <w:sz w:val="36"/>
          <w:lang w:val="es-ES_tradnl"/>
        </w:rPr>
      </w:pPr>
      <w:proofErr w:type="spellStart"/>
      <w:r>
        <w:rPr>
          <w:rFonts w:ascii="Book Antiqua" w:hAnsi="Book Antiqua"/>
          <w:sz w:val="36"/>
          <w:lang w:val="es-ES_tradnl"/>
        </w:rPr>
        <w:t>Entirillado</w:t>
      </w:r>
      <w:proofErr w:type="spellEnd"/>
      <w:r>
        <w:rPr>
          <w:rFonts w:ascii="Book Antiqua" w:hAnsi="Book Antiqua"/>
          <w:sz w:val="36"/>
          <w:lang w:val="es-ES_tradnl"/>
        </w:rPr>
        <w:t xml:space="preserve"> electrónico</w:t>
      </w:r>
    </w:p>
    <w:p w14:paraId="10658ECD" w14:textId="22836700" w:rsidR="008C4672" w:rsidRDefault="003F655C" w:rsidP="003F655C">
      <w:pPr>
        <w:jc w:val="center"/>
        <w:rPr>
          <w:rFonts w:ascii="Book Antiqua" w:hAnsi="Book Antiqua"/>
          <w:sz w:val="36"/>
          <w:lang w:val="es-ES_tradnl"/>
        </w:rPr>
      </w:pPr>
      <w:r>
        <w:rPr>
          <w:rFonts w:ascii="Book Antiqua" w:hAnsi="Book Antiqua"/>
          <w:sz w:val="36"/>
          <w:lang w:val="es-ES_tradnl"/>
        </w:rPr>
        <w:t>GOBIERNO DE PUERTO RICO</w:t>
      </w:r>
    </w:p>
    <w:p w14:paraId="23240373" w14:textId="77777777" w:rsidR="003F655C" w:rsidRDefault="003F655C" w:rsidP="003F655C">
      <w:pPr>
        <w:jc w:val="center"/>
        <w:rPr>
          <w:rFonts w:ascii="Book Antiqua" w:hAnsi="Book Antiqua"/>
          <w:sz w:val="36"/>
          <w:lang w:val="es-ES_tradnl"/>
        </w:rPr>
      </w:pPr>
    </w:p>
    <w:p w14:paraId="37A5165D" w14:textId="77777777" w:rsidR="003F655C" w:rsidRDefault="002B508B" w:rsidP="003F655C">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3F655C">
        <w:rPr>
          <w:rFonts w:ascii="Book Antiqua" w:hAnsi="Book Antiqua"/>
          <w:vertAlign w:val="superscript"/>
          <w:lang w:val="es-ES_tradnl"/>
        </w:rPr>
        <w:t>a</w:t>
      </w:r>
      <w:r w:rsidR="00B632EA">
        <w:rPr>
          <w:rFonts w:ascii="Book Antiqua" w:hAnsi="Book Antiqua"/>
          <w:vertAlign w:val="superscript"/>
          <w:lang w:val="es-ES_tradnl"/>
        </w:rPr>
        <w:t>.</w:t>
      </w:r>
      <w:r w:rsidR="003F655C">
        <w:rPr>
          <w:rFonts w:ascii="Book Antiqua" w:hAnsi="Book Antiqua"/>
          <w:lang w:val="es-ES_tradnl"/>
        </w:rPr>
        <w:tab/>
        <w:t>Asamblea</w:t>
      </w:r>
      <w:r w:rsidR="003F655C">
        <w:rPr>
          <w:rFonts w:ascii="Book Antiqua" w:hAnsi="Book Antiqua"/>
          <w:lang w:val="es-ES_tradnl"/>
        </w:rPr>
        <w:tab/>
      </w:r>
      <w:r w:rsidR="009C357A">
        <w:rPr>
          <w:rFonts w:ascii="Book Antiqua" w:hAnsi="Book Antiqua"/>
          <w:lang w:val="es-ES_tradnl"/>
        </w:rPr>
        <w:t>3</w:t>
      </w:r>
      <w:r w:rsidR="009C357A">
        <w:rPr>
          <w:rFonts w:ascii="Book Antiqua" w:hAnsi="Book Antiqua"/>
          <w:vertAlign w:val="superscript"/>
          <w:lang w:val="es-ES_tradnl"/>
        </w:rPr>
        <w:t>r</w:t>
      </w:r>
      <w:r w:rsidR="003F655C">
        <w:rPr>
          <w:rFonts w:ascii="Book Antiqua" w:hAnsi="Book Antiqua"/>
          <w:vertAlign w:val="superscript"/>
          <w:lang w:val="es-ES_tradnl"/>
        </w:rPr>
        <w:t>a.</w:t>
      </w:r>
      <w:r w:rsidR="003F655C">
        <w:rPr>
          <w:rFonts w:ascii="Book Antiqua" w:hAnsi="Book Antiqua"/>
          <w:lang w:val="es-ES_tradnl"/>
        </w:rPr>
        <w:tab/>
        <w:t>Sesi</w:t>
      </w:r>
      <w:r w:rsidR="003F655C">
        <w:rPr>
          <w:rFonts w:ascii="Book Antiqua" w:hAnsi="Book Antiqua" w:hint="eastAsia"/>
          <w:lang w:val="es-ES_tradnl"/>
        </w:rPr>
        <w:t>ó</w:t>
      </w:r>
      <w:r w:rsidR="003F655C">
        <w:rPr>
          <w:rFonts w:ascii="Book Antiqua" w:hAnsi="Book Antiqua"/>
          <w:lang w:val="es-ES_tradnl"/>
        </w:rPr>
        <w:t>n</w:t>
      </w:r>
    </w:p>
    <w:p w14:paraId="5357C17B" w14:textId="77777777" w:rsidR="003F655C" w:rsidRDefault="003F655C" w:rsidP="003F655C">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68A66166" w14:textId="77777777" w:rsidR="003F655C" w:rsidRDefault="003F655C" w:rsidP="003F655C">
      <w:pPr>
        <w:rPr>
          <w:lang w:val="es-ES_tradnl"/>
        </w:rPr>
      </w:pPr>
    </w:p>
    <w:p w14:paraId="51F37E77" w14:textId="77777777" w:rsidR="003F655C" w:rsidRDefault="003F655C" w:rsidP="003F655C">
      <w:pPr>
        <w:jc w:val="center"/>
        <w:rPr>
          <w:rFonts w:ascii="Book Antiqua" w:hAnsi="Book Antiqua"/>
          <w:b/>
          <w:sz w:val="36"/>
          <w:lang w:val="es-ES_tradnl"/>
        </w:rPr>
      </w:pPr>
      <w:r>
        <w:rPr>
          <w:rFonts w:ascii="Book Antiqua" w:hAnsi="Book Antiqua"/>
          <w:b/>
          <w:sz w:val="36"/>
          <w:lang w:val="es-ES_tradnl"/>
        </w:rPr>
        <w:t>SENADO DE PUERTO RICO</w:t>
      </w:r>
    </w:p>
    <w:p w14:paraId="0547711A" w14:textId="77777777" w:rsidR="003F655C" w:rsidRDefault="003F655C" w:rsidP="003F655C">
      <w:pPr>
        <w:spacing w:before="240"/>
        <w:jc w:val="center"/>
        <w:rPr>
          <w:rFonts w:ascii="Book Antiqua" w:hAnsi="Book Antiqua"/>
          <w:b/>
          <w:sz w:val="52"/>
          <w:lang w:val="es-ES_tradnl"/>
        </w:rPr>
      </w:pPr>
      <w:r>
        <w:rPr>
          <w:rFonts w:ascii="Book Antiqua" w:hAnsi="Book Antiqua"/>
          <w:b/>
          <w:sz w:val="52"/>
          <w:lang w:val="es-ES_tradnl"/>
        </w:rPr>
        <w:t xml:space="preserve">P. del S. </w:t>
      </w:r>
      <w:r w:rsidR="00B11114">
        <w:rPr>
          <w:rFonts w:ascii="Book Antiqua" w:hAnsi="Book Antiqua"/>
          <w:b/>
          <w:sz w:val="52"/>
          <w:lang w:val="es-ES_tradnl"/>
        </w:rPr>
        <w:t>994</w:t>
      </w:r>
    </w:p>
    <w:p w14:paraId="20CAAC11" w14:textId="77777777" w:rsidR="003F655C" w:rsidRDefault="00B11114" w:rsidP="003F655C">
      <w:pPr>
        <w:spacing w:before="120"/>
        <w:jc w:val="center"/>
        <w:rPr>
          <w:rFonts w:ascii="Book Antiqua" w:hAnsi="Book Antiqua"/>
          <w:lang w:val="es-ES_tradnl"/>
        </w:rPr>
      </w:pPr>
      <w:r>
        <w:rPr>
          <w:rFonts w:ascii="Book Antiqua" w:hAnsi="Book Antiqua"/>
          <w:lang w:val="es-ES_tradnl"/>
        </w:rPr>
        <w:t xml:space="preserve">27 </w:t>
      </w:r>
      <w:r w:rsidR="00304394">
        <w:rPr>
          <w:rFonts w:ascii="Book Antiqua" w:hAnsi="Book Antiqua"/>
          <w:lang w:val="es-ES_tradnl"/>
        </w:rPr>
        <w:t xml:space="preserve">de </w:t>
      </w:r>
      <w:r w:rsidR="005E2840">
        <w:rPr>
          <w:rFonts w:ascii="Book Antiqua" w:hAnsi="Book Antiqua"/>
          <w:lang w:val="es-ES_tradnl"/>
        </w:rPr>
        <w:t>e</w:t>
      </w:r>
      <w:r w:rsidR="009C357A">
        <w:rPr>
          <w:rFonts w:ascii="Book Antiqua" w:hAnsi="Book Antiqua"/>
          <w:lang w:val="es-ES_tradnl"/>
        </w:rPr>
        <w:t>nero</w:t>
      </w:r>
      <w:r w:rsidR="002B508B">
        <w:rPr>
          <w:rFonts w:ascii="Book Antiqua" w:hAnsi="Book Antiqua"/>
          <w:lang w:val="es-ES_tradnl"/>
        </w:rPr>
        <w:t xml:space="preserve"> </w:t>
      </w:r>
      <w:r w:rsidR="003F655C">
        <w:rPr>
          <w:rFonts w:ascii="Book Antiqua" w:hAnsi="Book Antiqua"/>
          <w:lang w:val="es-ES_tradnl"/>
        </w:rPr>
        <w:t>de 20</w:t>
      </w:r>
      <w:r w:rsidR="002B508B">
        <w:rPr>
          <w:rFonts w:ascii="Book Antiqua" w:hAnsi="Book Antiqua"/>
          <w:lang w:val="es-ES_tradnl"/>
        </w:rPr>
        <w:t>2</w:t>
      </w:r>
      <w:r w:rsidR="009C357A">
        <w:rPr>
          <w:rFonts w:ascii="Book Antiqua" w:hAnsi="Book Antiqua"/>
          <w:lang w:val="es-ES_tradnl"/>
        </w:rPr>
        <w:t>6</w:t>
      </w:r>
    </w:p>
    <w:p w14:paraId="1A37D5CE" w14:textId="77777777" w:rsidR="003F655C" w:rsidRDefault="003F655C" w:rsidP="003F655C">
      <w:pPr>
        <w:spacing w:before="120"/>
        <w:jc w:val="center"/>
        <w:rPr>
          <w:rFonts w:ascii="Book Antiqua" w:hAnsi="Book Antiqua"/>
          <w:i/>
          <w:lang w:val="es-ES_tradnl"/>
        </w:rPr>
      </w:pPr>
      <w:r>
        <w:rPr>
          <w:rFonts w:ascii="Book Antiqua" w:hAnsi="Book Antiqua"/>
          <w:lang w:val="es-ES_tradnl"/>
        </w:rPr>
        <w:t>Presentado por el s</w:t>
      </w:r>
      <w:r w:rsidR="002B508B">
        <w:rPr>
          <w:rFonts w:ascii="Book Antiqua" w:hAnsi="Book Antiqua"/>
          <w:lang w:val="es-ES_tradnl"/>
        </w:rPr>
        <w:t>e</w:t>
      </w:r>
      <w:r w:rsidR="008A2CA9">
        <w:rPr>
          <w:rFonts w:ascii="Book Antiqua" w:hAnsi="Book Antiqua"/>
          <w:lang w:val="es-ES_tradnl"/>
        </w:rPr>
        <w:t>ñ</w:t>
      </w:r>
      <w:r w:rsidR="002B508B">
        <w:rPr>
          <w:rFonts w:ascii="Book Antiqua" w:hAnsi="Book Antiqua"/>
          <w:lang w:val="es-ES_tradnl"/>
        </w:rPr>
        <w:t>or</w:t>
      </w:r>
      <w:r>
        <w:rPr>
          <w:rFonts w:ascii="Book Antiqua" w:hAnsi="Book Antiqua"/>
          <w:lang w:val="es-ES_tradnl"/>
        </w:rPr>
        <w:t xml:space="preserve"> </w:t>
      </w:r>
      <w:r w:rsidR="005E2840">
        <w:rPr>
          <w:rFonts w:ascii="Book Antiqua" w:hAnsi="Book Antiqua"/>
          <w:i/>
          <w:lang w:val="es-ES_tradnl"/>
        </w:rPr>
        <w:t>Rivera Schatz</w:t>
      </w:r>
    </w:p>
    <w:p w14:paraId="6B11FA34" w14:textId="77777777" w:rsidR="00A72CEE" w:rsidRDefault="00A72CEE" w:rsidP="00A72CEE">
      <w:pPr>
        <w:suppressLineNumbers/>
        <w:spacing w:before="120"/>
        <w:jc w:val="center"/>
        <w:rPr>
          <w:rFonts w:ascii="Book Antiqua" w:hAnsi="Book Antiqua"/>
          <w:i/>
          <w:szCs w:val="24"/>
          <w:lang w:val="es-ES"/>
        </w:rPr>
      </w:pPr>
      <w:r w:rsidRPr="00A72CEE">
        <w:rPr>
          <w:rFonts w:ascii="Book Antiqua" w:hAnsi="Book Antiqua"/>
          <w:i/>
          <w:szCs w:val="24"/>
          <w:lang w:val="es-ES"/>
        </w:rPr>
        <w:t>Coautores los señores Colón La Santa, Matías Santiago; la señora Pérez Soto; los señores Reyes Berríos, Rosa Ramos, Sánchez Álvarez y Santos Ortiz</w:t>
      </w:r>
    </w:p>
    <w:p w14:paraId="2BB889D7" w14:textId="77777777" w:rsidR="003F655C" w:rsidRPr="00B632EA" w:rsidRDefault="003F655C" w:rsidP="003F655C">
      <w:pPr>
        <w:spacing w:before="120"/>
        <w:jc w:val="center"/>
        <w:rPr>
          <w:rFonts w:ascii="Book Antiqua" w:hAnsi="Book Antiqua"/>
          <w:i/>
          <w:lang w:val="es-ES_tradnl"/>
        </w:rPr>
      </w:pPr>
      <w:r w:rsidRPr="00B632EA">
        <w:rPr>
          <w:rFonts w:ascii="Book Antiqua" w:hAnsi="Book Antiqua"/>
          <w:i/>
          <w:lang w:val="es-ES_tradnl"/>
        </w:rPr>
        <w:t>Referido a</w:t>
      </w:r>
      <w:r w:rsidR="007446ED">
        <w:rPr>
          <w:rFonts w:ascii="Book Antiqua" w:hAnsi="Book Antiqua"/>
          <w:i/>
          <w:lang w:val="es-ES_tradnl"/>
        </w:rPr>
        <w:t xml:space="preserve"> la Comisión de lo Jurídico</w:t>
      </w:r>
      <w:r w:rsidRPr="00B632EA">
        <w:rPr>
          <w:rFonts w:ascii="Book Antiqua" w:hAnsi="Book Antiqua"/>
          <w:i/>
          <w:lang w:val="es-ES_tradnl"/>
        </w:rPr>
        <w:t xml:space="preserve"> </w:t>
      </w:r>
      <w:r w:rsidR="00B632EA" w:rsidRPr="00B632EA">
        <w:rPr>
          <w:rFonts w:ascii="Book Antiqua" w:hAnsi="Book Antiqua"/>
          <w:i/>
          <w:lang w:val="es-ES_tradnl"/>
        </w:rPr>
        <w:t xml:space="preserve"> </w:t>
      </w:r>
    </w:p>
    <w:p w14:paraId="618CB4C7" w14:textId="77777777" w:rsidR="003F655C" w:rsidRPr="00B632EA" w:rsidRDefault="003F655C" w:rsidP="003F655C">
      <w:pPr>
        <w:jc w:val="both"/>
        <w:rPr>
          <w:rFonts w:ascii="Book Antiqua" w:hAnsi="Book Antiqua"/>
          <w:i/>
          <w:lang w:val="es-ES_tradnl"/>
        </w:rPr>
      </w:pPr>
    </w:p>
    <w:p w14:paraId="6E000E8E" w14:textId="77777777" w:rsidR="003F655C" w:rsidRDefault="003F655C" w:rsidP="003F655C">
      <w:pPr>
        <w:jc w:val="center"/>
        <w:rPr>
          <w:rFonts w:ascii="Book Antiqua" w:hAnsi="Book Antiqua"/>
          <w:b/>
          <w:lang w:val="es-ES_tradnl"/>
        </w:rPr>
      </w:pPr>
      <w:r>
        <w:rPr>
          <w:rFonts w:ascii="Book Antiqua" w:hAnsi="Book Antiqua"/>
          <w:b/>
          <w:lang w:val="es-ES_tradnl"/>
        </w:rPr>
        <w:t>LEY</w:t>
      </w:r>
    </w:p>
    <w:p w14:paraId="133B5CBE" w14:textId="77777777" w:rsidR="003F655C" w:rsidRPr="007446ED" w:rsidRDefault="003F655C" w:rsidP="003F655C">
      <w:pPr>
        <w:jc w:val="both"/>
        <w:rPr>
          <w:rFonts w:ascii="Book Antiqua" w:hAnsi="Book Antiqua"/>
          <w:sz w:val="12"/>
          <w:szCs w:val="12"/>
          <w:lang w:val="es-ES_tradnl"/>
        </w:rPr>
      </w:pPr>
    </w:p>
    <w:p w14:paraId="6761A1F0" w14:textId="522B1E5D" w:rsidR="003F655C" w:rsidRDefault="003F655C" w:rsidP="004B3581">
      <w:pPr>
        <w:ind w:left="540" w:hanging="540"/>
        <w:jc w:val="both"/>
        <w:rPr>
          <w:rFonts w:ascii="Book Antiqua" w:hAnsi="Book Antiqua"/>
          <w:lang w:val="es-ES_tradnl"/>
        </w:rPr>
      </w:pPr>
      <w:r>
        <w:rPr>
          <w:rFonts w:ascii="Book Antiqua" w:hAnsi="Book Antiqua"/>
          <w:lang w:val="es-ES_tradnl"/>
        </w:rPr>
        <w:t>Para</w:t>
      </w:r>
      <w:r w:rsidR="005E2840">
        <w:rPr>
          <w:rFonts w:ascii="Book Antiqua" w:hAnsi="Book Antiqua"/>
          <w:lang w:val="es-ES_tradnl"/>
        </w:rPr>
        <w:t xml:space="preserve"> e</w:t>
      </w:r>
      <w:r w:rsidR="005E2840" w:rsidRPr="005E2840">
        <w:rPr>
          <w:rFonts w:ascii="Book Antiqua" w:hAnsi="Book Antiqua"/>
          <w:lang w:val="es-ES_tradnl"/>
        </w:rPr>
        <w:t xml:space="preserve">nmendar los </w:t>
      </w:r>
      <w:r w:rsidR="005E2840">
        <w:rPr>
          <w:rFonts w:ascii="Book Antiqua" w:hAnsi="Book Antiqua"/>
          <w:lang w:val="es-ES_tradnl"/>
        </w:rPr>
        <w:t>A</w:t>
      </w:r>
      <w:r w:rsidR="005E2840" w:rsidRPr="005E2840">
        <w:rPr>
          <w:rFonts w:ascii="Book Antiqua" w:hAnsi="Book Antiqua"/>
          <w:lang w:val="es-ES_tradnl"/>
        </w:rPr>
        <w:t>rtículos 2.03 y 15.03 de la Ley</w:t>
      </w:r>
      <w:r w:rsidR="000D6AA6">
        <w:rPr>
          <w:rFonts w:ascii="Book Antiqua" w:hAnsi="Book Antiqua"/>
          <w:lang w:val="es-ES_tradnl"/>
        </w:rPr>
        <w:t xml:space="preserve"> </w:t>
      </w:r>
      <w:r w:rsidR="000D6AA6">
        <w:rPr>
          <w:rFonts w:ascii="Book Antiqua" w:hAnsi="Book Antiqua"/>
          <w:i/>
          <w:iCs/>
          <w:u w:val="single"/>
          <w:lang w:val="es-ES_tradnl"/>
        </w:rPr>
        <w:t>Núm.</w:t>
      </w:r>
      <w:r w:rsidR="005E2840" w:rsidRPr="005E2840">
        <w:rPr>
          <w:rFonts w:ascii="Book Antiqua" w:hAnsi="Book Antiqua"/>
          <w:lang w:val="es-ES_tradnl"/>
        </w:rPr>
        <w:t xml:space="preserve"> 408-2000</w:t>
      </w:r>
      <w:r w:rsidR="005E2840">
        <w:rPr>
          <w:rFonts w:ascii="Book Antiqua" w:hAnsi="Book Antiqua"/>
          <w:lang w:val="es-ES_tradnl"/>
        </w:rPr>
        <w:t>,</w:t>
      </w:r>
      <w:r w:rsidR="008A2CA9">
        <w:rPr>
          <w:rFonts w:ascii="Book Antiqua" w:hAnsi="Book Antiqua"/>
          <w:lang w:val="es-ES_tradnl"/>
        </w:rPr>
        <w:t xml:space="preserve"> según enmendada,</w:t>
      </w:r>
      <w:r w:rsidR="005E2840">
        <w:rPr>
          <w:rFonts w:ascii="Book Antiqua" w:hAnsi="Book Antiqua"/>
          <w:lang w:val="es-ES_tradnl"/>
        </w:rPr>
        <w:t xml:space="preserve"> conocida como “</w:t>
      </w:r>
      <w:r w:rsidR="005E2840" w:rsidRPr="005E2840">
        <w:rPr>
          <w:rFonts w:ascii="Book Antiqua" w:hAnsi="Book Antiqua"/>
          <w:lang w:val="es-ES_tradnl"/>
        </w:rPr>
        <w:t>Ley de Salud Mental</w:t>
      </w:r>
      <w:r w:rsidR="005E2840">
        <w:rPr>
          <w:rFonts w:ascii="Book Antiqua" w:hAnsi="Book Antiqua"/>
          <w:lang w:val="es-ES_tradnl"/>
        </w:rPr>
        <w:t xml:space="preserve"> de Puerto Rico”</w:t>
      </w:r>
      <w:r w:rsidR="005E2840" w:rsidRPr="005E2840">
        <w:rPr>
          <w:rFonts w:ascii="Book Antiqua" w:hAnsi="Book Antiqua"/>
          <w:lang w:val="es-ES_tradnl"/>
        </w:rPr>
        <w:t>,</w:t>
      </w:r>
      <w:r w:rsidR="005E2840">
        <w:rPr>
          <w:rFonts w:ascii="Book Antiqua" w:hAnsi="Book Antiqua"/>
          <w:lang w:val="es-ES_tradnl"/>
        </w:rPr>
        <w:t xml:space="preserve"> con el fin de uniformar</w:t>
      </w:r>
      <w:r w:rsidR="005E2840" w:rsidRPr="005E2840">
        <w:rPr>
          <w:rFonts w:ascii="Book Antiqua" w:hAnsi="Book Antiqua"/>
          <w:lang w:val="es-ES_tradnl"/>
        </w:rPr>
        <w:t xml:space="preserve"> sus disposiciones con</w:t>
      </w:r>
      <w:r w:rsidR="005E2840">
        <w:rPr>
          <w:rFonts w:ascii="Book Antiqua" w:hAnsi="Book Antiqua"/>
          <w:lang w:val="es-ES_tradnl"/>
        </w:rPr>
        <w:t xml:space="preserve"> la Ley </w:t>
      </w:r>
      <w:r w:rsidR="000D6AA6">
        <w:rPr>
          <w:rFonts w:ascii="Book Antiqua" w:hAnsi="Book Antiqua"/>
          <w:i/>
          <w:iCs/>
          <w:u w:val="single"/>
          <w:lang w:val="es-ES_tradnl"/>
        </w:rPr>
        <w:t>Núm.</w:t>
      </w:r>
      <w:r w:rsidR="000D6AA6" w:rsidRPr="000D6AA6">
        <w:rPr>
          <w:rFonts w:ascii="Book Antiqua" w:hAnsi="Book Antiqua"/>
          <w:i/>
          <w:iCs/>
          <w:lang w:val="es-ES_tradnl"/>
        </w:rPr>
        <w:t xml:space="preserve"> </w:t>
      </w:r>
      <w:r w:rsidR="005E2840">
        <w:rPr>
          <w:rFonts w:ascii="Book Antiqua" w:hAnsi="Book Antiqua"/>
          <w:lang w:val="es-ES_tradnl"/>
        </w:rPr>
        <w:t xml:space="preserve">146-2012, </w:t>
      </w:r>
      <w:r w:rsidR="008A2CA9">
        <w:rPr>
          <w:rFonts w:ascii="Book Antiqua" w:hAnsi="Book Antiqua"/>
          <w:lang w:val="es-ES_tradnl"/>
        </w:rPr>
        <w:t xml:space="preserve">según enmendada, </w:t>
      </w:r>
      <w:r w:rsidR="005E2840">
        <w:rPr>
          <w:rFonts w:ascii="Book Antiqua" w:hAnsi="Book Antiqua"/>
          <w:lang w:val="es-ES_tradnl"/>
        </w:rPr>
        <w:t>conocida como</w:t>
      </w:r>
      <w:r w:rsidR="005E2840" w:rsidRPr="005E2840">
        <w:rPr>
          <w:rFonts w:ascii="Book Antiqua" w:hAnsi="Book Antiqua"/>
          <w:lang w:val="es-ES_tradnl"/>
        </w:rPr>
        <w:t xml:space="preserve"> </w:t>
      </w:r>
      <w:r w:rsidR="005E2840">
        <w:rPr>
          <w:rFonts w:ascii="Book Antiqua" w:hAnsi="Book Antiqua"/>
          <w:lang w:val="es-ES_tradnl"/>
        </w:rPr>
        <w:t>“</w:t>
      </w:r>
      <w:r w:rsidR="005E2840" w:rsidRPr="005E2840">
        <w:rPr>
          <w:rFonts w:ascii="Book Antiqua" w:hAnsi="Book Antiqua"/>
          <w:lang w:val="es-ES_tradnl"/>
        </w:rPr>
        <w:t>Código Penal de Puerto Rico</w:t>
      </w:r>
      <w:r w:rsidR="005E2840">
        <w:rPr>
          <w:rFonts w:ascii="Book Antiqua" w:hAnsi="Book Antiqua"/>
          <w:lang w:val="es-ES_tradnl"/>
        </w:rPr>
        <w:t>”</w:t>
      </w:r>
      <w:r w:rsidR="006D29C6">
        <w:rPr>
          <w:rFonts w:ascii="Book Antiqua" w:hAnsi="Book Antiqua"/>
          <w:lang w:val="es-ES_tradnl"/>
        </w:rPr>
        <w:t>;</w:t>
      </w:r>
      <w:r w:rsidR="005E2840">
        <w:rPr>
          <w:rFonts w:ascii="Book Antiqua" w:hAnsi="Book Antiqua"/>
          <w:lang w:val="es-ES_tradnl"/>
        </w:rPr>
        <w:t xml:space="preserve"> y para otros fines relacionados</w:t>
      </w:r>
      <w:r w:rsidR="005E2840" w:rsidRPr="005E2840">
        <w:rPr>
          <w:rFonts w:ascii="Book Antiqua" w:hAnsi="Book Antiqua"/>
          <w:lang w:val="es-ES_tradnl"/>
        </w:rPr>
        <w:t>.</w:t>
      </w:r>
    </w:p>
    <w:p w14:paraId="278E67E1" w14:textId="77777777" w:rsidR="005E2840" w:rsidRDefault="005E2840" w:rsidP="003F655C">
      <w:pPr>
        <w:ind w:left="360" w:hanging="360"/>
        <w:jc w:val="both"/>
        <w:rPr>
          <w:rFonts w:ascii="Book Antiqua" w:hAnsi="Book Antiqua"/>
          <w:lang w:val="es-ES_tradnl"/>
        </w:rPr>
      </w:pPr>
    </w:p>
    <w:p w14:paraId="1D33E79A" w14:textId="77777777" w:rsidR="003F655C" w:rsidRDefault="003F655C" w:rsidP="003F655C">
      <w:pPr>
        <w:spacing w:before="120" w:after="120"/>
        <w:ind w:firstLine="360"/>
        <w:jc w:val="center"/>
        <w:rPr>
          <w:rFonts w:ascii="Book Antiqua" w:hAnsi="Book Antiqua"/>
          <w:lang w:val="es-ES_tradnl"/>
        </w:rPr>
      </w:pPr>
      <w:r>
        <w:rPr>
          <w:rFonts w:ascii="Book Antiqua" w:hAnsi="Book Antiqua"/>
          <w:b/>
          <w:lang w:val="es-ES_tradnl"/>
        </w:rPr>
        <w:t>EXPOSICI</w:t>
      </w:r>
      <w:r>
        <w:rPr>
          <w:rFonts w:ascii="Book Antiqua" w:hAnsi="Book Antiqua" w:hint="eastAsia"/>
          <w:b/>
          <w:lang w:val="es-ES_tradnl"/>
        </w:rPr>
        <w:t>Ó</w:t>
      </w:r>
      <w:r>
        <w:rPr>
          <w:rFonts w:ascii="Book Antiqua" w:hAnsi="Book Antiqua"/>
          <w:b/>
          <w:lang w:val="es-ES_tradnl"/>
        </w:rPr>
        <w:t>N DE MOTIVOS</w:t>
      </w:r>
    </w:p>
    <w:p w14:paraId="6B48AFA5" w14:textId="77777777" w:rsidR="00CD3F8A" w:rsidRDefault="005E2840" w:rsidP="005E2840">
      <w:pPr>
        <w:spacing w:before="120" w:after="120" w:line="360" w:lineRule="auto"/>
        <w:ind w:firstLine="720"/>
        <w:jc w:val="both"/>
        <w:rPr>
          <w:rFonts w:ascii="Book Antiqua" w:hAnsi="Book Antiqua"/>
          <w:lang w:val="es-ES_tradnl"/>
        </w:rPr>
      </w:pPr>
      <w:r>
        <w:rPr>
          <w:rFonts w:ascii="Book Antiqua" w:hAnsi="Book Antiqua"/>
          <w:lang w:val="es-ES_tradnl"/>
        </w:rPr>
        <w:t>La Asamblea Legislativa tiene el deber constitucional de</w:t>
      </w:r>
      <w:r w:rsidRPr="005E2840">
        <w:rPr>
          <w:rFonts w:ascii="Book Antiqua" w:hAnsi="Book Antiqua"/>
          <w:lang w:val="es-ES_tradnl"/>
        </w:rPr>
        <w:t xml:space="preserve"> promover y mantener un ordenamiento jurídico</w:t>
      </w:r>
      <w:r>
        <w:rPr>
          <w:rFonts w:ascii="Book Antiqua" w:hAnsi="Book Antiqua"/>
          <w:lang w:val="es-ES_tradnl"/>
        </w:rPr>
        <w:t xml:space="preserve"> </w:t>
      </w:r>
      <w:r w:rsidRPr="005E2840">
        <w:rPr>
          <w:rFonts w:ascii="Book Antiqua" w:hAnsi="Book Antiqua"/>
          <w:lang w:val="es-ES_tradnl"/>
        </w:rPr>
        <w:t>coherente y armonioso</w:t>
      </w:r>
      <w:r>
        <w:rPr>
          <w:rFonts w:ascii="Book Antiqua" w:hAnsi="Book Antiqua"/>
          <w:lang w:val="es-ES_tradnl"/>
        </w:rPr>
        <w:t xml:space="preserve">. En el ámbito penal esta coherencia normativa es fundamental </w:t>
      </w:r>
      <w:r w:rsidRPr="005E2840">
        <w:rPr>
          <w:rFonts w:ascii="Book Antiqua" w:hAnsi="Book Antiqua"/>
          <w:lang w:val="es-ES_tradnl"/>
        </w:rPr>
        <w:t xml:space="preserve">para que la aplicación de las penas sea uniforme, clara y consecuente, libre de ambigüedades o vacíos legales. Un ordenamiento penal estructurado y preciso no solo facilita la labor de los tribunales en Puerto Rico al momento de interpretar y aplicar la ley, sino que también garantiza mayor certeza jurídica para los acusados. La seguridad jurídica que brinda la uniformidad es </w:t>
      </w:r>
      <w:r>
        <w:rPr>
          <w:rFonts w:ascii="Book Antiqua" w:hAnsi="Book Antiqua"/>
          <w:lang w:val="es-ES_tradnl"/>
        </w:rPr>
        <w:t xml:space="preserve">el </w:t>
      </w:r>
      <w:r w:rsidRPr="005E2840">
        <w:rPr>
          <w:rFonts w:ascii="Book Antiqua" w:hAnsi="Book Antiqua"/>
          <w:lang w:val="es-ES_tradnl"/>
        </w:rPr>
        <w:t>eje de la ley</w:t>
      </w:r>
      <w:r>
        <w:rPr>
          <w:rFonts w:ascii="Book Antiqua" w:hAnsi="Book Antiqua"/>
          <w:lang w:val="es-ES_tradnl"/>
        </w:rPr>
        <w:t>.</w:t>
      </w:r>
      <w:r w:rsidRPr="005E2840">
        <w:rPr>
          <w:rFonts w:ascii="Book Antiqua" w:hAnsi="Book Antiqua"/>
          <w:lang w:val="es-ES_tradnl"/>
        </w:rPr>
        <w:t xml:space="preserve"> </w:t>
      </w:r>
    </w:p>
    <w:p w14:paraId="5E874FB1" w14:textId="77777777" w:rsidR="004B3F1B" w:rsidRDefault="00CD3F8A" w:rsidP="00CD3F8A">
      <w:pPr>
        <w:spacing w:before="120" w:after="120" w:line="360" w:lineRule="auto"/>
        <w:ind w:firstLine="720"/>
        <w:jc w:val="both"/>
        <w:rPr>
          <w:rFonts w:ascii="Book Antiqua" w:hAnsi="Book Antiqua"/>
          <w:lang w:val="es-ES_tradnl"/>
        </w:rPr>
      </w:pPr>
      <w:r w:rsidRPr="00B407CB">
        <w:rPr>
          <w:rFonts w:ascii="Book Antiqua" w:hAnsi="Book Antiqua"/>
          <w:lang w:val="es-ES_tradnl"/>
        </w:rPr>
        <w:t xml:space="preserve">Esta </w:t>
      </w:r>
      <w:r w:rsidR="006D29C6">
        <w:rPr>
          <w:rFonts w:ascii="Book Antiqua" w:hAnsi="Book Antiqua"/>
          <w:lang w:val="es-ES_tradnl"/>
        </w:rPr>
        <w:t>L</w:t>
      </w:r>
      <w:r w:rsidRPr="00B407CB">
        <w:rPr>
          <w:rFonts w:ascii="Book Antiqua" w:hAnsi="Book Antiqua"/>
          <w:lang w:val="es-ES_tradnl"/>
        </w:rPr>
        <w:t xml:space="preserve">ey tiene el propósito de armonizar y uniformar los delitos consignados en el Código Penal de Puerto Rico promulgado en 2012 con aquellos delitos tipificados en la Ley de Salud Mental de Puerto Rico. </w:t>
      </w:r>
      <w:r>
        <w:rPr>
          <w:rFonts w:ascii="Book Antiqua" w:hAnsi="Book Antiqua"/>
          <w:lang w:val="es-ES_tradnl"/>
        </w:rPr>
        <w:t>Hoy</w:t>
      </w:r>
      <w:r w:rsidRPr="00B407CB">
        <w:rPr>
          <w:rFonts w:ascii="Book Antiqua" w:hAnsi="Book Antiqua"/>
          <w:lang w:val="es-ES_tradnl"/>
        </w:rPr>
        <w:t xml:space="preserve"> en día subsisten discrepancias entre ambos </w:t>
      </w:r>
      <w:r w:rsidRPr="00B407CB">
        <w:rPr>
          <w:rFonts w:ascii="Book Antiqua" w:hAnsi="Book Antiqua"/>
          <w:lang w:val="es-ES_tradnl"/>
        </w:rPr>
        <w:lastRenderedPageBreak/>
        <w:t>cuerpos normativos que dificultan la coherencia jurídica, la adecuada aplicación de sanciones y la protección de los derechos de las personas con condiciones de salud mental.</w:t>
      </w:r>
      <w:r>
        <w:rPr>
          <w:rFonts w:ascii="Book Antiqua" w:hAnsi="Book Antiqua"/>
          <w:lang w:val="es-ES_tradnl"/>
        </w:rPr>
        <w:t xml:space="preserve"> </w:t>
      </w:r>
      <w:r w:rsidR="005E2840" w:rsidRPr="005E2840">
        <w:rPr>
          <w:rFonts w:ascii="Book Antiqua" w:hAnsi="Book Antiqua"/>
          <w:lang w:val="es-ES_tradnl"/>
        </w:rPr>
        <w:t xml:space="preserve">Asimismo, mediante la aprobación </w:t>
      </w:r>
      <w:r w:rsidR="005E2840">
        <w:rPr>
          <w:rFonts w:ascii="Book Antiqua" w:hAnsi="Book Antiqua"/>
          <w:lang w:val="es-ES_tradnl"/>
        </w:rPr>
        <w:t>de esta Ley</w:t>
      </w:r>
      <w:r w:rsidR="005E2840" w:rsidRPr="005E2840">
        <w:rPr>
          <w:rFonts w:ascii="Book Antiqua" w:hAnsi="Book Antiqua"/>
          <w:lang w:val="es-ES_tradnl"/>
        </w:rPr>
        <w:t xml:space="preserve"> se promueve un ejercicio más equilibrado del poder punitivo del Estado, al evitar decisiones arbitrarias o contradictorias derivadas de disposiciones vagas o </w:t>
      </w:r>
      <w:r w:rsidR="008A2CA9">
        <w:rPr>
          <w:rFonts w:ascii="Book Antiqua" w:hAnsi="Book Antiqua"/>
          <w:lang w:val="es-ES_tradnl"/>
        </w:rPr>
        <w:t>inexactas</w:t>
      </w:r>
      <w:r w:rsidR="005E2840" w:rsidRPr="005E2840">
        <w:rPr>
          <w:rFonts w:ascii="Book Antiqua" w:hAnsi="Book Antiqua"/>
          <w:lang w:val="es-ES_tradnl"/>
        </w:rPr>
        <w:t>. Conviene recordar que las penas presuponen una valoración social de la conducta que se pretende sancionar, por lo que su severidad está relacionada a la noción general de lo dañoso del delito cometido, y los fines y propósitos que se procuran alcanzar con su imposición, tales como prevención y rehabilitación.</w:t>
      </w:r>
      <w:r w:rsidR="004B3F1B">
        <w:rPr>
          <w:rFonts w:ascii="Book Antiqua" w:hAnsi="Book Antiqua"/>
          <w:lang w:val="es-ES_tradnl"/>
        </w:rPr>
        <w:t xml:space="preserve"> </w:t>
      </w:r>
    </w:p>
    <w:p w14:paraId="4E12E4B9" w14:textId="1D3FC49D" w:rsidR="00444418" w:rsidRPr="00444418" w:rsidRDefault="00444418" w:rsidP="00CD3F8A">
      <w:pPr>
        <w:spacing w:before="120" w:after="120" w:line="360" w:lineRule="auto"/>
        <w:ind w:firstLine="720"/>
        <w:jc w:val="both"/>
        <w:rPr>
          <w:rFonts w:ascii="Book Antiqua" w:hAnsi="Book Antiqua"/>
          <w:i/>
          <w:iCs/>
          <w:u w:val="single"/>
          <w:lang w:val="es-ES_tradnl"/>
        </w:rPr>
      </w:pPr>
      <w:r w:rsidRPr="00444418">
        <w:rPr>
          <w:rFonts w:ascii="Book Antiqua" w:hAnsi="Book Antiqua"/>
          <w:i/>
          <w:iCs/>
          <w:u w:val="single"/>
          <w:lang w:val="es-ES_tradnl"/>
        </w:rPr>
        <w:t xml:space="preserve">En esencia, los </w:t>
      </w:r>
      <w:r>
        <w:rPr>
          <w:rFonts w:ascii="Book Antiqua" w:hAnsi="Book Antiqua"/>
          <w:i/>
          <w:iCs/>
          <w:u w:val="single"/>
          <w:lang w:val="es-ES_tradnl"/>
        </w:rPr>
        <w:t>A</w:t>
      </w:r>
      <w:r w:rsidRPr="00444418">
        <w:rPr>
          <w:rFonts w:ascii="Book Antiqua" w:hAnsi="Book Antiqua"/>
          <w:i/>
          <w:iCs/>
          <w:u w:val="single"/>
          <w:lang w:val="es-ES_tradnl"/>
        </w:rPr>
        <w:t xml:space="preserve">rtículos 2.03 y 15.03 de la Ley Núm. 408-2000 mencionan el artículo 168 del Código Penal de 2004 sobre restricción de libertad agravada. Este delito conllevaba una pena de delito grave de cuarto grado. La medida propone actualizar la referencia al artículo 168 del Código Penal de 2004 por el artículo 156 del Código Penal de 2012. Este conlleva una pena de reclusión por un término fijo de tres años, </w:t>
      </w:r>
      <w:r w:rsidR="005E6262">
        <w:rPr>
          <w:rFonts w:ascii="Book Antiqua" w:hAnsi="Book Antiqua"/>
          <w:i/>
          <w:iCs/>
          <w:u w:val="single"/>
          <w:lang w:val="es-ES_tradnl"/>
        </w:rPr>
        <w:t>ade</w:t>
      </w:r>
      <w:r w:rsidRPr="00444418">
        <w:rPr>
          <w:rFonts w:ascii="Book Antiqua" w:hAnsi="Book Antiqua"/>
          <w:i/>
          <w:iCs/>
          <w:u w:val="single"/>
          <w:lang w:val="es-ES_tradnl"/>
        </w:rPr>
        <w:t>más</w:t>
      </w:r>
      <w:r w:rsidR="005E6262">
        <w:rPr>
          <w:rFonts w:ascii="Book Antiqua" w:hAnsi="Book Antiqua"/>
          <w:i/>
          <w:iCs/>
          <w:u w:val="single"/>
          <w:lang w:val="es-ES_tradnl"/>
        </w:rPr>
        <w:t xml:space="preserve"> de</w:t>
      </w:r>
      <w:r w:rsidRPr="00444418">
        <w:rPr>
          <w:rFonts w:ascii="Book Antiqua" w:hAnsi="Book Antiqua"/>
          <w:i/>
          <w:iCs/>
          <w:u w:val="single"/>
          <w:lang w:val="es-ES_tradnl"/>
        </w:rPr>
        <w:t xml:space="preserve"> un inciso (f) no contemplado en el derogado artículo 168 del Código Penal de 2004.</w:t>
      </w:r>
    </w:p>
    <w:p w14:paraId="080911CB" w14:textId="77777777" w:rsidR="002B508B" w:rsidRPr="00D10E21" w:rsidRDefault="004B3F1B" w:rsidP="005E2840">
      <w:pPr>
        <w:spacing w:before="120" w:after="120" w:line="360" w:lineRule="auto"/>
        <w:ind w:firstLine="720"/>
        <w:jc w:val="both"/>
        <w:rPr>
          <w:rFonts w:ascii="Book Antiqua" w:hAnsi="Book Antiqua" w:cs="Segoe UI"/>
          <w:color w:val="000000"/>
          <w:szCs w:val="24"/>
          <w:shd w:val="clear" w:color="auto" w:fill="FFFFFF"/>
          <w:lang w:val="es-PR"/>
        </w:rPr>
      </w:pPr>
      <w:r>
        <w:rPr>
          <w:rFonts w:ascii="Book Antiqua" w:hAnsi="Book Antiqua"/>
          <w:lang w:val="es-ES_tradnl"/>
        </w:rPr>
        <w:t xml:space="preserve">Es responsabilidad de esta Asamblea Legislativa procurar la aprobación de leyes que operen </w:t>
      </w:r>
      <w:r w:rsidR="005E2840" w:rsidRPr="005E2840">
        <w:rPr>
          <w:rFonts w:ascii="Book Antiqua" w:hAnsi="Book Antiqua"/>
          <w:lang w:val="es-ES_tradnl"/>
        </w:rPr>
        <w:t xml:space="preserve">como garantía de certeza, de igualdad ante la ley, de eficacia, </w:t>
      </w:r>
      <w:r>
        <w:rPr>
          <w:rFonts w:ascii="Book Antiqua" w:hAnsi="Book Antiqua"/>
          <w:lang w:val="es-ES_tradnl"/>
        </w:rPr>
        <w:t>y que constituyan,</w:t>
      </w:r>
      <w:r w:rsidR="005E2840" w:rsidRPr="005E2840">
        <w:rPr>
          <w:rFonts w:ascii="Book Antiqua" w:hAnsi="Book Antiqua"/>
          <w:lang w:val="es-ES_tradnl"/>
        </w:rPr>
        <w:t xml:space="preserve"> además, un detente a la arbitrariedad en la toma de decisiones</w:t>
      </w:r>
      <w:r>
        <w:rPr>
          <w:rFonts w:ascii="Book Antiqua" w:hAnsi="Book Antiqua"/>
          <w:lang w:val="es-ES_tradnl"/>
        </w:rPr>
        <w:t>.</w:t>
      </w:r>
      <w:r w:rsidR="00B407CB">
        <w:rPr>
          <w:rFonts w:ascii="Book Antiqua" w:hAnsi="Book Antiqua"/>
          <w:lang w:val="es-ES_tradnl"/>
        </w:rPr>
        <w:t xml:space="preserve"> </w:t>
      </w:r>
    </w:p>
    <w:p w14:paraId="5EFC6014" w14:textId="77777777" w:rsidR="00EA26A2" w:rsidRPr="00D10E21" w:rsidRDefault="00EA26A2" w:rsidP="00EA26A2">
      <w:pPr>
        <w:spacing w:before="240" w:line="480" w:lineRule="auto"/>
        <w:rPr>
          <w:rFonts w:ascii="Book Antiqua" w:hAnsi="Book Antiqua" w:cs="Segoe UI"/>
          <w:color w:val="000000"/>
          <w:szCs w:val="24"/>
          <w:shd w:val="clear" w:color="auto" w:fill="FFFFFF"/>
          <w:lang w:val="es-PR"/>
        </w:rPr>
      </w:pPr>
      <w:r w:rsidRPr="00D10E21">
        <w:rPr>
          <w:rFonts w:ascii="Book Antiqua" w:hAnsi="Book Antiqua" w:cs="Segoe UI"/>
          <w:b/>
          <w:color w:val="000000"/>
          <w:szCs w:val="24"/>
          <w:shd w:val="clear" w:color="auto" w:fill="FFFFFF"/>
          <w:lang w:val="es-PR"/>
        </w:rPr>
        <w:t>DECRÉTASE POR LA ASAMBLEA LEGISLATIVA DE PUERTO RICO:</w:t>
      </w:r>
    </w:p>
    <w:p w14:paraId="12FEB61C" w14:textId="77777777" w:rsidR="00EA26A2" w:rsidRPr="00D10E21" w:rsidRDefault="00EA26A2" w:rsidP="00EA26A2">
      <w:pPr>
        <w:spacing w:line="480" w:lineRule="auto"/>
        <w:jc w:val="both"/>
        <w:rPr>
          <w:rFonts w:ascii="Book Antiqua" w:hAnsi="Book Antiqua"/>
          <w:color w:val="000000"/>
          <w:szCs w:val="24"/>
          <w:lang w:val="es-PR"/>
        </w:rPr>
        <w:sectPr w:rsidR="00EA26A2" w:rsidRPr="00D10E21" w:rsidSect="007446ED">
          <w:headerReference w:type="default" r:id="rId10"/>
          <w:headerReference w:type="first" r:id="rId11"/>
          <w:type w:val="continuous"/>
          <w:pgSz w:w="12240" w:h="15840" w:code="1"/>
          <w:pgMar w:top="1440" w:right="1440" w:bottom="1440" w:left="1440" w:header="720" w:footer="720" w:gutter="0"/>
          <w:cols w:space="720"/>
          <w:titlePg/>
        </w:sectPr>
      </w:pPr>
    </w:p>
    <w:p w14:paraId="509D17A7" w14:textId="45362287" w:rsidR="00EA26A2" w:rsidRDefault="00A468B9" w:rsidP="002B508B">
      <w:pPr>
        <w:spacing w:line="480" w:lineRule="auto"/>
        <w:ind w:firstLine="360"/>
        <w:jc w:val="both"/>
        <w:rPr>
          <w:rFonts w:ascii="Book Antiqua" w:hAnsi="Book Antiqua"/>
          <w:lang w:val="es-ES_tradnl"/>
        </w:rPr>
      </w:pPr>
      <w:r>
        <w:rPr>
          <w:rFonts w:ascii="Book Antiqua" w:hAnsi="Book Antiqua"/>
          <w:color w:val="000000"/>
          <w:szCs w:val="24"/>
          <w:lang w:val="es-PR"/>
        </w:rPr>
        <w:t>Sección</w:t>
      </w:r>
      <w:r w:rsidR="002456BD" w:rsidRPr="00D10E21">
        <w:rPr>
          <w:rFonts w:ascii="Book Antiqua" w:hAnsi="Book Antiqua"/>
          <w:color w:val="000000"/>
          <w:szCs w:val="24"/>
          <w:lang w:val="es-PR"/>
        </w:rPr>
        <w:t xml:space="preserve"> </w:t>
      </w:r>
      <w:r w:rsidR="00EA26A2" w:rsidRPr="00D10E21">
        <w:rPr>
          <w:rFonts w:ascii="Book Antiqua" w:hAnsi="Book Antiqua"/>
          <w:color w:val="000000"/>
          <w:szCs w:val="24"/>
          <w:lang w:val="es-PR"/>
        </w:rPr>
        <w:t xml:space="preserve">1.- </w:t>
      </w:r>
      <w:r w:rsidR="005E2840">
        <w:rPr>
          <w:rFonts w:ascii="Book Antiqua" w:hAnsi="Book Antiqua"/>
          <w:color w:val="000000"/>
          <w:szCs w:val="24"/>
          <w:lang w:val="es-PR"/>
        </w:rPr>
        <w:t xml:space="preserve">Se enmienda el Artículo 2.03 </w:t>
      </w:r>
      <w:r w:rsidR="005E2840" w:rsidRPr="005E2840">
        <w:rPr>
          <w:rFonts w:ascii="Book Antiqua" w:hAnsi="Book Antiqua"/>
          <w:lang w:val="es-ES_tradnl"/>
        </w:rPr>
        <w:t xml:space="preserve">de la Ley </w:t>
      </w:r>
      <w:r w:rsidR="000D6AA6">
        <w:rPr>
          <w:rFonts w:ascii="Book Antiqua" w:hAnsi="Book Antiqua"/>
          <w:i/>
          <w:iCs/>
          <w:u w:val="single"/>
          <w:lang w:val="es-ES_tradnl"/>
        </w:rPr>
        <w:t>Núm.</w:t>
      </w:r>
      <w:r w:rsidR="000D6AA6" w:rsidRPr="000D6AA6">
        <w:rPr>
          <w:rFonts w:ascii="Book Antiqua" w:hAnsi="Book Antiqua"/>
          <w:i/>
          <w:iCs/>
          <w:lang w:val="es-ES_tradnl"/>
        </w:rPr>
        <w:t xml:space="preserve"> </w:t>
      </w:r>
      <w:r w:rsidR="005E2840" w:rsidRPr="005E2840">
        <w:rPr>
          <w:rFonts w:ascii="Book Antiqua" w:hAnsi="Book Antiqua"/>
          <w:lang w:val="es-ES_tradnl"/>
        </w:rPr>
        <w:t>408-2000</w:t>
      </w:r>
      <w:r w:rsidR="005E2840">
        <w:rPr>
          <w:rFonts w:ascii="Book Antiqua" w:hAnsi="Book Antiqua"/>
          <w:lang w:val="es-ES_tradnl"/>
        </w:rPr>
        <w:t xml:space="preserve">, </w:t>
      </w:r>
      <w:r w:rsidR="005E2840" w:rsidRPr="000D6AA6">
        <w:rPr>
          <w:rFonts w:ascii="Book Antiqua" w:hAnsi="Book Antiqua"/>
          <w:strike/>
          <w:lang w:val="es-ES_tradnl"/>
        </w:rPr>
        <w:t>conocida como “Ley de Salud Mental de Puerto Rico”</w:t>
      </w:r>
      <w:r w:rsidR="000D6AA6" w:rsidRPr="000D6AA6">
        <w:rPr>
          <w:rFonts w:ascii="Book Antiqua" w:hAnsi="Book Antiqua"/>
          <w:lang w:val="es-ES_tradnl"/>
        </w:rPr>
        <w:t xml:space="preserve"> </w:t>
      </w:r>
      <w:r w:rsidR="000D6AA6">
        <w:rPr>
          <w:rFonts w:ascii="Book Antiqua" w:hAnsi="Book Antiqua"/>
          <w:i/>
          <w:iCs/>
          <w:u w:val="single"/>
          <w:lang w:val="es-ES_tradnl"/>
        </w:rPr>
        <w:t>según enmendada</w:t>
      </w:r>
      <w:r w:rsidR="005E2840" w:rsidRPr="000D6AA6">
        <w:rPr>
          <w:rFonts w:ascii="Book Antiqua" w:hAnsi="Book Antiqua"/>
          <w:lang w:val="es-ES_tradnl"/>
        </w:rPr>
        <w:t>,</w:t>
      </w:r>
      <w:r w:rsidR="005E2840">
        <w:rPr>
          <w:rFonts w:ascii="Book Antiqua" w:hAnsi="Book Antiqua"/>
          <w:lang w:val="es-ES_tradnl"/>
        </w:rPr>
        <w:t xml:space="preserve"> para que lea como sigue: </w:t>
      </w:r>
    </w:p>
    <w:p w14:paraId="35A14673" w14:textId="77777777" w:rsidR="005E2840" w:rsidRPr="005E2840" w:rsidRDefault="005E2840" w:rsidP="005E2840">
      <w:pPr>
        <w:spacing w:line="480" w:lineRule="auto"/>
        <w:ind w:firstLine="360"/>
        <w:jc w:val="both"/>
        <w:rPr>
          <w:rFonts w:ascii="Book Antiqua" w:hAnsi="Book Antiqua"/>
          <w:lang w:val="es-ES_tradnl"/>
        </w:rPr>
      </w:pPr>
      <w:r>
        <w:rPr>
          <w:rFonts w:ascii="Book Antiqua" w:hAnsi="Book Antiqua"/>
          <w:lang w:val="es-ES_tradnl"/>
        </w:rPr>
        <w:t>“</w:t>
      </w:r>
      <w:r w:rsidRPr="005E2840">
        <w:rPr>
          <w:rFonts w:ascii="Book Antiqua" w:hAnsi="Book Antiqua"/>
          <w:lang w:val="es-ES_tradnl"/>
        </w:rPr>
        <w:t xml:space="preserve">Artículo 2.03. — Prohibición de Hospitalización o Tratamiento sin Criterios Clínicos. </w:t>
      </w:r>
    </w:p>
    <w:p w14:paraId="07186905" w14:textId="77777777" w:rsidR="005E2840" w:rsidRPr="005E2840" w:rsidRDefault="005E2840" w:rsidP="005E2840">
      <w:pPr>
        <w:spacing w:line="480" w:lineRule="auto"/>
        <w:ind w:firstLine="360"/>
        <w:jc w:val="both"/>
        <w:rPr>
          <w:rFonts w:ascii="Book Antiqua" w:hAnsi="Book Antiqua"/>
          <w:lang w:val="es-ES_tradnl"/>
        </w:rPr>
      </w:pPr>
      <w:r w:rsidRPr="005E2840">
        <w:rPr>
          <w:rFonts w:ascii="Book Antiqua" w:hAnsi="Book Antiqua"/>
          <w:lang w:val="es-ES_tradnl"/>
        </w:rPr>
        <w:t xml:space="preserve">La falta de interés o incapacidad del padre o madre con patria potestad o custodia, del tutor legal o de la persona que tenga la custodia o el deber de proveerle cuido y albergue a una persona no será base para ingresarle en una institución hospitalaria de </w:t>
      </w:r>
      <w:r w:rsidRPr="005E2840">
        <w:rPr>
          <w:rFonts w:ascii="Book Antiqua" w:hAnsi="Book Antiqua"/>
          <w:lang w:val="es-ES_tradnl"/>
        </w:rPr>
        <w:lastRenderedPageBreak/>
        <w:t xml:space="preserve">salud mental sin reunir los criterios de hospitalización. De ser éste el caso, el director de la institución hará una petición al Tribunal para asegurar el albergue y cuidado correspondiente. La práctica de hospitalizar a una persona sin reunir los criterios clínicos adecuados será penalizada, según se dispone en el Artículo </w:t>
      </w:r>
      <w:r w:rsidRPr="004B3581">
        <w:rPr>
          <w:rFonts w:ascii="Book Antiqua" w:hAnsi="Book Antiqua"/>
          <w:lang w:val="es-ES_tradnl"/>
        </w:rPr>
        <w:t>156</w:t>
      </w:r>
      <w:r w:rsidRPr="005E2840">
        <w:rPr>
          <w:rFonts w:ascii="Book Antiqua" w:hAnsi="Book Antiqua"/>
          <w:lang w:val="es-ES_tradnl"/>
        </w:rPr>
        <w:t xml:space="preserve"> del Código Penal de Puerto Rico. </w:t>
      </w:r>
    </w:p>
    <w:p w14:paraId="4E81A3FB" w14:textId="77777777" w:rsidR="005E2840" w:rsidRPr="005E2840" w:rsidRDefault="005E2840" w:rsidP="009A58CC">
      <w:pPr>
        <w:spacing w:line="480" w:lineRule="auto"/>
        <w:ind w:firstLine="360"/>
        <w:jc w:val="both"/>
        <w:rPr>
          <w:rFonts w:ascii="Book Antiqua" w:hAnsi="Book Antiqua"/>
          <w:lang w:val="es-ES_tradnl"/>
        </w:rPr>
      </w:pPr>
      <w:r w:rsidRPr="005E2840">
        <w:rPr>
          <w:rFonts w:ascii="Book Antiqua" w:hAnsi="Book Antiqua"/>
          <w:lang w:val="es-ES_tradnl"/>
        </w:rPr>
        <w:t>Los criterios que tiene que reunir toda persona para que pueda dar lugar a que se ordene por un Tribunal tratamiento psiquiátrico compulsorio, sea en forma ambulatoria o mediante hospitalización, son:</w:t>
      </w:r>
      <w:r w:rsidR="009A58CC">
        <w:rPr>
          <w:rFonts w:ascii="Book Antiqua" w:hAnsi="Book Antiqua"/>
          <w:lang w:val="es-ES_tradnl"/>
        </w:rPr>
        <w:t xml:space="preserve"> </w:t>
      </w:r>
      <w:r w:rsidRPr="005E2840">
        <w:rPr>
          <w:rFonts w:ascii="Book Antiqua" w:hAnsi="Book Antiqua"/>
          <w:lang w:val="es-ES_tradnl"/>
        </w:rPr>
        <w:t>situaciones con el inminente peligro de que la persona se haga daño a sí misma, a otros o a la propiedad y que la persona demuestre incapacidad para tomar decisiones o para controlar su conducta.</w:t>
      </w:r>
    </w:p>
    <w:p w14:paraId="5E7CB2BE" w14:textId="3DE246CF" w:rsidR="005E2840" w:rsidRPr="005E2840" w:rsidRDefault="005E2840" w:rsidP="005E2840">
      <w:pPr>
        <w:spacing w:line="480" w:lineRule="auto"/>
        <w:ind w:firstLine="360"/>
        <w:jc w:val="both"/>
        <w:rPr>
          <w:rFonts w:ascii="Book Antiqua" w:hAnsi="Book Antiqua"/>
          <w:lang w:val="es-ES_tradnl"/>
        </w:rPr>
      </w:pPr>
      <w:r w:rsidRPr="005E2840">
        <w:rPr>
          <w:rFonts w:ascii="Book Antiqua" w:hAnsi="Book Antiqua"/>
          <w:lang w:val="es-ES_tradnl"/>
        </w:rPr>
        <w:t xml:space="preserve">En este caso, se requerirá prueba de conducta específica en un período de tiempo anterior a la </w:t>
      </w:r>
      <w:r w:rsidRPr="00C27AEF">
        <w:rPr>
          <w:rFonts w:ascii="Book Antiqua" w:hAnsi="Book Antiqua"/>
          <w:strike/>
          <w:lang w:val="es-ES_tradnl"/>
        </w:rPr>
        <w:t>prestación</w:t>
      </w:r>
      <w:r w:rsidRPr="005E2840">
        <w:rPr>
          <w:rFonts w:ascii="Book Antiqua" w:hAnsi="Book Antiqua"/>
          <w:lang w:val="es-ES_tradnl"/>
        </w:rPr>
        <w:t xml:space="preserve"> </w:t>
      </w:r>
      <w:r w:rsidR="007A7A95">
        <w:rPr>
          <w:rFonts w:ascii="Book Antiqua" w:hAnsi="Book Antiqua"/>
          <w:i/>
          <w:iCs/>
          <w:u w:val="single"/>
          <w:lang w:val="es-ES_tradnl"/>
        </w:rPr>
        <w:t>presentación</w:t>
      </w:r>
      <w:r w:rsidR="007A7A95" w:rsidRPr="007A7A95">
        <w:rPr>
          <w:rFonts w:ascii="Book Antiqua" w:hAnsi="Book Antiqua"/>
          <w:i/>
          <w:iCs/>
          <w:lang w:val="es-ES_tradnl"/>
        </w:rPr>
        <w:t xml:space="preserve"> </w:t>
      </w:r>
      <w:r w:rsidRPr="005E2840">
        <w:rPr>
          <w:rFonts w:ascii="Book Antiqua" w:hAnsi="Book Antiqua"/>
          <w:lang w:val="es-ES_tradnl"/>
        </w:rPr>
        <w:t>de la petición; evidencia de ausencias de alternativas menos intensivas con iguales oportunidades de corregir o mejorar los síntomas y signos de la persona; y que se demuestre que el tratamiento o la medida que se solicita resultará clínicamente beneficiosa.</w:t>
      </w:r>
    </w:p>
    <w:p w14:paraId="70E205B4" w14:textId="0AF0DBFA" w:rsidR="005E2840" w:rsidRPr="00D10E21" w:rsidRDefault="005E2840" w:rsidP="005E2840">
      <w:pPr>
        <w:spacing w:line="480" w:lineRule="auto"/>
        <w:ind w:firstLine="360"/>
        <w:jc w:val="both"/>
        <w:rPr>
          <w:rFonts w:ascii="Book Antiqua" w:hAnsi="Book Antiqua"/>
          <w:color w:val="000000"/>
          <w:szCs w:val="24"/>
          <w:lang w:val="es-PR"/>
        </w:rPr>
      </w:pPr>
      <w:r w:rsidRPr="005E2840">
        <w:rPr>
          <w:rFonts w:ascii="Book Antiqua" w:hAnsi="Book Antiqua"/>
          <w:lang w:val="es-ES_tradnl"/>
        </w:rPr>
        <w:t xml:space="preserve">Ninguna persona será ingresada de forma involuntaria o </w:t>
      </w:r>
      <w:r w:rsidRPr="00444418">
        <w:rPr>
          <w:rFonts w:ascii="Book Antiqua" w:hAnsi="Book Antiqua"/>
          <w:strike/>
          <w:lang w:val="es-ES_tradnl"/>
        </w:rPr>
        <w:t>recibir</w:t>
      </w:r>
      <w:r w:rsidRPr="005E2840">
        <w:rPr>
          <w:rFonts w:ascii="Book Antiqua" w:hAnsi="Book Antiqua"/>
          <w:lang w:val="es-ES_tradnl"/>
        </w:rPr>
        <w:t xml:space="preserve"> </w:t>
      </w:r>
      <w:r w:rsidR="00444418" w:rsidRPr="00444418">
        <w:rPr>
          <w:rFonts w:ascii="Book Antiqua" w:hAnsi="Book Antiqua"/>
          <w:u w:val="single"/>
          <w:lang w:val="es-ES_tradnl"/>
        </w:rPr>
        <w:t>recibirá</w:t>
      </w:r>
      <w:r w:rsidR="00444418">
        <w:rPr>
          <w:rFonts w:ascii="Book Antiqua" w:hAnsi="Book Antiqua"/>
          <w:i/>
          <w:iCs/>
          <w:u w:val="single"/>
          <w:lang w:val="es-ES_tradnl"/>
        </w:rPr>
        <w:t xml:space="preserve"> </w:t>
      </w:r>
      <w:r w:rsidRPr="005E2840">
        <w:rPr>
          <w:rFonts w:ascii="Book Antiqua" w:hAnsi="Book Antiqua"/>
          <w:lang w:val="es-ES_tradnl"/>
        </w:rPr>
        <w:t>tratamiento compulsorio a menos que mediante prueba clara y convincente, a satisfacción del Tribunal, evidencie la necesidad de tal ingreso o tratamiento, según los criterios establecidos en este Artículo.</w:t>
      </w:r>
      <w:r>
        <w:rPr>
          <w:rFonts w:ascii="Book Antiqua" w:hAnsi="Book Antiqua"/>
          <w:lang w:val="es-ES_tradnl"/>
        </w:rPr>
        <w:t>”</w:t>
      </w:r>
    </w:p>
    <w:p w14:paraId="2A01ACB3" w14:textId="0B2E81F9" w:rsidR="002B508B" w:rsidRDefault="00A468B9" w:rsidP="00324183">
      <w:pPr>
        <w:spacing w:line="480" w:lineRule="auto"/>
        <w:ind w:firstLine="360"/>
        <w:jc w:val="both"/>
        <w:rPr>
          <w:rFonts w:ascii="Book Antiqua" w:hAnsi="Book Antiqua"/>
          <w:color w:val="000000"/>
          <w:szCs w:val="24"/>
          <w:lang w:val="es-PR"/>
        </w:rPr>
      </w:pPr>
      <w:r>
        <w:rPr>
          <w:rFonts w:ascii="Book Antiqua" w:hAnsi="Book Antiqua"/>
          <w:color w:val="000000"/>
          <w:szCs w:val="24"/>
          <w:lang w:val="es-PR"/>
        </w:rPr>
        <w:t>Sección</w:t>
      </w:r>
      <w:r w:rsidR="00EA26A2" w:rsidRPr="00D10E21">
        <w:rPr>
          <w:rFonts w:ascii="Book Antiqua" w:hAnsi="Book Antiqua"/>
          <w:color w:val="000000"/>
          <w:szCs w:val="24"/>
          <w:lang w:val="es-PR"/>
        </w:rPr>
        <w:t xml:space="preserve"> 2.-</w:t>
      </w:r>
      <w:r w:rsidR="005E2840">
        <w:rPr>
          <w:rFonts w:ascii="Book Antiqua" w:hAnsi="Book Antiqua"/>
          <w:color w:val="000000"/>
          <w:szCs w:val="24"/>
          <w:lang w:val="es-PR"/>
        </w:rPr>
        <w:t xml:space="preserve"> </w:t>
      </w:r>
      <w:r w:rsidR="005E2840" w:rsidRPr="005E2840">
        <w:rPr>
          <w:rFonts w:ascii="Book Antiqua" w:hAnsi="Book Antiqua"/>
          <w:color w:val="000000"/>
          <w:szCs w:val="24"/>
          <w:lang w:val="es-PR"/>
        </w:rPr>
        <w:t>Se enmienda el Artículo</w:t>
      </w:r>
      <w:r w:rsidR="005E2840">
        <w:rPr>
          <w:rFonts w:ascii="Book Antiqua" w:hAnsi="Book Antiqua"/>
          <w:color w:val="000000"/>
          <w:szCs w:val="24"/>
          <w:lang w:val="es-PR"/>
        </w:rPr>
        <w:t xml:space="preserve"> 15.03 </w:t>
      </w:r>
      <w:r w:rsidR="005E2840" w:rsidRPr="005E2840">
        <w:rPr>
          <w:rFonts w:ascii="Book Antiqua" w:hAnsi="Book Antiqua"/>
          <w:color w:val="000000"/>
          <w:szCs w:val="24"/>
          <w:lang w:val="es-PR"/>
        </w:rPr>
        <w:t xml:space="preserve">de la Ley </w:t>
      </w:r>
      <w:r w:rsidR="000D6AA6">
        <w:rPr>
          <w:rFonts w:ascii="Book Antiqua" w:hAnsi="Book Antiqua"/>
          <w:i/>
          <w:iCs/>
          <w:color w:val="000000"/>
          <w:szCs w:val="24"/>
          <w:u w:val="single"/>
          <w:lang w:val="es-PR"/>
        </w:rPr>
        <w:t>Núm.</w:t>
      </w:r>
      <w:r w:rsidR="000D6AA6" w:rsidRPr="000D6AA6">
        <w:rPr>
          <w:rFonts w:ascii="Book Antiqua" w:hAnsi="Book Antiqua"/>
          <w:i/>
          <w:iCs/>
          <w:color w:val="000000"/>
          <w:szCs w:val="24"/>
          <w:lang w:val="es-PR"/>
        </w:rPr>
        <w:t xml:space="preserve"> </w:t>
      </w:r>
      <w:r w:rsidR="005E2840" w:rsidRPr="005E2840">
        <w:rPr>
          <w:rFonts w:ascii="Book Antiqua" w:hAnsi="Book Antiqua"/>
          <w:color w:val="000000"/>
          <w:szCs w:val="24"/>
          <w:lang w:val="es-PR"/>
        </w:rPr>
        <w:t xml:space="preserve">408-2000, </w:t>
      </w:r>
      <w:r w:rsidR="005E2840" w:rsidRPr="000D6AA6">
        <w:rPr>
          <w:rFonts w:ascii="Book Antiqua" w:hAnsi="Book Antiqua"/>
          <w:strike/>
          <w:color w:val="000000"/>
          <w:szCs w:val="24"/>
          <w:lang w:val="es-PR"/>
        </w:rPr>
        <w:t>conocida como</w:t>
      </w:r>
      <w:r w:rsidR="00324183" w:rsidRPr="000D6AA6">
        <w:rPr>
          <w:rFonts w:ascii="Book Antiqua" w:hAnsi="Book Antiqua"/>
          <w:strike/>
          <w:color w:val="000000"/>
          <w:szCs w:val="24"/>
          <w:lang w:val="es-PR"/>
        </w:rPr>
        <w:t xml:space="preserve"> </w:t>
      </w:r>
      <w:r w:rsidR="005E2840" w:rsidRPr="000D6AA6">
        <w:rPr>
          <w:rFonts w:ascii="Book Antiqua" w:hAnsi="Book Antiqua"/>
          <w:strike/>
          <w:color w:val="000000"/>
          <w:szCs w:val="24"/>
          <w:lang w:val="es-PR"/>
        </w:rPr>
        <w:t>“Ley de Salud Mental de Puerto Rico”</w:t>
      </w:r>
      <w:r w:rsidR="000D6AA6" w:rsidRPr="000D6AA6">
        <w:rPr>
          <w:rFonts w:ascii="Book Antiqua" w:hAnsi="Book Antiqua"/>
          <w:color w:val="000000"/>
          <w:szCs w:val="24"/>
          <w:lang w:val="es-PR"/>
        </w:rPr>
        <w:t xml:space="preserve"> </w:t>
      </w:r>
      <w:r w:rsidR="000D6AA6">
        <w:rPr>
          <w:rFonts w:ascii="Book Antiqua" w:hAnsi="Book Antiqua"/>
          <w:i/>
          <w:iCs/>
          <w:u w:val="single"/>
          <w:lang w:val="es-ES_tradnl"/>
        </w:rPr>
        <w:t>según enmendada</w:t>
      </w:r>
      <w:r w:rsidR="005E2840" w:rsidRPr="005E2840">
        <w:rPr>
          <w:rFonts w:ascii="Book Antiqua" w:hAnsi="Book Antiqua"/>
          <w:color w:val="000000"/>
          <w:szCs w:val="24"/>
          <w:lang w:val="es-PR"/>
        </w:rPr>
        <w:t>, para que lea como sigue:</w:t>
      </w:r>
    </w:p>
    <w:p w14:paraId="1D4B0E7E" w14:textId="77777777" w:rsidR="005E2840" w:rsidRPr="005E2840" w:rsidRDefault="005E2840" w:rsidP="00816216">
      <w:pPr>
        <w:spacing w:line="480" w:lineRule="auto"/>
        <w:ind w:firstLine="360"/>
        <w:jc w:val="both"/>
        <w:rPr>
          <w:rFonts w:ascii="Book Antiqua" w:hAnsi="Book Antiqua"/>
          <w:color w:val="000000"/>
          <w:szCs w:val="24"/>
          <w:lang w:val="es-ES"/>
        </w:rPr>
      </w:pPr>
      <w:r>
        <w:rPr>
          <w:rFonts w:ascii="Book Antiqua" w:hAnsi="Book Antiqua"/>
          <w:color w:val="000000"/>
          <w:szCs w:val="24"/>
          <w:lang w:val="es-ES"/>
        </w:rPr>
        <w:t>“</w:t>
      </w:r>
      <w:r w:rsidRPr="005E2840">
        <w:rPr>
          <w:rFonts w:ascii="Book Antiqua" w:hAnsi="Book Antiqua"/>
          <w:color w:val="000000"/>
          <w:szCs w:val="24"/>
          <w:lang w:val="es-ES"/>
        </w:rPr>
        <w:t xml:space="preserve">Artículo 15.03. — Prohibición de Institucionalización. </w:t>
      </w:r>
    </w:p>
    <w:p w14:paraId="6377CBD7" w14:textId="77777777" w:rsidR="005E2840" w:rsidRPr="005E2840" w:rsidRDefault="005E2840" w:rsidP="00816216">
      <w:pPr>
        <w:spacing w:line="480" w:lineRule="auto"/>
        <w:ind w:firstLine="360"/>
        <w:jc w:val="both"/>
        <w:rPr>
          <w:rFonts w:ascii="Book Antiqua" w:hAnsi="Book Antiqua"/>
          <w:color w:val="000000"/>
          <w:szCs w:val="24"/>
          <w:lang w:val="es-ES"/>
        </w:rPr>
      </w:pPr>
      <w:r w:rsidRPr="005E2840">
        <w:rPr>
          <w:rFonts w:ascii="Book Antiqua" w:hAnsi="Book Antiqua"/>
          <w:color w:val="000000"/>
          <w:szCs w:val="24"/>
          <w:lang w:val="es-ES"/>
        </w:rPr>
        <w:lastRenderedPageBreak/>
        <w:t xml:space="preserve">Toda instalación proveedora o facilidad de salud mental que se determine ha incurrido en la institucionalización de una persona, adulto o menor, el cual no reúne los criterios clínicos ni severidad para estar recluido en el nivel de cuidado donde se ha mantenido, luego de la estabilización de los síntomas y signos para el nivel de cuidado donde permaneció y privándosele de un nivel de cuidado de mayor autonomía y menor intensidad o restricción, incurrirá en delito, según dispuesto en el Artículo </w:t>
      </w:r>
      <w:r w:rsidRPr="004B3581">
        <w:rPr>
          <w:rFonts w:ascii="Book Antiqua" w:hAnsi="Book Antiqua"/>
          <w:color w:val="000000"/>
          <w:szCs w:val="24"/>
          <w:lang w:val="es-ES"/>
        </w:rPr>
        <w:t>156</w:t>
      </w:r>
      <w:r w:rsidRPr="005E2840">
        <w:rPr>
          <w:rFonts w:ascii="Book Antiqua" w:hAnsi="Book Antiqua"/>
          <w:i/>
          <w:iCs/>
          <w:color w:val="000000"/>
          <w:szCs w:val="24"/>
          <w:lang w:val="es-ES"/>
        </w:rPr>
        <w:t xml:space="preserve"> </w:t>
      </w:r>
      <w:r w:rsidRPr="005E2840">
        <w:rPr>
          <w:rFonts w:ascii="Book Antiqua" w:hAnsi="Book Antiqua"/>
          <w:color w:val="000000"/>
          <w:szCs w:val="24"/>
          <w:lang w:val="es-ES"/>
        </w:rPr>
        <w:t>del Código Penal de Puerto Rico.</w:t>
      </w:r>
      <w:r>
        <w:rPr>
          <w:rFonts w:ascii="Book Antiqua" w:hAnsi="Book Antiqua"/>
          <w:color w:val="000000"/>
          <w:szCs w:val="24"/>
          <w:lang w:val="es-ES"/>
        </w:rPr>
        <w:t>”</w:t>
      </w:r>
    </w:p>
    <w:p w14:paraId="05D3EFAB" w14:textId="2C40F60E" w:rsidR="00324183" w:rsidRDefault="00A468B9" w:rsidP="00324183">
      <w:pPr>
        <w:spacing w:line="480" w:lineRule="auto"/>
        <w:ind w:left="360"/>
        <w:jc w:val="both"/>
        <w:rPr>
          <w:rFonts w:ascii="Book Antiqua" w:hAnsi="Book Antiqua"/>
          <w:color w:val="000000"/>
          <w:szCs w:val="24"/>
          <w:lang w:val="es-PR"/>
        </w:rPr>
      </w:pPr>
      <w:r>
        <w:rPr>
          <w:rFonts w:ascii="Book Antiqua" w:hAnsi="Book Antiqua"/>
          <w:color w:val="000000"/>
          <w:szCs w:val="24"/>
          <w:lang w:val="es-PR"/>
        </w:rPr>
        <w:t>Sección</w:t>
      </w:r>
      <w:r w:rsidR="000A15CC" w:rsidRPr="00D10E21">
        <w:rPr>
          <w:rFonts w:ascii="Book Antiqua" w:hAnsi="Book Antiqua"/>
          <w:color w:val="000000"/>
          <w:szCs w:val="24"/>
          <w:lang w:val="es-PR"/>
        </w:rPr>
        <w:t xml:space="preserve"> 3.- </w:t>
      </w:r>
      <w:r w:rsidR="00324183">
        <w:rPr>
          <w:rFonts w:ascii="Book Antiqua" w:hAnsi="Book Antiqua"/>
          <w:color w:val="000000"/>
          <w:szCs w:val="24"/>
          <w:lang w:val="es-PR"/>
        </w:rPr>
        <w:t>Vigencia</w:t>
      </w:r>
      <w:r w:rsidR="003C1207">
        <w:rPr>
          <w:rFonts w:ascii="Book Antiqua" w:hAnsi="Book Antiqua"/>
          <w:i/>
          <w:iCs/>
          <w:color w:val="000000"/>
          <w:szCs w:val="24"/>
          <w:u w:val="single"/>
          <w:lang w:val="es-PR"/>
        </w:rPr>
        <w:t>.</w:t>
      </w:r>
      <w:r w:rsidR="00324183">
        <w:rPr>
          <w:rFonts w:ascii="Book Antiqua" w:hAnsi="Book Antiqua"/>
          <w:color w:val="000000"/>
          <w:szCs w:val="24"/>
          <w:lang w:val="es-PR"/>
        </w:rPr>
        <w:t xml:space="preserve"> </w:t>
      </w:r>
    </w:p>
    <w:p w14:paraId="2E9E3090" w14:textId="77777777" w:rsidR="006D77E8" w:rsidRDefault="00324183" w:rsidP="00324183">
      <w:pPr>
        <w:spacing w:line="480" w:lineRule="auto"/>
        <w:ind w:left="360"/>
        <w:jc w:val="both"/>
        <w:rPr>
          <w:rFonts w:ascii="Book Antiqua" w:hAnsi="Book Antiqua"/>
          <w:color w:val="000000"/>
          <w:szCs w:val="24"/>
          <w:lang w:val="es-PR"/>
        </w:rPr>
      </w:pPr>
      <w:r w:rsidRPr="00D10E21">
        <w:rPr>
          <w:rFonts w:ascii="Book Antiqua" w:hAnsi="Book Antiqua"/>
          <w:color w:val="000000"/>
          <w:szCs w:val="24"/>
          <w:lang w:val="es-PR"/>
        </w:rPr>
        <w:t>Esta Ley comenzará a regir inmediatamente después de su aprobación.</w:t>
      </w:r>
    </w:p>
    <w:p w14:paraId="05B9DC0F" w14:textId="77777777" w:rsidR="00BB16BA" w:rsidRDefault="00BB16BA" w:rsidP="00BB16BA">
      <w:pPr>
        <w:suppressLineNumbers/>
        <w:spacing w:line="480" w:lineRule="auto"/>
        <w:ind w:left="360"/>
        <w:jc w:val="both"/>
        <w:rPr>
          <w:rFonts w:ascii="Book Antiqua" w:hAnsi="Book Antiqua"/>
          <w:color w:val="000000"/>
          <w:szCs w:val="24"/>
          <w:lang w:val="es-PR"/>
        </w:rPr>
      </w:pPr>
    </w:p>
    <w:sectPr w:rsidR="00BB16BA" w:rsidSect="00EA26A2">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6F64D" w14:textId="77777777" w:rsidR="00D354FD" w:rsidRDefault="00D354FD">
      <w:r>
        <w:separator/>
      </w:r>
    </w:p>
  </w:endnote>
  <w:endnote w:type="continuationSeparator" w:id="0">
    <w:p w14:paraId="711C3A5C" w14:textId="77777777" w:rsidR="00D354FD" w:rsidRDefault="00D354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34FFA8" w14:textId="77777777" w:rsidR="00D354FD" w:rsidRDefault="00D354FD">
      <w:r>
        <w:separator/>
      </w:r>
    </w:p>
  </w:footnote>
  <w:footnote w:type="continuationSeparator" w:id="0">
    <w:p w14:paraId="524969A5" w14:textId="77777777" w:rsidR="00D354FD" w:rsidRDefault="00D354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DBF91"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BB3A07">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AFA94" w14:textId="77777777" w:rsidR="004B3581" w:rsidRDefault="004B3581" w:rsidP="004B3581">
    <w:pPr>
      <w:keepNext/>
      <w:suppressLineNumbers/>
      <w:tabs>
        <w:tab w:val="center" w:pos="4320"/>
        <w:tab w:val="right" w:pos="8640"/>
      </w:tabs>
      <w:autoSpaceDE w:val="0"/>
      <w:autoSpaceDN w:val="0"/>
      <w:adjustRightInd w:val="0"/>
      <w:jc w:val="center"/>
      <w:rPr>
        <w:rFonts w:ascii="Book Antiqua" w:eastAsia="Calibri" w:hAnsi="Book Antiqua"/>
        <w:b/>
        <w:szCs w:val="24"/>
        <w:lang w:val="es-ES"/>
      </w:rPr>
    </w:pPr>
    <w:bookmarkStart w:id="0" w:name="_Hlk36034857"/>
    <w:r>
      <w:rPr>
        <w:rFonts w:ascii="Book Antiqua" w:eastAsia="MS Mincho" w:hAnsi="Book Antiqua" w:cs="Arial"/>
        <w:b/>
        <w:szCs w:val="24"/>
        <w:lang w:val="es-PR"/>
      </w:rPr>
      <w:t>TEXTO APROBADO EN VOTACIÓN FINAL POR EL SENADO</w:t>
    </w:r>
  </w:p>
  <w:p w14:paraId="66DBC54C" w14:textId="77777777" w:rsidR="004B3581" w:rsidRDefault="004B3581" w:rsidP="004B3581">
    <w:pPr>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cs="Arial"/>
        <w:b/>
        <w:szCs w:val="24"/>
        <w:lang w:val="es-PR"/>
      </w:rPr>
    </w:pPr>
    <w:r>
      <w:rPr>
        <w:rFonts w:ascii="Book Antiqua" w:eastAsia="MS Mincho" w:hAnsi="Book Antiqua" w:cs="Arial"/>
        <w:b/>
        <w:szCs w:val="24"/>
      </w:rPr>
      <w:t>(9 DE MARZO DE 2026)</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D67EB"/>
    <w:multiLevelType w:val="hybridMultilevel"/>
    <w:tmpl w:val="8EA2409E"/>
    <w:lvl w:ilvl="0" w:tplc="812E3D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FDA7715"/>
    <w:multiLevelType w:val="hybridMultilevel"/>
    <w:tmpl w:val="5CBAA6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1059239">
    <w:abstractNumId w:val="1"/>
  </w:num>
  <w:num w:numId="2" w16cid:durableId="20331450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F655C"/>
    <w:rsid w:val="00062F4B"/>
    <w:rsid w:val="0009781C"/>
    <w:rsid w:val="000A15CC"/>
    <w:rsid w:val="000D07BC"/>
    <w:rsid w:val="000D6AA6"/>
    <w:rsid w:val="000F6834"/>
    <w:rsid w:val="000F69CB"/>
    <w:rsid w:val="0013483C"/>
    <w:rsid w:val="00186E7D"/>
    <w:rsid w:val="001A6599"/>
    <w:rsid w:val="001B3C26"/>
    <w:rsid w:val="001B4010"/>
    <w:rsid w:val="00212DCF"/>
    <w:rsid w:val="002151F3"/>
    <w:rsid w:val="0023354B"/>
    <w:rsid w:val="002456BD"/>
    <w:rsid w:val="00245D57"/>
    <w:rsid w:val="002570AD"/>
    <w:rsid w:val="00275D9E"/>
    <w:rsid w:val="002A57BA"/>
    <w:rsid w:val="002B20E0"/>
    <w:rsid w:val="002B508B"/>
    <w:rsid w:val="002E6D71"/>
    <w:rsid w:val="00304394"/>
    <w:rsid w:val="00306F8C"/>
    <w:rsid w:val="00321EB7"/>
    <w:rsid w:val="00323544"/>
    <w:rsid w:val="00324183"/>
    <w:rsid w:val="00331C2F"/>
    <w:rsid w:val="00354133"/>
    <w:rsid w:val="00354F2D"/>
    <w:rsid w:val="003752FE"/>
    <w:rsid w:val="003A66B8"/>
    <w:rsid w:val="003C1207"/>
    <w:rsid w:val="003F655C"/>
    <w:rsid w:val="00415E02"/>
    <w:rsid w:val="0042753F"/>
    <w:rsid w:val="00444418"/>
    <w:rsid w:val="004B3581"/>
    <w:rsid w:val="004B3F1B"/>
    <w:rsid w:val="004F1EE4"/>
    <w:rsid w:val="00513C70"/>
    <w:rsid w:val="00521503"/>
    <w:rsid w:val="00540FDB"/>
    <w:rsid w:val="005554E3"/>
    <w:rsid w:val="005E2840"/>
    <w:rsid w:val="005E3002"/>
    <w:rsid w:val="005E6262"/>
    <w:rsid w:val="005F3ED5"/>
    <w:rsid w:val="006A7341"/>
    <w:rsid w:val="006B559B"/>
    <w:rsid w:val="006D29C6"/>
    <w:rsid w:val="006D77E8"/>
    <w:rsid w:val="006F5A6D"/>
    <w:rsid w:val="00721025"/>
    <w:rsid w:val="0074139C"/>
    <w:rsid w:val="007446ED"/>
    <w:rsid w:val="007A7A95"/>
    <w:rsid w:val="007B4ACC"/>
    <w:rsid w:val="00816216"/>
    <w:rsid w:val="008246C8"/>
    <w:rsid w:val="00827101"/>
    <w:rsid w:val="008547BE"/>
    <w:rsid w:val="0085586C"/>
    <w:rsid w:val="008A2CA9"/>
    <w:rsid w:val="008A741F"/>
    <w:rsid w:val="008C4672"/>
    <w:rsid w:val="008E2201"/>
    <w:rsid w:val="008E4B89"/>
    <w:rsid w:val="008E6E97"/>
    <w:rsid w:val="0092176F"/>
    <w:rsid w:val="00980C1C"/>
    <w:rsid w:val="009A58CC"/>
    <w:rsid w:val="009C357A"/>
    <w:rsid w:val="009C765B"/>
    <w:rsid w:val="009D6E9A"/>
    <w:rsid w:val="009F5165"/>
    <w:rsid w:val="009F6C9C"/>
    <w:rsid w:val="00A468B9"/>
    <w:rsid w:val="00A60AA5"/>
    <w:rsid w:val="00A72CEE"/>
    <w:rsid w:val="00A7319A"/>
    <w:rsid w:val="00A73452"/>
    <w:rsid w:val="00A750BD"/>
    <w:rsid w:val="00A8294F"/>
    <w:rsid w:val="00A829DF"/>
    <w:rsid w:val="00AF5D87"/>
    <w:rsid w:val="00B11114"/>
    <w:rsid w:val="00B407CB"/>
    <w:rsid w:val="00B456A4"/>
    <w:rsid w:val="00B632EA"/>
    <w:rsid w:val="00B8423C"/>
    <w:rsid w:val="00BB16BA"/>
    <w:rsid w:val="00BB3A07"/>
    <w:rsid w:val="00BC67FB"/>
    <w:rsid w:val="00BF6758"/>
    <w:rsid w:val="00C27704"/>
    <w:rsid w:val="00C27AEF"/>
    <w:rsid w:val="00C30566"/>
    <w:rsid w:val="00C433A2"/>
    <w:rsid w:val="00C652E0"/>
    <w:rsid w:val="00C80AD8"/>
    <w:rsid w:val="00CB6AC0"/>
    <w:rsid w:val="00CD3F8A"/>
    <w:rsid w:val="00CE7DA2"/>
    <w:rsid w:val="00D10E21"/>
    <w:rsid w:val="00D20C77"/>
    <w:rsid w:val="00D354FD"/>
    <w:rsid w:val="00D51285"/>
    <w:rsid w:val="00DA1EB1"/>
    <w:rsid w:val="00DF0BBE"/>
    <w:rsid w:val="00E55203"/>
    <w:rsid w:val="00EA26A2"/>
    <w:rsid w:val="00ED2E1F"/>
    <w:rsid w:val="00FC11F8"/>
    <w:rsid w:val="00FE7AE7"/>
    <w:rsid w:val="00FF4630"/>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FA563F"/>
  <w15:chartTrackingRefBased/>
  <w15:docId w15:val="{58E93A7A-6F1A-42BC-A21F-4F6D09FCC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Strong">
    <w:name w:val="Strong"/>
    <w:uiPriority w:val="22"/>
    <w:qFormat/>
    <w:rsid w:val="009F5165"/>
    <w:rPr>
      <w:b/>
      <w:bCs/>
    </w:rPr>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A26A2"/>
    <w:pPr>
      <w:ind w:left="720"/>
      <w:contextualSpacing/>
    </w:pPr>
  </w:style>
  <w:style w:type="paragraph" w:styleId="BalloonText">
    <w:name w:val="Balloon Text"/>
    <w:basedOn w:val="Normal"/>
    <w:link w:val="BalloonTextChar"/>
    <w:semiHidden/>
    <w:unhideWhenUsed/>
    <w:rsid w:val="00304394"/>
    <w:rPr>
      <w:rFonts w:ascii="Segoe UI" w:hAnsi="Segoe UI" w:cs="Segoe UI"/>
      <w:sz w:val="18"/>
      <w:szCs w:val="18"/>
    </w:rPr>
  </w:style>
  <w:style w:type="character" w:customStyle="1" w:styleId="BalloonTextChar">
    <w:name w:val="Balloon Text Char"/>
    <w:link w:val="BalloonText"/>
    <w:semiHidden/>
    <w:rsid w:val="0030439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Tramites\2017-2020\Medida-v201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C6CA3-9829-4E6A-B514-44AAA6B0D4C9}">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E294943B-357F-4977-BE68-0E90EEBB2183}">
  <ds:schemaRefs>
    <ds:schemaRef ds:uri="http://schemas.microsoft.com/sharepoint/v3/contenttype/forms"/>
  </ds:schemaRefs>
</ds:datastoreItem>
</file>

<file path=customXml/itemProps3.xml><?xml version="1.0" encoding="utf-8"?>
<ds:datastoreItem xmlns:ds="http://schemas.openxmlformats.org/officeDocument/2006/customXml" ds:itemID="{9247AB79-077F-4738-9628-BFB79EEFEC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Medida-v2017</Template>
  <TotalTime>1</TotalTime>
  <Pages>4</Pages>
  <Words>869</Words>
  <Characters>4954</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LinksUpToDate>false</LinksUpToDate>
  <CharactersWithSpaces>5812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Nelson Bayrón (Sen. Rodríguez Mateo)</dc:creator>
  <cp:keywords/>
  <cp:lastModifiedBy>Camyl Moreno Pantojas</cp:lastModifiedBy>
  <cp:revision>2</cp:revision>
  <cp:lastPrinted>2026-03-11T19:46:00Z</cp:lastPrinted>
  <dcterms:created xsi:type="dcterms:W3CDTF">2026-06-15T14:18:00Z</dcterms:created>
  <dcterms:modified xsi:type="dcterms:W3CDTF">2026-06-15T14:18:00Z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ies>
</file>