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44EBCF98" w:rsidR="00DF7D86" w:rsidRPr="00250E7B" w:rsidRDefault="00B45797" w:rsidP="00954C22">
      <w:pPr>
        <w:tabs>
          <w:tab w:val="center" w:pos="4680"/>
        </w:tabs>
        <w:jc w:val="center"/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250E7B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="0038510E" w:rsidRPr="00250E7B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450DFDF1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="007B756F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96033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A47DEB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7B756F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96033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03FA46E" w14:textId="397C8F29" w:rsidR="00DF7D86" w:rsidRPr="00EE6C45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EE6C45">
        <w:rPr>
          <w:rFonts w:ascii="Book Antiqua" w:eastAsia="Book Antiqua" w:hAnsi="Book Antiqua" w:cs="Book Antiqua"/>
          <w:color w:val="000000" w:themeColor="text1"/>
          <w:lang w:val="es-PR"/>
        </w:rPr>
        <w:t>Legislativa</w:t>
      </w:r>
      <w:r w:rsidRPr="00EE6C45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EE6C45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96033" w:rsidRPr="00EE6C45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EE6C45">
        <w:rPr>
          <w:rFonts w:ascii="Book Antiqua" w:eastAsia="Book Antiqua" w:hAnsi="Book Antiqua" w:cs="Book Antiqua"/>
          <w:color w:val="000000" w:themeColor="text1"/>
          <w:lang w:val="es-PR"/>
        </w:rPr>
        <w:t>Ordinaria</w:t>
      </w:r>
    </w:p>
    <w:p w14:paraId="5493F33C" w14:textId="77777777" w:rsidR="00DF7D86" w:rsidRPr="00EE6C45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EE6C45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EE6C45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7A8FF69F" w:rsidR="00DF7D86" w:rsidRPr="00605A72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85083A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del </w:t>
      </w:r>
      <w:r w:rsidR="0045657D" w:rsidRPr="0085083A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S</w:t>
      </w:r>
      <w:r w:rsidRPr="0085083A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. </w:t>
      </w:r>
      <w:r w:rsidR="00B61FC2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99</w:t>
      </w:r>
      <w:r w:rsidR="005765D8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4</w:t>
      </w:r>
    </w:p>
    <w:p w14:paraId="6CA3DF2C" w14:textId="4A11C9E1" w:rsidR="00DF7D86" w:rsidRPr="007B756F" w:rsidRDefault="0038510E">
      <w:pPr>
        <w:spacing w:line="360" w:lineRule="auto"/>
        <w:jc w:val="center"/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</w:pPr>
      <w:r w:rsidRPr="007B756F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>INFORME</w:t>
      </w:r>
      <w:r w:rsidR="00605A72" w:rsidRPr="007B756F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 xml:space="preserve"> POSITIVO</w:t>
      </w:r>
    </w:p>
    <w:p w14:paraId="65B59E42" w14:textId="23654E0D" w:rsidR="00DF7D86" w:rsidRPr="001711E6" w:rsidRDefault="00245DD7" w:rsidP="00250E7B">
      <w:pPr>
        <w:spacing w:after="24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15</w:t>
      </w:r>
      <w:r w:rsidR="007B756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5765D8">
        <w:rPr>
          <w:rFonts w:ascii="Book Antiqua" w:eastAsia="Book Antiqua" w:hAnsi="Book Antiqua" w:cs="Book Antiqua"/>
          <w:color w:val="000000" w:themeColor="text1"/>
          <w:lang w:val="es-PR"/>
        </w:rPr>
        <w:t>juni</w:t>
      </w:r>
      <w:r w:rsidR="009A28C2">
        <w:rPr>
          <w:rFonts w:ascii="Book Antiqua" w:eastAsia="Book Antiqua" w:hAnsi="Book Antiqua" w:cs="Book Antiqua"/>
          <w:color w:val="000000" w:themeColor="text1"/>
          <w:lang w:val="es-PR"/>
        </w:rPr>
        <w:t>o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A47DEB"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2714CB15" w14:textId="190FB3D3" w:rsidR="00DF7D86" w:rsidRPr="00153F79" w:rsidRDefault="0038510E">
      <w:pPr>
        <w:jc w:val="both"/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</w:pPr>
      <w:r w:rsidRPr="00153F79"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  <w:t>A LA CÁMARA DE REPRESENTANTES DE PUERTO RICO</w:t>
      </w:r>
    </w:p>
    <w:p w14:paraId="63BF9BD9" w14:textId="77777777" w:rsidR="00DF7D86" w:rsidRPr="001711E6" w:rsidRDefault="00DF7D86">
      <w:pPr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11BA7D0" w14:textId="19F38E38" w:rsidR="00B12451" w:rsidRDefault="00F169E1" w:rsidP="00153F79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onsideración del P</w:t>
      </w:r>
      <w:r w:rsidR="00954C22">
        <w:rPr>
          <w:rFonts w:ascii="Book Antiqua" w:eastAsia="Book Antiqua" w:hAnsi="Book Antiqua" w:cs="Book Antiqua"/>
          <w:color w:val="000000" w:themeColor="text1"/>
          <w:lang w:val="es-PR"/>
        </w:rPr>
        <w:t>royecto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del </w:t>
      </w:r>
      <w:r w:rsidR="0045657D">
        <w:rPr>
          <w:rFonts w:ascii="Book Antiqua" w:eastAsia="Book Antiqua" w:hAnsi="Book Antiqua" w:cs="Book Antiqua"/>
          <w:color w:val="000000" w:themeColor="text1"/>
          <w:lang w:val="es-PR"/>
        </w:rPr>
        <w:t xml:space="preserve">Senado </w:t>
      </w:r>
      <w:r w:rsidR="00B61FC2">
        <w:rPr>
          <w:rFonts w:ascii="Book Antiqua" w:eastAsia="Book Antiqua" w:hAnsi="Book Antiqua" w:cs="Book Antiqua"/>
          <w:color w:val="000000" w:themeColor="text1"/>
          <w:lang w:val="es-PR"/>
        </w:rPr>
        <w:t>99</w:t>
      </w:r>
      <w:r w:rsidR="00CE4B94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="00383A2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22725">
        <w:rPr>
          <w:rFonts w:ascii="Book Antiqua" w:eastAsia="Book Antiqua" w:hAnsi="Book Antiqua" w:cs="Book Antiqua"/>
          <w:color w:val="000000" w:themeColor="text1"/>
          <w:lang w:val="es-PR"/>
        </w:rPr>
        <w:t xml:space="preserve">(P. del </w:t>
      </w:r>
      <w:r w:rsidR="0045657D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A22725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B61FC2">
        <w:rPr>
          <w:rFonts w:ascii="Book Antiqua" w:eastAsia="Book Antiqua" w:hAnsi="Book Antiqua" w:cs="Book Antiqua"/>
          <w:color w:val="000000" w:themeColor="text1"/>
          <w:lang w:val="es-PR"/>
        </w:rPr>
        <w:t>99</w:t>
      </w:r>
      <w:r w:rsidR="00CE4B94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="00A22725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 w:rsidR="00250E7B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9538A0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en el </w:t>
      </w:r>
      <w:proofErr w:type="spellStart"/>
      <w:r w:rsidR="00B55DDB" w:rsidRPr="009538A0">
        <w:rPr>
          <w:rFonts w:ascii="Book Antiqua" w:eastAsia="Book Antiqua" w:hAnsi="Book Antiqua" w:cs="Book Antiqua"/>
          <w:color w:val="000000" w:themeColor="text1"/>
          <w:lang w:val="es-PR"/>
        </w:rPr>
        <w:t>entirillado</w:t>
      </w:r>
      <w:proofErr w:type="spellEnd"/>
      <w:r w:rsidR="00B55DDB" w:rsidRPr="009538A0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</w:t>
      </w:r>
      <w:r w:rsidR="00115F82" w:rsidRPr="009538A0">
        <w:rPr>
          <w:rFonts w:ascii="Book Antiqua" w:eastAsia="Book Antiqua" w:hAnsi="Book Antiqua" w:cs="Book Antiqua"/>
          <w:color w:val="000000" w:themeColor="text1"/>
          <w:lang w:val="es-PR"/>
        </w:rPr>
        <w:t xml:space="preserve"> adjunto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</w:p>
    <w:p w14:paraId="00C5E8B9" w14:textId="4660F81F" w:rsidR="003B38A4" w:rsidRPr="00153F79" w:rsidRDefault="003B38A4" w:rsidP="00115F82">
      <w:pPr>
        <w:spacing w:after="160" w:line="288" w:lineRule="auto"/>
        <w:ind w:firstLine="720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  <w:r w:rsidRPr="00153F79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ALCANCE DE LA MEDIDA</w:t>
      </w:r>
    </w:p>
    <w:p w14:paraId="60451303" w14:textId="3950F515" w:rsidR="001015D5" w:rsidRDefault="003B38A4" w:rsidP="00B4768F">
      <w:pPr>
        <w:spacing w:after="160" w:line="288" w:lineRule="auto"/>
        <w:ind w:firstLine="720"/>
        <w:jc w:val="both"/>
        <w:rPr>
          <w:rFonts w:ascii="Book Antiqua" w:hAnsi="Book Antiqua"/>
          <w:lang w:val="es-ES_tradnl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851E49" w:rsidRPr="001711E6">
        <w:rPr>
          <w:rFonts w:ascii="Book Antiqua" w:eastAsia="Book Antiqua" w:hAnsi="Book Antiqua" w:cs="Book Antiqua"/>
          <w:color w:val="000000" w:themeColor="text1"/>
          <w:lang w:val="es-PR"/>
        </w:rPr>
        <w:t>P</w:t>
      </w:r>
      <w:r w:rsidR="00382AD9">
        <w:rPr>
          <w:rFonts w:ascii="Book Antiqua" w:eastAsia="Book Antiqua" w:hAnsi="Book Antiqua" w:cs="Book Antiqua"/>
          <w:color w:val="000000" w:themeColor="text1"/>
          <w:lang w:val="es-PR"/>
        </w:rPr>
        <w:t xml:space="preserve">. del </w:t>
      </w:r>
      <w:r w:rsidR="00E52619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382AD9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B61FC2">
        <w:rPr>
          <w:rFonts w:ascii="Book Antiqua" w:eastAsia="Book Antiqua" w:hAnsi="Book Antiqua" w:cs="Book Antiqua"/>
          <w:color w:val="000000" w:themeColor="text1"/>
          <w:lang w:val="es-PR"/>
        </w:rPr>
        <w:t>99</w:t>
      </w:r>
      <w:r w:rsidR="00853E53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B23EA">
        <w:rPr>
          <w:rFonts w:ascii="Book Antiqua" w:eastAsia="Book Antiqua" w:hAnsi="Book Antiqua" w:cs="Book Antiqua"/>
          <w:color w:val="000000" w:themeColor="text1"/>
          <w:lang w:val="es-PR"/>
        </w:rPr>
        <w:t xml:space="preserve">propone </w:t>
      </w:r>
      <w:r w:rsidR="005B23EA" w:rsidRPr="005B23EA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enmendar </w:t>
      </w:r>
      <w:r w:rsidR="008246B8" w:rsidRPr="005E2840">
        <w:rPr>
          <w:rFonts w:ascii="Book Antiqua" w:hAnsi="Book Antiqua"/>
          <w:lang w:val="es-ES_tradnl"/>
        </w:rPr>
        <w:t xml:space="preserve">los </w:t>
      </w:r>
      <w:r w:rsidR="008246B8">
        <w:rPr>
          <w:rFonts w:ascii="Book Antiqua" w:hAnsi="Book Antiqua"/>
          <w:lang w:val="es-ES_tradnl"/>
        </w:rPr>
        <w:t>a</w:t>
      </w:r>
      <w:r w:rsidR="008246B8" w:rsidRPr="005E2840">
        <w:rPr>
          <w:rFonts w:ascii="Book Antiqua" w:hAnsi="Book Antiqua"/>
          <w:lang w:val="es-ES_tradnl"/>
        </w:rPr>
        <w:t>rtículos 2.03 y 15.03 de la Ley</w:t>
      </w:r>
      <w:r w:rsidR="008246B8">
        <w:rPr>
          <w:rFonts w:ascii="Book Antiqua" w:hAnsi="Book Antiqua"/>
          <w:lang w:val="es-ES_tradnl"/>
        </w:rPr>
        <w:t xml:space="preserve"> </w:t>
      </w:r>
      <w:r w:rsidR="008246B8" w:rsidRPr="008246B8">
        <w:rPr>
          <w:rFonts w:ascii="Book Antiqua" w:hAnsi="Book Antiqua"/>
          <w:lang w:val="es-ES_tradnl"/>
        </w:rPr>
        <w:t>Núm.</w:t>
      </w:r>
      <w:r w:rsidR="008246B8" w:rsidRPr="005E2840">
        <w:rPr>
          <w:rFonts w:ascii="Book Antiqua" w:hAnsi="Book Antiqua"/>
          <w:lang w:val="es-ES_tradnl"/>
        </w:rPr>
        <w:t xml:space="preserve"> 408-2000</w:t>
      </w:r>
      <w:r w:rsidR="008246B8">
        <w:rPr>
          <w:rFonts w:ascii="Book Antiqua" w:hAnsi="Book Antiqua"/>
          <w:lang w:val="es-ES_tradnl"/>
        </w:rPr>
        <w:t>, según enmendada,</w:t>
      </w:r>
      <w:r w:rsidR="008246B8">
        <w:rPr>
          <w:rStyle w:val="FootnoteReference"/>
          <w:rFonts w:ascii="Book Antiqua" w:hAnsi="Book Antiqua"/>
          <w:lang w:val="es-ES_tradnl"/>
        </w:rPr>
        <w:footnoteReference w:id="2"/>
      </w:r>
      <w:r w:rsidR="008246B8">
        <w:rPr>
          <w:rFonts w:ascii="Book Antiqua" w:hAnsi="Book Antiqua"/>
          <w:lang w:val="es-ES_tradnl"/>
        </w:rPr>
        <w:t xml:space="preserve"> con el fin de uniformar</w:t>
      </w:r>
      <w:r w:rsidR="008246B8" w:rsidRPr="005E2840">
        <w:rPr>
          <w:rFonts w:ascii="Book Antiqua" w:hAnsi="Book Antiqua"/>
          <w:lang w:val="es-ES_tradnl"/>
        </w:rPr>
        <w:t xml:space="preserve"> sus disposiciones con</w:t>
      </w:r>
      <w:r w:rsidR="008246B8">
        <w:rPr>
          <w:rFonts w:ascii="Book Antiqua" w:hAnsi="Book Antiqua"/>
          <w:lang w:val="es-ES_tradnl"/>
        </w:rPr>
        <w:t xml:space="preserve"> la Ley </w:t>
      </w:r>
      <w:r w:rsidR="008246B8" w:rsidRPr="003E0094">
        <w:rPr>
          <w:rFonts w:ascii="Book Antiqua" w:hAnsi="Book Antiqua"/>
          <w:lang w:val="es-ES_tradnl"/>
        </w:rPr>
        <w:t>Núm.</w:t>
      </w:r>
      <w:r w:rsidR="008246B8" w:rsidRPr="000D6AA6">
        <w:rPr>
          <w:rFonts w:ascii="Book Antiqua" w:hAnsi="Book Antiqua"/>
          <w:i/>
          <w:iCs/>
          <w:lang w:val="es-ES_tradnl"/>
        </w:rPr>
        <w:t xml:space="preserve"> </w:t>
      </w:r>
      <w:r w:rsidR="008246B8">
        <w:rPr>
          <w:rFonts w:ascii="Book Antiqua" w:hAnsi="Book Antiqua"/>
          <w:lang w:val="es-ES_tradnl"/>
        </w:rPr>
        <w:t>146-2012, según enmendada</w:t>
      </w:r>
      <w:r w:rsidR="008246B8" w:rsidRPr="005E2840">
        <w:rPr>
          <w:rFonts w:ascii="Book Antiqua" w:hAnsi="Book Antiqua"/>
          <w:lang w:val="es-ES_tradnl"/>
        </w:rPr>
        <w:t>.</w:t>
      </w:r>
      <w:r w:rsidR="003E0094">
        <w:rPr>
          <w:rStyle w:val="FootnoteReference"/>
          <w:rFonts w:ascii="Book Antiqua" w:hAnsi="Book Antiqua"/>
          <w:lang w:val="es-ES_tradnl"/>
        </w:rPr>
        <w:footnoteReference w:id="3"/>
      </w:r>
    </w:p>
    <w:p w14:paraId="4C809962" w14:textId="77777777" w:rsidR="00B4768F" w:rsidRDefault="00B4768F" w:rsidP="00B4768F">
      <w:pPr>
        <w:spacing w:after="160" w:line="288" w:lineRule="auto"/>
        <w:ind w:firstLine="720"/>
        <w:jc w:val="both"/>
        <w:rPr>
          <w:rFonts w:ascii="Book Antiqua" w:hAnsi="Book Antiqua"/>
          <w:lang w:val="es-ES_tradnl"/>
        </w:rPr>
      </w:pPr>
    </w:p>
    <w:p w14:paraId="34251DEE" w14:textId="77777777" w:rsidR="00B4768F" w:rsidRDefault="00B4768F" w:rsidP="00B4768F">
      <w:pPr>
        <w:spacing w:after="160" w:line="288" w:lineRule="auto"/>
        <w:ind w:firstLine="720"/>
        <w:jc w:val="both"/>
        <w:rPr>
          <w:rFonts w:ascii="Book Antiqua" w:hAnsi="Book Antiqua"/>
          <w:lang w:val="es-ES_tradnl"/>
        </w:rPr>
      </w:pPr>
    </w:p>
    <w:p w14:paraId="28112957" w14:textId="77777777" w:rsidR="00B4768F" w:rsidRDefault="00B4768F" w:rsidP="00B4768F">
      <w:pPr>
        <w:spacing w:after="160" w:line="288" w:lineRule="auto"/>
        <w:ind w:firstLine="720"/>
        <w:jc w:val="both"/>
        <w:rPr>
          <w:rFonts w:ascii="Book Antiqua" w:hAnsi="Book Antiqua"/>
          <w:lang w:val="es-ES_tradnl"/>
        </w:rPr>
      </w:pPr>
    </w:p>
    <w:p w14:paraId="7E3885A8" w14:textId="77777777" w:rsidR="00B4768F" w:rsidRDefault="00B4768F" w:rsidP="00B4768F">
      <w:pPr>
        <w:spacing w:after="160" w:line="288" w:lineRule="auto"/>
        <w:ind w:firstLine="720"/>
        <w:jc w:val="both"/>
        <w:rPr>
          <w:rFonts w:ascii="Book Antiqua" w:hAnsi="Book Antiqua"/>
          <w:lang w:val="es-ES_tradnl"/>
        </w:rPr>
      </w:pPr>
    </w:p>
    <w:p w14:paraId="340B0056" w14:textId="77777777" w:rsidR="00B4768F" w:rsidRDefault="00B4768F" w:rsidP="00B4768F">
      <w:pPr>
        <w:spacing w:after="160" w:line="288" w:lineRule="auto"/>
        <w:ind w:firstLine="720"/>
        <w:jc w:val="both"/>
        <w:rPr>
          <w:rFonts w:ascii="Book Antiqua" w:hAnsi="Book Antiqua"/>
          <w:lang w:val="es-ES_tradnl"/>
        </w:rPr>
      </w:pPr>
    </w:p>
    <w:p w14:paraId="3E885DEB" w14:textId="77777777" w:rsidR="00B4768F" w:rsidRDefault="00B4768F" w:rsidP="00B4768F">
      <w:pPr>
        <w:spacing w:after="160" w:line="288" w:lineRule="auto"/>
        <w:ind w:firstLine="720"/>
        <w:jc w:val="both"/>
        <w:rPr>
          <w:rFonts w:ascii="Book Antiqua" w:hAnsi="Book Antiqua"/>
          <w:lang w:val="es-ES_tradnl"/>
        </w:rPr>
      </w:pPr>
    </w:p>
    <w:p w14:paraId="446C9694" w14:textId="77777777" w:rsidR="00B4768F" w:rsidRDefault="00B4768F" w:rsidP="00B4768F">
      <w:pPr>
        <w:spacing w:after="160" w:line="288" w:lineRule="auto"/>
        <w:ind w:firstLine="720"/>
        <w:jc w:val="both"/>
        <w:rPr>
          <w:rFonts w:ascii="Book Antiqua" w:hAnsi="Book Antiqua"/>
          <w:lang w:val="es-ES_tradnl"/>
        </w:rPr>
      </w:pPr>
    </w:p>
    <w:p w14:paraId="761EEBA4" w14:textId="77777777" w:rsidR="00B4768F" w:rsidRDefault="00B4768F" w:rsidP="00B4768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1225F58" w14:textId="63F9782E" w:rsidR="001A76F7" w:rsidRPr="003F2BB4" w:rsidRDefault="001A76F7" w:rsidP="000939BC">
      <w:pPr>
        <w:spacing w:after="160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  <w:r w:rsidRPr="003F2BB4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 xml:space="preserve">TRASFONDO </w:t>
      </w:r>
    </w:p>
    <w:p w14:paraId="64A7025D" w14:textId="675875B8" w:rsidR="00B9689C" w:rsidRPr="00666142" w:rsidRDefault="00B9689C" w:rsidP="0010095E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Con la aprobación de la Ley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Núm.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 146-2012, se adoptó en nuestra jurisdicción un nuevo Código Penal, el cual reformuló el ordenamiento jurídico y modificó las penas aplicables a cada delito.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ste Código establece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que los delitos graves contemplados en las leyes penales especiales bajo el Código Penal de 2004 seguirán vigentes hasta que dichas leyes sean enmendadas y atemperadas al nuevo sistema de sentencias fijas establecido en el Código Penal de 2012.</w:t>
      </w:r>
    </w:p>
    <w:p w14:paraId="0BF05455" w14:textId="77777777" w:rsidR="00C277D0" w:rsidRDefault="00C277D0" w:rsidP="00C277D0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Armonizar las penas contempladas en las leyes penales especiales con las disposiciones del Código Penal de Puerto Rico de 2012, es una medida esencial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G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arantiza que el sistema de justicia se mantenga coherente y alineado con el sistema de sentencias fijas establecido en la legislación vigente. La revisión y actualización de las leyes penales especiales evitará decisiones inconsistentes en la aplicación e imposición de penas y asegurará que el sistema penal sea justo y equitativo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0D2853A3" w14:textId="5F430F1E" w:rsidR="000025A6" w:rsidRDefault="008E3353" w:rsidP="007D03BC">
      <w:pPr>
        <w:spacing w:after="120" w:line="288" w:lineRule="auto"/>
        <w:ind w:firstLine="720"/>
        <w:jc w:val="both"/>
        <w:rPr>
          <w:rFonts w:ascii="Book Antiqua" w:hAnsi="Book Antiqua"/>
          <w:lang w:val="es-ES_tradnl"/>
        </w:rPr>
      </w:pPr>
      <w:r w:rsidRPr="00B407CB">
        <w:rPr>
          <w:rFonts w:ascii="Book Antiqua" w:hAnsi="Book Antiqua"/>
          <w:lang w:val="es-ES_tradnl"/>
        </w:rPr>
        <w:t xml:space="preserve">Esta </w:t>
      </w:r>
      <w:r w:rsidR="00B4768F">
        <w:rPr>
          <w:rFonts w:ascii="Book Antiqua" w:hAnsi="Book Antiqua"/>
          <w:lang w:val="es-ES_tradnl"/>
        </w:rPr>
        <w:t xml:space="preserve">medida </w:t>
      </w:r>
      <w:r w:rsidRPr="00B407CB">
        <w:rPr>
          <w:rFonts w:ascii="Book Antiqua" w:hAnsi="Book Antiqua"/>
          <w:lang w:val="es-ES_tradnl"/>
        </w:rPr>
        <w:t xml:space="preserve">tiene el propósito de armonizar y uniformar los delitos consignados en el Código Penal de Puerto Rico con aquellos delitos tipificados en la Ley de Salud Mental de Puerto Rico. </w:t>
      </w:r>
      <w:r>
        <w:rPr>
          <w:rFonts w:ascii="Book Antiqua" w:hAnsi="Book Antiqua"/>
          <w:lang w:val="es-ES_tradnl"/>
        </w:rPr>
        <w:t>Hoy</w:t>
      </w:r>
      <w:r w:rsidRPr="00B407CB">
        <w:rPr>
          <w:rFonts w:ascii="Book Antiqua" w:hAnsi="Book Antiqua"/>
          <w:lang w:val="es-ES_tradnl"/>
        </w:rPr>
        <w:t xml:space="preserve"> en día subsisten discrepancias entre ambos cuerpos normativos que dificultan la coherencia jurídica, la adecuada aplicación de sanciones y la protección de los derechos de las personas con condiciones de salud mental.</w:t>
      </w:r>
      <w:r>
        <w:rPr>
          <w:rFonts w:ascii="Book Antiqua" w:hAnsi="Book Antiqua"/>
          <w:lang w:val="es-ES_tradnl"/>
        </w:rPr>
        <w:t xml:space="preserve"> </w:t>
      </w:r>
    </w:p>
    <w:p w14:paraId="683B3892" w14:textId="30D193AB" w:rsidR="00C50C3C" w:rsidRDefault="001E5CAC" w:rsidP="0036603F">
      <w:pPr>
        <w:spacing w:after="240" w:line="288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esencia, </w:t>
      </w:r>
      <w:r w:rsidR="00D87CD0" w:rsidRPr="00D87CD0">
        <w:rPr>
          <w:rFonts w:ascii="Book Antiqua" w:hAnsi="Book Antiqua"/>
          <w:lang w:val="es-ES_tradnl"/>
        </w:rPr>
        <w:t>los artículos 2.03 y 15.03 de la Ley Núm. 408-2000</w:t>
      </w:r>
      <w:r w:rsidR="00D87CD0">
        <w:rPr>
          <w:rFonts w:ascii="Book Antiqua" w:hAnsi="Book Antiqua"/>
          <w:lang w:val="es-ES_tradnl"/>
        </w:rPr>
        <w:t xml:space="preserve"> </w:t>
      </w:r>
      <w:r w:rsidR="007D03BC">
        <w:rPr>
          <w:rFonts w:ascii="Book Antiqua" w:hAnsi="Book Antiqua"/>
          <w:lang w:val="es-ES_tradnl"/>
        </w:rPr>
        <w:t xml:space="preserve">mencionan el artículo 168 del Código Penal de 2004 sobre restricción de libertad agravada. </w:t>
      </w:r>
      <w:r w:rsidR="002F3DBD">
        <w:rPr>
          <w:rFonts w:ascii="Book Antiqua" w:hAnsi="Book Antiqua"/>
          <w:lang w:val="es-ES_tradnl"/>
        </w:rPr>
        <w:t xml:space="preserve">Este delito conllevaba una pena de delito grave de cuarto grado. </w:t>
      </w:r>
      <w:r w:rsidR="0039140F">
        <w:rPr>
          <w:rFonts w:ascii="Book Antiqua" w:hAnsi="Book Antiqua"/>
          <w:lang w:val="es-ES_tradnl"/>
        </w:rPr>
        <w:t>La medida propone actualizar la referencia al artículo 168 del Código Penal de 2004</w:t>
      </w:r>
      <w:r w:rsidR="002F2FC3">
        <w:rPr>
          <w:rFonts w:ascii="Book Antiqua" w:hAnsi="Book Antiqua"/>
          <w:lang w:val="es-ES_tradnl"/>
        </w:rPr>
        <w:t xml:space="preserve"> por el artículo 156 del Código Penal de 2012. </w:t>
      </w:r>
      <w:r w:rsidR="00073581">
        <w:rPr>
          <w:rFonts w:ascii="Book Antiqua" w:hAnsi="Book Antiqua"/>
          <w:lang w:val="es-ES_tradnl"/>
        </w:rPr>
        <w:t xml:space="preserve">Este conlleva una </w:t>
      </w:r>
      <w:r w:rsidR="00642828" w:rsidRPr="00642828">
        <w:rPr>
          <w:rFonts w:ascii="Book Antiqua" w:hAnsi="Book Antiqua"/>
          <w:lang w:val="es-ES_tradnl"/>
        </w:rPr>
        <w:t>pena de reclusión por un término fijo de tres años</w:t>
      </w:r>
      <w:r w:rsidR="00643D2D">
        <w:rPr>
          <w:rFonts w:ascii="Book Antiqua" w:hAnsi="Book Antiqua"/>
          <w:lang w:val="es-ES_tradnl"/>
        </w:rPr>
        <w:t xml:space="preserve">, </w:t>
      </w:r>
      <w:r w:rsidR="000366F7">
        <w:rPr>
          <w:rFonts w:ascii="Book Antiqua" w:hAnsi="Book Antiqua"/>
          <w:lang w:val="es-ES_tradnl"/>
        </w:rPr>
        <w:t>ade</w:t>
      </w:r>
      <w:r w:rsidR="00643D2D">
        <w:rPr>
          <w:rFonts w:ascii="Book Antiqua" w:hAnsi="Book Antiqua"/>
          <w:lang w:val="es-ES_tradnl"/>
        </w:rPr>
        <w:t>m</w:t>
      </w:r>
      <w:r w:rsidR="00954A7D">
        <w:rPr>
          <w:rFonts w:ascii="Book Antiqua" w:hAnsi="Book Antiqua"/>
          <w:lang w:val="es-ES_tradnl"/>
        </w:rPr>
        <w:t>á</w:t>
      </w:r>
      <w:r w:rsidR="00643D2D">
        <w:rPr>
          <w:rFonts w:ascii="Book Antiqua" w:hAnsi="Book Antiqua"/>
          <w:lang w:val="es-ES_tradnl"/>
        </w:rPr>
        <w:t>s</w:t>
      </w:r>
      <w:r w:rsidR="00954A7D">
        <w:rPr>
          <w:rFonts w:ascii="Book Antiqua" w:hAnsi="Book Antiqua"/>
          <w:lang w:val="es-ES_tradnl"/>
        </w:rPr>
        <w:t xml:space="preserve"> de</w:t>
      </w:r>
      <w:r w:rsidR="00643D2D">
        <w:rPr>
          <w:rFonts w:ascii="Book Antiqua" w:hAnsi="Book Antiqua"/>
          <w:lang w:val="es-ES_tradnl"/>
        </w:rPr>
        <w:t xml:space="preserve"> </w:t>
      </w:r>
      <w:r w:rsidR="003639D5">
        <w:rPr>
          <w:rFonts w:ascii="Book Antiqua" w:hAnsi="Book Antiqua"/>
          <w:lang w:val="es-ES_tradnl"/>
        </w:rPr>
        <w:t>un inciso (f) no contemplado en el derogado artículo 168</w:t>
      </w:r>
      <w:r w:rsidR="00206327">
        <w:rPr>
          <w:rFonts w:ascii="Book Antiqua" w:hAnsi="Book Antiqua"/>
          <w:lang w:val="es-ES_tradnl"/>
        </w:rPr>
        <w:t xml:space="preserve"> del Código Penal de 2004.</w:t>
      </w:r>
      <w:r w:rsidR="00206327">
        <w:rPr>
          <w:rStyle w:val="FootnoteReference"/>
          <w:rFonts w:ascii="Book Antiqua" w:hAnsi="Book Antiqua"/>
          <w:lang w:val="es-ES_tradnl"/>
        </w:rPr>
        <w:footnoteReference w:id="4"/>
      </w:r>
    </w:p>
    <w:p w14:paraId="55F9B398" w14:textId="77777777" w:rsidR="0091256F" w:rsidRDefault="0091256F" w:rsidP="0036603F">
      <w:pPr>
        <w:spacing w:after="240" w:line="288" w:lineRule="auto"/>
        <w:ind w:firstLine="720"/>
        <w:jc w:val="both"/>
        <w:rPr>
          <w:rFonts w:ascii="Book Antiqua" w:hAnsi="Book Antiqua"/>
          <w:lang w:val="es-ES_tradnl"/>
        </w:rPr>
      </w:pPr>
    </w:p>
    <w:p w14:paraId="294BCB6A" w14:textId="77777777" w:rsidR="0091256F" w:rsidRDefault="0091256F" w:rsidP="0036603F">
      <w:pPr>
        <w:spacing w:after="240" w:line="288" w:lineRule="auto"/>
        <w:ind w:firstLine="720"/>
        <w:jc w:val="both"/>
        <w:rPr>
          <w:rFonts w:ascii="Book Antiqua" w:hAnsi="Book Antiqua"/>
          <w:lang w:val="es-ES_tradnl"/>
        </w:rPr>
      </w:pPr>
    </w:p>
    <w:p w14:paraId="0C897164" w14:textId="77777777" w:rsidR="0091256F" w:rsidRDefault="0091256F" w:rsidP="0036603F">
      <w:pPr>
        <w:spacing w:after="240" w:line="288" w:lineRule="auto"/>
        <w:ind w:firstLine="720"/>
        <w:jc w:val="both"/>
        <w:rPr>
          <w:rFonts w:ascii="Book Antiqua" w:hAnsi="Book Antiqua"/>
          <w:lang w:val="es-ES_tradnl"/>
        </w:rPr>
      </w:pPr>
    </w:p>
    <w:p w14:paraId="7365554B" w14:textId="77777777" w:rsidR="0091256F" w:rsidRDefault="0091256F" w:rsidP="0091256F">
      <w:pPr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</w:p>
    <w:p w14:paraId="20CDD90D" w14:textId="77777777" w:rsidR="007D354B" w:rsidRDefault="007D354B" w:rsidP="0091256F">
      <w:pPr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</w:p>
    <w:p w14:paraId="1C9D566C" w14:textId="0A1F7201" w:rsidR="000A6E42" w:rsidRPr="006714D6" w:rsidRDefault="003B38A4" w:rsidP="002F5F0E">
      <w:pPr>
        <w:spacing w:after="16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714D6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ANÁLISIS DE LA MEDIDA</w:t>
      </w:r>
    </w:p>
    <w:p w14:paraId="1CE68328" w14:textId="46FB0EAA" w:rsidR="002F0ED7" w:rsidRPr="00073CFC" w:rsidRDefault="00D36B01" w:rsidP="007D354B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La</w:t>
      </w:r>
      <w:r w:rsidR="002F0ED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93892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A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dministración de </w:t>
      </w:r>
      <w:r w:rsidR="00793892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S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ervicios de </w:t>
      </w:r>
      <w:r w:rsidR="00793892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S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alud </w:t>
      </w:r>
      <w:r w:rsidR="00793892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M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ental y </w:t>
      </w:r>
      <w:r w:rsidR="00793892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C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ontra la </w:t>
      </w:r>
      <w:r w:rsidR="00793892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A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dicción </w:t>
      </w:r>
      <w:r w:rsidR="002F0ED7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CD00CD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dministración</w:t>
      </w:r>
      <w:r w:rsidR="002F0ED7">
        <w:rPr>
          <w:rFonts w:ascii="Book Antiqua" w:eastAsia="Book Antiqua" w:hAnsi="Book Antiqua" w:cs="Book Antiqua"/>
          <w:color w:val="000000" w:themeColor="text1"/>
          <w:lang w:val="es-PR"/>
        </w:rPr>
        <w:t xml:space="preserve">) </w:t>
      </w:r>
      <w:r w:rsidR="00BF33D0">
        <w:rPr>
          <w:rFonts w:ascii="Book Antiqua" w:eastAsia="Book Antiqua" w:hAnsi="Book Antiqua" w:cs="Book Antiqua"/>
          <w:color w:val="000000" w:themeColor="text1"/>
          <w:lang w:val="es-PR"/>
        </w:rPr>
        <w:t>recomendó</w:t>
      </w:r>
      <w:r w:rsidR="008014A1">
        <w:rPr>
          <w:rFonts w:ascii="Book Antiqua" w:eastAsia="Book Antiqua" w:hAnsi="Book Antiqua" w:cs="Book Antiqua"/>
          <w:color w:val="000000" w:themeColor="text1"/>
          <w:lang w:val="es-PR"/>
        </w:rPr>
        <w:t xml:space="preserve"> enmendar el título del artículo 2.03 de la Ley Núm. 408-2000 para que lea </w:t>
      </w:r>
      <w:r w:rsidR="000948E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</w:t>
      </w:r>
      <w:r w:rsidR="008014A1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rohibición de hospitalización, tratamiento compulsorio, ingreso a hogares </w:t>
      </w:r>
      <w:r w:rsidR="00073CFC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transicionales o cualquier modalidad de tratamiento sin criterios clínicos. </w:t>
      </w:r>
      <w:r w:rsidR="00073CFC">
        <w:rPr>
          <w:rFonts w:ascii="Book Antiqua" w:eastAsia="Book Antiqua" w:hAnsi="Book Antiqua" w:cs="Book Antiqua"/>
          <w:color w:val="000000" w:themeColor="text1"/>
          <w:lang w:val="es-PR"/>
        </w:rPr>
        <w:t>Esto, en lugar del título actual</w:t>
      </w:r>
      <w:r w:rsidR="000B226E">
        <w:rPr>
          <w:rFonts w:ascii="Book Antiqua" w:eastAsia="Book Antiqua" w:hAnsi="Book Antiqua" w:cs="Book Antiqua"/>
          <w:color w:val="000000" w:themeColor="text1"/>
          <w:lang w:val="es-PR"/>
        </w:rPr>
        <w:t xml:space="preserve">: </w:t>
      </w:r>
      <w:r w:rsidR="000948E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</w:t>
      </w:r>
      <w:r w:rsidR="000948E3" w:rsidRPr="000948E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rohibición de </w:t>
      </w:r>
      <w:r w:rsidR="000948E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h</w:t>
      </w:r>
      <w:r w:rsidR="000948E3" w:rsidRPr="000948E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ospitalización o </w:t>
      </w:r>
      <w:r w:rsidR="000948E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t</w:t>
      </w:r>
      <w:r w:rsidR="000948E3" w:rsidRPr="000948E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ratamiento sin </w:t>
      </w:r>
      <w:r w:rsidR="00443EEC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c</w:t>
      </w:r>
      <w:r w:rsidR="000948E3" w:rsidRPr="000948E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riterios </w:t>
      </w:r>
      <w:r w:rsidR="00443EEC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c</w:t>
      </w:r>
      <w:r w:rsidR="000948E3" w:rsidRPr="000948E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línicos</w:t>
      </w:r>
      <w:r w:rsidR="000948E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443EEC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la </w:t>
      </w:r>
      <w:r w:rsidR="00CD00CD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443EEC">
        <w:rPr>
          <w:rFonts w:ascii="Book Antiqua" w:eastAsia="Book Antiqua" w:hAnsi="Book Antiqua" w:cs="Book Antiqua"/>
          <w:color w:val="000000" w:themeColor="text1"/>
          <w:lang w:val="es-PR"/>
        </w:rPr>
        <w:t xml:space="preserve">dministración, </w:t>
      </w:r>
      <w:r w:rsidR="002A4AAF">
        <w:rPr>
          <w:rFonts w:ascii="Book Antiqua" w:eastAsia="Book Antiqua" w:hAnsi="Book Antiqua" w:cs="Book Antiqua"/>
          <w:color w:val="000000" w:themeColor="text1"/>
          <w:lang w:val="es-PR"/>
        </w:rPr>
        <w:t xml:space="preserve">cualquier modalidad </w:t>
      </w:r>
      <w:r w:rsidR="000925E7">
        <w:rPr>
          <w:rFonts w:ascii="Book Antiqua" w:eastAsia="Book Antiqua" w:hAnsi="Book Antiqua" w:cs="Book Antiqua"/>
          <w:color w:val="000000" w:themeColor="text1"/>
          <w:lang w:val="es-PR"/>
        </w:rPr>
        <w:t>de tratamiento en el ámbito de salud mental requiere la recomendación de un psiquiatra en consulta con un equipo clínico</w:t>
      </w:r>
      <w:r w:rsidR="00823B7D">
        <w:rPr>
          <w:rFonts w:ascii="Book Antiqua" w:eastAsia="Book Antiqua" w:hAnsi="Book Antiqua" w:cs="Book Antiqua"/>
          <w:color w:val="000000" w:themeColor="text1"/>
          <w:lang w:val="es-PR"/>
        </w:rPr>
        <w:t xml:space="preserve">. También requiere constatar que la persona cumple con los criterios clínicos establecidos. </w:t>
      </w:r>
    </w:p>
    <w:p w14:paraId="0CE03DDD" w14:textId="52F74E0E" w:rsidR="00CE1C74" w:rsidRDefault="00230AA0" w:rsidP="0036603F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CD00CD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dministración señaló que la enmienda al artículo 15.03 de la Ley Núm. 408-2000</w:t>
      </w:r>
      <w:r w:rsidR="00BD75FB">
        <w:rPr>
          <w:rFonts w:ascii="Book Antiqua" w:eastAsia="Book Antiqua" w:hAnsi="Book Antiqua" w:cs="Book Antiqua"/>
          <w:color w:val="000000" w:themeColor="text1"/>
          <w:lang w:val="es-PR"/>
        </w:rPr>
        <w:t xml:space="preserve"> es cónsona con la normativa federal aplicable, espec</w:t>
      </w:r>
      <w:r w:rsidR="00EA01DA">
        <w:rPr>
          <w:rFonts w:ascii="Book Antiqua" w:eastAsia="Book Antiqua" w:hAnsi="Book Antiqua" w:cs="Book Antiqua"/>
          <w:color w:val="000000" w:themeColor="text1"/>
          <w:lang w:val="es-PR"/>
        </w:rPr>
        <w:t xml:space="preserve">íficamente las del </w:t>
      </w:r>
      <w:proofErr w:type="spellStart"/>
      <w:r w:rsidR="00EA01DA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Substance</w:t>
      </w:r>
      <w:proofErr w:type="spellEnd"/>
      <w:r w:rsidR="00EA01DA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abuse and Mental Health </w:t>
      </w:r>
      <w:proofErr w:type="spellStart"/>
      <w:r w:rsidR="00EA01DA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Services</w:t>
      </w:r>
      <w:proofErr w:type="spellEnd"/>
      <w:r w:rsidR="00EA01DA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proofErr w:type="spellStart"/>
      <w:r w:rsidR="00EA01DA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A</w:t>
      </w:r>
      <w:r w:rsidR="002E1657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dministration</w:t>
      </w:r>
      <w:proofErr w:type="spellEnd"/>
      <w:r w:rsidR="002E1657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, </w:t>
      </w:r>
      <w:r w:rsidR="002E1657">
        <w:rPr>
          <w:rFonts w:ascii="Book Antiqua" w:eastAsia="Book Antiqua" w:hAnsi="Book Antiqua" w:cs="Book Antiqua"/>
          <w:color w:val="000000" w:themeColor="text1"/>
          <w:lang w:val="es-PR"/>
        </w:rPr>
        <w:t xml:space="preserve">y el </w:t>
      </w:r>
      <w:r w:rsidR="002E1657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Mental Health Block </w:t>
      </w:r>
      <w:r w:rsidR="0089532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Grant. </w:t>
      </w:r>
      <w:r w:rsidR="00895323">
        <w:rPr>
          <w:rFonts w:ascii="Book Antiqua" w:eastAsia="Book Antiqua" w:hAnsi="Book Antiqua" w:cs="Book Antiqua"/>
          <w:color w:val="000000" w:themeColor="text1"/>
          <w:lang w:val="es-PR"/>
        </w:rPr>
        <w:t xml:space="preserve">Tales normativas prohíben la institucionalización, </w:t>
      </w:r>
      <w:r w:rsidR="008B547A">
        <w:rPr>
          <w:rFonts w:ascii="Book Antiqua" w:eastAsia="Book Antiqua" w:hAnsi="Book Antiqua" w:cs="Book Antiqua"/>
          <w:color w:val="000000" w:themeColor="text1"/>
          <w:lang w:val="es-PR"/>
        </w:rPr>
        <w:t>y promueven la prestación de servicios residenciales de transición como parte de un continuo tratamiento en entornos menos restrictivos.</w:t>
      </w:r>
    </w:p>
    <w:p w14:paraId="10941D1B" w14:textId="20C9ACE1" w:rsidR="00B17056" w:rsidRPr="00895323" w:rsidRDefault="00B17056" w:rsidP="003E4212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Según</w:t>
      </w:r>
      <w:r w:rsidR="00CF3D47">
        <w:rPr>
          <w:rFonts w:ascii="Book Antiqua" w:eastAsia="Book Antiqua" w:hAnsi="Book Antiqua" w:cs="Book Antiqua"/>
          <w:color w:val="000000" w:themeColor="text1"/>
          <w:lang w:val="es-PR"/>
        </w:rPr>
        <w:t xml:space="preserve"> el artículo 1.06 de la Ley Núm. 408-2000, </w:t>
      </w:r>
      <w:r w:rsidR="00EB23D7">
        <w:rPr>
          <w:rFonts w:ascii="Book Antiqua" w:eastAsia="Book Antiqua" w:hAnsi="Book Antiqua" w:cs="Book Antiqua"/>
          <w:color w:val="000000" w:themeColor="text1"/>
          <w:lang w:val="es-PR"/>
        </w:rPr>
        <w:t>la institucionalización suele ocurrir en hospitales psiquiátricos</w:t>
      </w:r>
      <w:r w:rsidR="00055089">
        <w:rPr>
          <w:rFonts w:ascii="Book Antiqua" w:eastAsia="Book Antiqua" w:hAnsi="Book Antiqua" w:cs="Book Antiqua"/>
          <w:color w:val="000000" w:themeColor="text1"/>
          <w:lang w:val="es-PR"/>
        </w:rPr>
        <w:t xml:space="preserve">. No obstante, puede manifestarse en cualquier ambiente o nivel de cuidado terapéutico que fomente la dependencia y no estimule la </w:t>
      </w:r>
      <w:r w:rsidR="007B7E1C">
        <w:rPr>
          <w:rFonts w:ascii="Book Antiqua" w:eastAsia="Book Antiqua" w:hAnsi="Book Antiqua" w:cs="Book Antiqua"/>
          <w:color w:val="000000" w:themeColor="text1"/>
          <w:lang w:val="es-PR"/>
        </w:rPr>
        <w:t xml:space="preserve">autonomía del paciente. La jurisprudencia reconoce el derecho de las personas </w:t>
      </w:r>
      <w:r w:rsidR="006869D3">
        <w:rPr>
          <w:rFonts w:ascii="Book Antiqua" w:eastAsia="Book Antiqua" w:hAnsi="Book Antiqua" w:cs="Book Antiqua"/>
          <w:color w:val="000000" w:themeColor="text1"/>
          <w:lang w:val="es-PR"/>
        </w:rPr>
        <w:t>a recibir tratamiento en entornos menos restrictivos y preferiblemente en la libre comunidad.</w:t>
      </w:r>
      <w:r w:rsidR="006869D3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5"/>
      </w:r>
      <w:r w:rsidR="007B7E1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471AF81C" w14:textId="77777777" w:rsidR="007D354B" w:rsidRDefault="00CD00CD" w:rsidP="00F75B49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La administración considera adecuada y necesarias las enmiendas propuestas</w:t>
      </w:r>
      <w:r w:rsidR="0039370D">
        <w:rPr>
          <w:rFonts w:ascii="Book Antiqua" w:eastAsia="Book Antiqua" w:hAnsi="Book Antiqua" w:cs="Book Antiqua"/>
          <w:color w:val="000000" w:themeColor="text1"/>
          <w:lang w:val="es-PR"/>
        </w:rPr>
        <w:t xml:space="preserve">, lo cual contribuirá a facilitar la labor interpretativa y aplicativa </w:t>
      </w:r>
      <w:r w:rsidR="003F70F7">
        <w:rPr>
          <w:rFonts w:ascii="Book Antiqua" w:eastAsia="Book Antiqua" w:hAnsi="Book Antiqua" w:cs="Book Antiqua"/>
          <w:color w:val="000000" w:themeColor="text1"/>
          <w:lang w:val="es-PR"/>
        </w:rPr>
        <w:t xml:space="preserve">de los tribunales sobre el Código Penal de Puerto Rico y su armonización con los delitos tipificados en la Ley Núm. 408-2000. </w:t>
      </w:r>
      <w:r w:rsidR="00CF1837">
        <w:rPr>
          <w:rFonts w:ascii="Book Antiqua" w:eastAsia="Book Antiqua" w:hAnsi="Book Antiqua" w:cs="Book Antiqua"/>
          <w:color w:val="000000" w:themeColor="text1"/>
          <w:lang w:val="es-PR"/>
        </w:rPr>
        <w:t xml:space="preserve">Esta medida cobra mayor relevancia ante el incremento </w:t>
      </w:r>
      <w:r w:rsidR="00211DEA">
        <w:rPr>
          <w:rFonts w:ascii="Book Antiqua" w:eastAsia="Book Antiqua" w:hAnsi="Book Antiqua" w:cs="Book Antiqua"/>
          <w:color w:val="000000" w:themeColor="text1"/>
          <w:lang w:val="es-PR"/>
        </w:rPr>
        <w:t xml:space="preserve">observado en las solicitudes de ingresos involuntarios. En muchos casos, </w:t>
      </w:r>
      <w:r w:rsidR="004E58E3">
        <w:rPr>
          <w:rFonts w:ascii="Book Antiqua" w:eastAsia="Book Antiqua" w:hAnsi="Book Antiqua" w:cs="Book Antiqua"/>
          <w:color w:val="000000" w:themeColor="text1"/>
          <w:lang w:val="es-PR"/>
        </w:rPr>
        <w:t xml:space="preserve">estos no responden al mejor interés de la persona </w:t>
      </w:r>
      <w:r w:rsidR="00342B5F">
        <w:rPr>
          <w:rFonts w:ascii="Book Antiqua" w:eastAsia="Book Antiqua" w:hAnsi="Book Antiqua" w:cs="Book Antiqua"/>
          <w:color w:val="000000" w:themeColor="text1"/>
          <w:lang w:val="es-PR"/>
        </w:rPr>
        <w:t>ni se fundamentan en un diagnóstico clínico</w:t>
      </w:r>
      <w:r w:rsidR="00FF5064">
        <w:rPr>
          <w:rFonts w:ascii="Book Antiqua" w:eastAsia="Book Antiqua" w:hAnsi="Book Antiqua" w:cs="Book Antiqua"/>
          <w:color w:val="000000" w:themeColor="text1"/>
          <w:lang w:val="es-PR"/>
        </w:rPr>
        <w:t>, la severidad de los síntomas o signos, ni en las recomendaciones médicas especializadas.</w:t>
      </w:r>
    </w:p>
    <w:p w14:paraId="2866A8AB" w14:textId="7A0C154A" w:rsidR="00193026" w:rsidRDefault="00F75B49" w:rsidP="004612EA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Oficina de Servicios Legislativos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(OSL) </w:t>
      </w:r>
      <w:r w:rsidR="007509A0">
        <w:rPr>
          <w:rFonts w:ascii="Book Antiqua" w:eastAsia="Book Antiqua" w:hAnsi="Book Antiqua" w:cs="Book Antiqua"/>
          <w:color w:val="000000" w:themeColor="text1"/>
          <w:lang w:val="es-PR"/>
        </w:rPr>
        <w:t xml:space="preserve">identificó que el único cambio sustancial de la medida es sustituir </w:t>
      </w:r>
      <w:r w:rsidR="007D7541">
        <w:rPr>
          <w:rFonts w:ascii="Book Antiqua" w:eastAsia="Book Antiqua" w:hAnsi="Book Antiqua" w:cs="Book Antiqua"/>
          <w:color w:val="000000" w:themeColor="text1"/>
          <w:lang w:val="es-PR"/>
        </w:rPr>
        <w:t xml:space="preserve">la referencia al </w:t>
      </w:r>
      <w:r w:rsidR="002445D4">
        <w:rPr>
          <w:rFonts w:ascii="Book Antiqua" w:eastAsia="Book Antiqua" w:hAnsi="Book Antiqua" w:cs="Book Antiqua"/>
          <w:color w:val="000000" w:themeColor="text1"/>
          <w:lang w:val="es-PR"/>
        </w:rPr>
        <w:t xml:space="preserve">artículo 168 del </w:t>
      </w:r>
      <w:r w:rsidR="007D7541">
        <w:rPr>
          <w:rFonts w:ascii="Book Antiqua" w:eastAsia="Book Antiqua" w:hAnsi="Book Antiqua" w:cs="Book Antiqua"/>
          <w:color w:val="000000" w:themeColor="text1"/>
          <w:lang w:val="es-PR"/>
        </w:rPr>
        <w:t>derogado</w:t>
      </w:r>
      <w:r w:rsidR="002445D4">
        <w:rPr>
          <w:rFonts w:ascii="Book Antiqua" w:eastAsia="Book Antiqua" w:hAnsi="Book Antiqua" w:cs="Book Antiqua"/>
          <w:color w:val="000000" w:themeColor="text1"/>
          <w:lang w:val="es-PR"/>
        </w:rPr>
        <w:t xml:space="preserve"> Código Penal de 2004 por el artículo 156 del Código Penal de Puerto Rico. </w:t>
      </w:r>
      <w:r w:rsidR="002A6006">
        <w:rPr>
          <w:rFonts w:ascii="Book Antiqua" w:eastAsia="Book Antiqua" w:hAnsi="Book Antiqua" w:cs="Book Antiqua"/>
          <w:color w:val="000000" w:themeColor="text1"/>
          <w:lang w:val="es-PR"/>
        </w:rPr>
        <w:t>Explicó</w:t>
      </w:r>
      <w:r w:rsidR="00351891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este último artículo</w:t>
      </w:r>
      <w:r w:rsidR="00F94721">
        <w:rPr>
          <w:rFonts w:ascii="Book Antiqua" w:eastAsia="Book Antiqua" w:hAnsi="Book Antiqua" w:cs="Book Antiqua"/>
          <w:color w:val="000000" w:themeColor="text1"/>
          <w:lang w:val="es-PR"/>
        </w:rPr>
        <w:t xml:space="preserve"> —restricción de libertad agravada—</w:t>
      </w:r>
      <w:r w:rsidR="0035189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4510D">
        <w:rPr>
          <w:rFonts w:ascii="Book Antiqua" w:eastAsia="Book Antiqua" w:hAnsi="Book Antiqua" w:cs="Book Antiqua"/>
          <w:color w:val="000000" w:themeColor="text1"/>
          <w:lang w:val="es-PR"/>
        </w:rPr>
        <w:t>lleva una pena de</w:t>
      </w:r>
      <w:r w:rsidR="00351891">
        <w:rPr>
          <w:rFonts w:ascii="Book Antiqua" w:eastAsia="Book Antiqua" w:hAnsi="Book Antiqua" w:cs="Book Antiqua"/>
          <w:color w:val="000000" w:themeColor="text1"/>
          <w:lang w:val="es-PR"/>
        </w:rPr>
        <w:t xml:space="preserve"> delito grave</w:t>
      </w:r>
      <w:r w:rsidR="00193026">
        <w:rPr>
          <w:rFonts w:ascii="Book Antiqua" w:eastAsia="Book Antiqua" w:hAnsi="Book Antiqua" w:cs="Book Antiqua"/>
          <w:color w:val="000000" w:themeColor="text1"/>
          <w:lang w:val="es-PR"/>
        </w:rPr>
        <w:t>:</w:t>
      </w:r>
    </w:p>
    <w:p w14:paraId="4C9941E1" w14:textId="77777777" w:rsidR="00193026" w:rsidRDefault="00193026" w:rsidP="004612EA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5A52F5D" w14:textId="77777777" w:rsidR="00253E0E" w:rsidRDefault="00253E0E" w:rsidP="00253E0E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CFD9CC4" w14:textId="4BCAFEFE" w:rsidR="00E94443" w:rsidRPr="00E94443" w:rsidRDefault="00E94443" w:rsidP="00253E0E">
      <w:pPr>
        <w:spacing w:after="120" w:line="288" w:lineRule="auto"/>
        <w:ind w:left="720" w:right="720"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94443">
        <w:rPr>
          <w:rFonts w:ascii="Book Antiqua" w:eastAsia="Book Antiqua" w:hAnsi="Book Antiqua" w:cs="Book Antiqua"/>
          <w:color w:val="000000" w:themeColor="text1"/>
          <w:lang w:val="es-PR"/>
        </w:rPr>
        <w:t xml:space="preserve">Se impondrá pena de reclusión por un término fijo de tres (3) años, si el delito de restricción de libertad se comete con la concurrencia de cualquiera de las siguientes circunstancias: </w:t>
      </w:r>
    </w:p>
    <w:p w14:paraId="3873E3D8" w14:textId="77777777" w:rsidR="00E94443" w:rsidRPr="00E94443" w:rsidRDefault="00E94443" w:rsidP="00253E0E">
      <w:pPr>
        <w:spacing w:line="288" w:lineRule="auto"/>
        <w:ind w:left="720" w:right="720"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94443">
        <w:rPr>
          <w:rFonts w:ascii="Book Antiqua" w:eastAsia="Book Antiqua" w:hAnsi="Book Antiqua" w:cs="Book Antiqua"/>
          <w:color w:val="000000" w:themeColor="text1"/>
          <w:lang w:val="es-PR"/>
        </w:rPr>
        <w:t xml:space="preserve">(a) Mediante violencia, intimidación, fraude o engaño. </w:t>
      </w:r>
    </w:p>
    <w:p w14:paraId="50F8AABD" w14:textId="77777777" w:rsidR="00E94443" w:rsidRPr="00E94443" w:rsidRDefault="00E94443" w:rsidP="00253E0E">
      <w:pPr>
        <w:spacing w:line="288" w:lineRule="auto"/>
        <w:ind w:left="720" w:right="720"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94443">
        <w:rPr>
          <w:rFonts w:ascii="Book Antiqua" w:eastAsia="Book Antiqua" w:hAnsi="Book Antiqua" w:cs="Book Antiqua"/>
          <w:color w:val="000000" w:themeColor="text1"/>
          <w:lang w:val="es-PR"/>
        </w:rPr>
        <w:t xml:space="preserve">(b) Simulando ser </w:t>
      </w:r>
      <w:proofErr w:type="gramStart"/>
      <w:r w:rsidRPr="00E94443">
        <w:rPr>
          <w:rFonts w:ascii="Book Antiqua" w:eastAsia="Book Antiqua" w:hAnsi="Book Antiqua" w:cs="Book Antiqua"/>
          <w:color w:val="000000" w:themeColor="text1"/>
          <w:lang w:val="es-PR"/>
        </w:rPr>
        <w:t>autoridad pública</w:t>
      </w:r>
      <w:proofErr w:type="gramEnd"/>
      <w:r w:rsidRPr="00E94443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</w:p>
    <w:p w14:paraId="12AD4993" w14:textId="103B7B9F" w:rsidR="00E94443" w:rsidRPr="00E94443" w:rsidRDefault="00E94443" w:rsidP="00253E0E">
      <w:pPr>
        <w:spacing w:line="288" w:lineRule="auto"/>
        <w:ind w:left="720" w:right="720"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94443">
        <w:rPr>
          <w:rFonts w:ascii="Book Antiqua" w:eastAsia="Book Antiqua" w:hAnsi="Book Antiqua" w:cs="Book Antiqua"/>
          <w:color w:val="000000" w:themeColor="text1"/>
          <w:lang w:val="es-PR"/>
        </w:rPr>
        <w:t xml:space="preserve">(c) Por funcionario o empleado público con abuso de los poderes inherentes a su autoridad o funciones. </w:t>
      </w:r>
    </w:p>
    <w:p w14:paraId="1CEC43C7" w14:textId="77777777" w:rsidR="00E94443" w:rsidRPr="00E94443" w:rsidRDefault="00E94443" w:rsidP="00253E0E">
      <w:pPr>
        <w:spacing w:line="288" w:lineRule="auto"/>
        <w:ind w:left="720" w:right="720"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94443">
        <w:rPr>
          <w:rFonts w:ascii="Book Antiqua" w:eastAsia="Book Antiqua" w:hAnsi="Book Antiqua" w:cs="Book Antiqua"/>
          <w:color w:val="000000" w:themeColor="text1"/>
          <w:lang w:val="es-PR"/>
        </w:rPr>
        <w:t xml:space="preserve">(d) Con el pretexto de que el restringido padece de enfermedad o defecto mental. </w:t>
      </w:r>
    </w:p>
    <w:p w14:paraId="6AA853D9" w14:textId="5B826026" w:rsidR="00E94443" w:rsidRPr="00E94443" w:rsidRDefault="00E94443" w:rsidP="00253E0E">
      <w:pPr>
        <w:spacing w:line="288" w:lineRule="auto"/>
        <w:ind w:left="720" w:right="720"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94443">
        <w:rPr>
          <w:rFonts w:ascii="Book Antiqua" w:eastAsia="Book Antiqua" w:hAnsi="Book Antiqua" w:cs="Book Antiqua"/>
          <w:color w:val="000000" w:themeColor="text1"/>
          <w:lang w:val="es-PR"/>
        </w:rPr>
        <w:t xml:space="preserve">(e) En persona que no ha cumplido dieciocho (18) </w:t>
      </w:r>
      <w:proofErr w:type="gramStart"/>
      <w:r w:rsidRPr="00E94443">
        <w:rPr>
          <w:rFonts w:ascii="Book Antiqua" w:eastAsia="Book Antiqua" w:hAnsi="Book Antiqua" w:cs="Book Antiqua"/>
          <w:color w:val="000000" w:themeColor="text1"/>
          <w:lang w:val="es-PR"/>
        </w:rPr>
        <w:t>años de edad</w:t>
      </w:r>
      <w:proofErr w:type="gramEnd"/>
      <w:r w:rsidRPr="00E94443">
        <w:rPr>
          <w:rFonts w:ascii="Book Antiqua" w:eastAsia="Book Antiqua" w:hAnsi="Book Antiqua" w:cs="Book Antiqua"/>
          <w:color w:val="000000" w:themeColor="text1"/>
          <w:lang w:val="es-PR"/>
        </w:rPr>
        <w:t xml:space="preserve">, discapacitado o persona que no pueda valerse por sí mismo o enfermo mental. </w:t>
      </w:r>
    </w:p>
    <w:p w14:paraId="443C2170" w14:textId="2800B5DA" w:rsidR="00193026" w:rsidRDefault="00E94443" w:rsidP="00C45AB9">
      <w:pPr>
        <w:spacing w:after="120" w:line="288" w:lineRule="auto"/>
        <w:ind w:left="720" w:right="720"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94443">
        <w:rPr>
          <w:rFonts w:ascii="Book Antiqua" w:eastAsia="Book Antiqua" w:hAnsi="Book Antiqua" w:cs="Book Antiqua"/>
          <w:color w:val="000000" w:themeColor="text1"/>
          <w:lang w:val="es-PR"/>
        </w:rPr>
        <w:t>(f) En la persona de quien el autor o la autora es o ha sido cónyuge o conviviente, o ha tenido o tiene relaciones de intimidad o noviazgo, o con la que tiene un hijo en común.</w:t>
      </w:r>
    </w:p>
    <w:p w14:paraId="757B2D89" w14:textId="44D8B658" w:rsidR="006C72D6" w:rsidRDefault="00C45AB9" w:rsidP="00A338F7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Esto es </w:t>
      </w:r>
      <w:r w:rsidR="00000F1A">
        <w:rPr>
          <w:rFonts w:ascii="Book Antiqua" w:eastAsia="Book Antiqua" w:hAnsi="Book Antiqua" w:cs="Book Antiqua"/>
          <w:color w:val="000000" w:themeColor="text1"/>
          <w:lang w:val="es-PR"/>
        </w:rPr>
        <w:t>distinto a</w:t>
      </w:r>
      <w:r w:rsidR="00351891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artículo</w:t>
      </w:r>
      <w:r w:rsidR="0035189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4510D">
        <w:rPr>
          <w:rFonts w:ascii="Book Antiqua" w:eastAsia="Book Antiqua" w:hAnsi="Book Antiqua" w:cs="Book Antiqua"/>
          <w:color w:val="000000" w:themeColor="text1"/>
          <w:lang w:val="es-PR"/>
        </w:rPr>
        <w:t>155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del Código Penal de Puerto Rico</w:t>
      </w:r>
      <w:r w:rsidR="00A417CA">
        <w:rPr>
          <w:rFonts w:ascii="Book Antiqua" w:eastAsia="Book Antiqua" w:hAnsi="Book Antiqua" w:cs="Book Antiqua"/>
          <w:color w:val="000000" w:themeColor="text1"/>
          <w:lang w:val="es-PR"/>
        </w:rPr>
        <w:t xml:space="preserve"> —restricción de libertad</w:t>
      </w:r>
      <w:r w:rsidR="00EF2799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el cual incluye una pena de delito menos grave:</w:t>
      </w:r>
      <w:r w:rsidR="00BD4A8D">
        <w:rPr>
          <w:rFonts w:ascii="Book Antiqua" w:eastAsia="Book Antiqua" w:hAnsi="Book Antiqua" w:cs="Book Antiqua"/>
          <w:color w:val="000000" w:themeColor="text1"/>
          <w:lang w:val="es-PR"/>
        </w:rPr>
        <w:t xml:space="preserve"> t</w:t>
      </w:r>
      <w:r w:rsidR="00BD4A8D" w:rsidRPr="00BD4A8D">
        <w:rPr>
          <w:rFonts w:ascii="Book Antiqua" w:eastAsia="Book Antiqua" w:hAnsi="Book Antiqua" w:cs="Book Antiqua"/>
          <w:color w:val="000000" w:themeColor="text1"/>
          <w:lang w:val="es-PR"/>
        </w:rPr>
        <w:t>oda persona que restrinja a propósito o con conocimiento y de forma ilegal a otra persona de manera que interfiera sustancialmente con su libertad, incurrirá en delito menos grave.</w:t>
      </w:r>
    </w:p>
    <w:p w14:paraId="343C9E52" w14:textId="21AC98D2" w:rsidR="006F53D5" w:rsidRPr="00F75B49" w:rsidRDefault="00C53FA8" w:rsidP="00BD4A8D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A338F7">
        <w:rPr>
          <w:rFonts w:ascii="Book Antiqua" w:eastAsia="Book Antiqua" w:hAnsi="Book Antiqua" w:cs="Book Antiqua"/>
          <w:color w:val="000000" w:themeColor="text1"/>
          <w:lang w:val="es-PR"/>
        </w:rPr>
        <w:t xml:space="preserve">OSL mencionó el informe de la Comisión de lo Jurídico del Senado, y sugirió enmiendas técnicas </w:t>
      </w:r>
      <w:r w:rsidR="00F31FC6">
        <w:rPr>
          <w:rFonts w:ascii="Book Antiqua" w:eastAsia="Book Antiqua" w:hAnsi="Book Antiqua" w:cs="Book Antiqua"/>
          <w:color w:val="000000" w:themeColor="text1"/>
          <w:lang w:val="es-PR"/>
        </w:rPr>
        <w:t>conforme al Reglamento del Senado de Puerto Rico.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Así, la OSL no halló impedimento legal para que se apruebe el P. del S. 994.</w:t>
      </w:r>
    </w:p>
    <w:p w14:paraId="528F8908" w14:textId="1C4D14DB" w:rsidR="003B38A4" w:rsidRPr="007B756F" w:rsidRDefault="003B38A4" w:rsidP="006C72D6">
      <w:pPr>
        <w:spacing w:after="160" w:line="288" w:lineRule="auto"/>
        <w:ind w:firstLine="720"/>
        <w:jc w:val="center"/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</w:pPr>
      <w:r w:rsidRPr="007B756F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CONCLUSIÓN</w:t>
      </w:r>
      <w:r w:rsidR="00F0476A" w:rsidRPr="007B756F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7B756F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I</w:t>
      </w:r>
      <w:r w:rsidR="00F0476A" w:rsidRPr="007B756F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ÓN</w:t>
      </w:r>
    </w:p>
    <w:p w14:paraId="55369A6B" w14:textId="11BE93A7" w:rsidR="003E4212" w:rsidRDefault="00314708" w:rsidP="00456FC6">
      <w:pPr>
        <w:spacing w:line="288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Esta comisión coincide con el Senado en que no se amerita </w:t>
      </w:r>
      <w:r w:rsidR="004E7244">
        <w:rPr>
          <w:rFonts w:ascii="Book Antiqua" w:hAnsi="Book Antiqua"/>
          <w:color w:val="000000" w:themeColor="text1"/>
          <w:lang w:val="es-PR"/>
        </w:rPr>
        <w:t xml:space="preserve">cambiarle el nombre al artículo 2.03 de </w:t>
      </w:r>
      <w:r w:rsidR="004E7244" w:rsidRPr="004E7244">
        <w:rPr>
          <w:rFonts w:ascii="Book Antiqua" w:hAnsi="Book Antiqua"/>
          <w:color w:val="000000" w:themeColor="text1"/>
          <w:lang w:val="es-PR"/>
        </w:rPr>
        <w:t>la Ley Núm. 408-2000</w:t>
      </w:r>
      <w:r w:rsidR="009E7798">
        <w:rPr>
          <w:rFonts w:ascii="Book Antiqua" w:hAnsi="Book Antiqua"/>
          <w:color w:val="000000" w:themeColor="text1"/>
          <w:lang w:val="es-PR"/>
        </w:rPr>
        <w:t>. El nombre</w:t>
      </w:r>
      <w:r w:rsidR="00B926B3">
        <w:rPr>
          <w:rFonts w:ascii="Book Antiqua" w:hAnsi="Book Antiqua"/>
          <w:color w:val="000000" w:themeColor="text1"/>
          <w:lang w:val="es-PR"/>
        </w:rPr>
        <w:t xml:space="preserve"> </w:t>
      </w:r>
      <w:r w:rsidR="009E7798">
        <w:rPr>
          <w:rFonts w:ascii="Book Antiqua" w:hAnsi="Book Antiqua"/>
          <w:color w:val="000000" w:themeColor="text1"/>
          <w:lang w:val="es-PR"/>
        </w:rPr>
        <w:t xml:space="preserve">que </w:t>
      </w:r>
      <w:r w:rsidR="00B926B3">
        <w:rPr>
          <w:rFonts w:ascii="Book Antiqua" w:hAnsi="Book Antiqua"/>
          <w:color w:val="000000" w:themeColor="text1"/>
          <w:lang w:val="es-PR"/>
        </w:rPr>
        <w:t>la administración</w:t>
      </w:r>
      <w:r w:rsidR="009E7798">
        <w:rPr>
          <w:rFonts w:ascii="Book Antiqua" w:hAnsi="Book Antiqua"/>
          <w:color w:val="000000" w:themeColor="text1"/>
          <w:lang w:val="es-PR"/>
        </w:rPr>
        <w:t xml:space="preserve"> sugirió es muy largo, </w:t>
      </w:r>
      <w:r w:rsidR="00BD02A8">
        <w:rPr>
          <w:rFonts w:ascii="Book Antiqua" w:hAnsi="Book Antiqua"/>
          <w:color w:val="000000" w:themeColor="text1"/>
          <w:lang w:val="es-PR"/>
        </w:rPr>
        <w:t>y lo que dice ya se contempla en el texto del artículo</w:t>
      </w:r>
      <w:r w:rsidR="00B926B3">
        <w:rPr>
          <w:rFonts w:ascii="Book Antiqua" w:hAnsi="Book Antiqua"/>
          <w:color w:val="000000" w:themeColor="text1"/>
          <w:lang w:val="es-PR"/>
        </w:rPr>
        <w:t>.</w:t>
      </w:r>
      <w:r w:rsidR="00BD02A8">
        <w:rPr>
          <w:rFonts w:ascii="Book Antiqua" w:hAnsi="Book Antiqua"/>
          <w:color w:val="000000" w:themeColor="text1"/>
          <w:lang w:val="es-PR"/>
        </w:rPr>
        <w:t xml:space="preserve"> </w:t>
      </w:r>
      <w:r w:rsidR="00B65598">
        <w:rPr>
          <w:rFonts w:ascii="Book Antiqua" w:hAnsi="Book Antiqua"/>
          <w:color w:val="000000" w:themeColor="text1"/>
          <w:lang w:val="es-PR"/>
        </w:rPr>
        <w:t>A</w:t>
      </w:r>
      <w:r w:rsidR="00BD02A8">
        <w:rPr>
          <w:rFonts w:ascii="Book Antiqua" w:hAnsi="Book Antiqua"/>
          <w:color w:val="000000" w:themeColor="text1"/>
          <w:lang w:val="es-PR"/>
        </w:rPr>
        <w:t>unque menos específico</w:t>
      </w:r>
      <w:r w:rsidR="00B65598">
        <w:rPr>
          <w:rFonts w:ascii="Book Antiqua" w:hAnsi="Book Antiqua"/>
          <w:color w:val="000000" w:themeColor="text1"/>
          <w:lang w:val="es-PR"/>
        </w:rPr>
        <w:t>, el título</w:t>
      </w:r>
      <w:r w:rsidR="00BD02A8">
        <w:rPr>
          <w:rFonts w:ascii="Book Antiqua" w:hAnsi="Book Antiqua"/>
          <w:color w:val="000000" w:themeColor="text1"/>
          <w:lang w:val="es-PR"/>
        </w:rPr>
        <w:t xml:space="preserve"> sugerido</w:t>
      </w:r>
      <w:r w:rsidR="002F740D">
        <w:rPr>
          <w:rFonts w:ascii="Book Antiqua" w:hAnsi="Book Antiqua"/>
          <w:color w:val="000000" w:themeColor="text1"/>
          <w:lang w:val="es-PR"/>
        </w:rPr>
        <w:t xml:space="preserve"> abarca lo </w:t>
      </w:r>
      <w:r w:rsidR="00CD2147">
        <w:rPr>
          <w:rFonts w:ascii="Book Antiqua" w:hAnsi="Book Antiqua"/>
          <w:color w:val="000000" w:themeColor="text1"/>
          <w:lang w:val="es-PR"/>
        </w:rPr>
        <w:t>que la administración interesa que se anuncie. El título no tiene que</w:t>
      </w:r>
      <w:r w:rsidR="002535FF">
        <w:rPr>
          <w:rFonts w:ascii="Book Antiqua" w:hAnsi="Book Antiqua"/>
          <w:color w:val="000000" w:themeColor="text1"/>
          <w:lang w:val="es-PR"/>
        </w:rPr>
        <w:t xml:space="preserve"> ser tan específico.  </w:t>
      </w:r>
      <w:r w:rsidR="00CD2147">
        <w:rPr>
          <w:rFonts w:ascii="Book Antiqua" w:hAnsi="Book Antiqua"/>
          <w:color w:val="000000" w:themeColor="text1"/>
          <w:lang w:val="es-PR"/>
        </w:rPr>
        <w:t xml:space="preserve"> </w:t>
      </w:r>
      <w:r w:rsidR="00BD02A8">
        <w:rPr>
          <w:rFonts w:ascii="Book Antiqua" w:hAnsi="Book Antiqua"/>
          <w:color w:val="000000" w:themeColor="text1"/>
          <w:lang w:val="es-PR"/>
        </w:rPr>
        <w:t xml:space="preserve"> </w:t>
      </w:r>
      <w:r w:rsidR="00B926B3">
        <w:rPr>
          <w:rFonts w:ascii="Book Antiqua" w:hAnsi="Book Antiqua"/>
          <w:color w:val="000000" w:themeColor="text1"/>
          <w:lang w:val="es-PR"/>
        </w:rPr>
        <w:t xml:space="preserve"> </w:t>
      </w:r>
    </w:p>
    <w:p w14:paraId="53A8AD04" w14:textId="0C27A46D" w:rsidR="0077631B" w:rsidRDefault="005A2B01" w:rsidP="00456FC6">
      <w:pPr>
        <w:spacing w:line="288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Esta comisión propone un </w:t>
      </w:r>
      <w:proofErr w:type="spellStart"/>
      <w:r>
        <w:rPr>
          <w:rFonts w:ascii="Book Antiqua" w:hAnsi="Book Antiqua"/>
          <w:color w:val="000000" w:themeColor="text1"/>
          <w:lang w:val="es-PR"/>
        </w:rPr>
        <w:t>entirillado</w:t>
      </w:r>
      <w:proofErr w:type="spellEnd"/>
      <w:r>
        <w:rPr>
          <w:rFonts w:ascii="Book Antiqua" w:hAnsi="Book Antiqua"/>
          <w:color w:val="000000" w:themeColor="text1"/>
          <w:lang w:val="es-PR"/>
        </w:rPr>
        <w:t xml:space="preserve"> con enmiendas técnicas, m</w:t>
      </w:r>
      <w:r w:rsidR="00BC4FEA">
        <w:rPr>
          <w:rFonts w:ascii="Book Antiqua" w:hAnsi="Book Antiqua"/>
          <w:color w:val="000000" w:themeColor="text1"/>
          <w:lang w:val="es-PR"/>
        </w:rPr>
        <w:t>á</w:t>
      </w:r>
      <w:r>
        <w:rPr>
          <w:rFonts w:ascii="Book Antiqua" w:hAnsi="Book Antiqua"/>
          <w:color w:val="000000" w:themeColor="text1"/>
          <w:lang w:val="es-PR"/>
        </w:rPr>
        <w:t xml:space="preserve">s un párrafo en la exposición de motivos </w:t>
      </w:r>
      <w:r w:rsidR="0024275E">
        <w:rPr>
          <w:rFonts w:ascii="Book Antiqua" w:hAnsi="Book Antiqua"/>
          <w:color w:val="000000" w:themeColor="text1"/>
          <w:lang w:val="es-PR"/>
        </w:rPr>
        <w:t xml:space="preserve">que abunda sobre el efecto de actualizar </w:t>
      </w:r>
      <w:r w:rsidR="0024275E" w:rsidRPr="0024275E">
        <w:rPr>
          <w:rFonts w:ascii="Book Antiqua" w:hAnsi="Book Antiqua"/>
          <w:color w:val="000000" w:themeColor="text1"/>
          <w:lang w:val="es-PR"/>
        </w:rPr>
        <w:t>los artículos 2.03 y 15.03 de la Ley Núm. 408-2000</w:t>
      </w:r>
      <w:r w:rsidR="0024275E">
        <w:rPr>
          <w:rFonts w:ascii="Book Antiqua" w:hAnsi="Book Antiqua"/>
          <w:color w:val="000000" w:themeColor="text1"/>
          <w:lang w:val="es-PR"/>
        </w:rPr>
        <w:t xml:space="preserve"> al Código Penal de Puerto Rico.</w:t>
      </w:r>
    </w:p>
    <w:p w14:paraId="4BFF265A" w14:textId="77777777" w:rsidR="007163F5" w:rsidRDefault="007163F5" w:rsidP="00456FC6">
      <w:pPr>
        <w:spacing w:line="288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</w:p>
    <w:p w14:paraId="2EC603F6" w14:textId="77777777" w:rsidR="007163F5" w:rsidRDefault="007163F5" w:rsidP="00456FC6">
      <w:pPr>
        <w:spacing w:line="288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</w:p>
    <w:p w14:paraId="37353BB8" w14:textId="77777777" w:rsidR="007163F5" w:rsidRDefault="007163F5" w:rsidP="00456FC6">
      <w:pPr>
        <w:spacing w:line="288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</w:p>
    <w:p w14:paraId="55324CE2" w14:textId="1218CDDD" w:rsidR="004512E8" w:rsidRPr="00733C1D" w:rsidRDefault="00FD6179" w:rsidP="00B16B19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</w:rPr>
      </w:pPr>
      <w:r w:rsidRPr="00733C1D">
        <w:rPr>
          <w:rFonts w:ascii="Book Antiqua" w:eastAsia="Book Antiqua" w:hAnsi="Book Antiqua" w:cs="Book Antiqua"/>
          <w:color w:val="000000" w:themeColor="text1"/>
          <w:szCs w:val="24"/>
        </w:rPr>
        <w:t>Por</w:t>
      </w:r>
      <w:r w:rsidR="009E166A">
        <w:rPr>
          <w:rFonts w:ascii="Book Antiqua" w:eastAsia="Book Antiqua" w:hAnsi="Book Antiqua" w:cs="Book Antiqua"/>
          <w:color w:val="000000" w:themeColor="text1"/>
          <w:szCs w:val="24"/>
        </w:rPr>
        <w:t xml:space="preserve"> lo anterior</w:t>
      </w:r>
      <w:r w:rsidRPr="00733C1D">
        <w:rPr>
          <w:rFonts w:ascii="Book Antiqua" w:eastAsia="Book Antiqua" w:hAnsi="Book Antiqua" w:cs="Book Antiqua"/>
          <w:color w:val="000000" w:themeColor="text1"/>
          <w:szCs w:val="24"/>
        </w:rPr>
        <w:t>, la Comisión de</w:t>
      </w:r>
      <w:r w:rsidR="007761C9" w:rsidRPr="00733C1D">
        <w:rPr>
          <w:rFonts w:ascii="Book Antiqua" w:eastAsia="Book Antiqua" w:hAnsi="Book Antiqua" w:cs="Book Antiqua"/>
          <w:color w:val="000000" w:themeColor="text1"/>
          <w:szCs w:val="24"/>
        </w:rPr>
        <w:t xml:space="preserve"> </w:t>
      </w:r>
      <w:r w:rsidR="002E3B1E">
        <w:rPr>
          <w:rFonts w:ascii="Book Antiqua" w:eastAsia="Book Antiqua" w:hAnsi="Book Antiqua" w:cs="Book Antiqua"/>
          <w:color w:val="000000" w:themeColor="text1"/>
          <w:szCs w:val="24"/>
        </w:rPr>
        <w:t>l</w:t>
      </w:r>
      <w:r w:rsidR="007761C9" w:rsidRPr="00733C1D">
        <w:rPr>
          <w:rFonts w:ascii="Book Antiqua" w:eastAsia="Book Antiqua" w:hAnsi="Book Antiqua" w:cs="Book Antiqua"/>
          <w:color w:val="000000" w:themeColor="text1"/>
          <w:szCs w:val="24"/>
        </w:rPr>
        <w:t>o Jurídico</w:t>
      </w:r>
      <w:r w:rsidRPr="00733C1D">
        <w:rPr>
          <w:rFonts w:ascii="Book Antiqua" w:eastAsia="Book Antiqua" w:hAnsi="Book Antiqua" w:cs="Book Antiqua"/>
          <w:color w:val="000000" w:themeColor="text1"/>
          <w:szCs w:val="24"/>
        </w:rPr>
        <w:t xml:space="preserve"> recom</w:t>
      </w:r>
      <w:r w:rsidR="00B33A97">
        <w:rPr>
          <w:rFonts w:ascii="Book Antiqua" w:eastAsia="Book Antiqua" w:hAnsi="Book Antiqua" w:cs="Book Antiqua"/>
          <w:color w:val="000000" w:themeColor="text1"/>
          <w:szCs w:val="24"/>
        </w:rPr>
        <w:t>ienda</w:t>
      </w:r>
      <w:r w:rsidRPr="00733C1D">
        <w:rPr>
          <w:rFonts w:ascii="Book Antiqua" w:eastAsia="Book Antiqua" w:hAnsi="Book Antiqua" w:cs="Book Antiqua"/>
          <w:color w:val="000000" w:themeColor="text1"/>
          <w:szCs w:val="24"/>
        </w:rPr>
        <w:t xml:space="preserve"> </w:t>
      </w:r>
      <w:r w:rsidR="009E166A">
        <w:rPr>
          <w:rFonts w:ascii="Book Antiqua" w:eastAsia="Book Antiqua" w:hAnsi="Book Antiqua" w:cs="Book Antiqua"/>
          <w:color w:val="000000" w:themeColor="text1"/>
          <w:szCs w:val="24"/>
        </w:rPr>
        <w:t xml:space="preserve">que se </w:t>
      </w:r>
      <w:r w:rsidRPr="00733C1D">
        <w:rPr>
          <w:rFonts w:ascii="Book Antiqua" w:eastAsia="Book Antiqua" w:hAnsi="Book Antiqua" w:cs="Book Antiqua"/>
          <w:color w:val="000000" w:themeColor="text1"/>
          <w:szCs w:val="24"/>
        </w:rPr>
        <w:t>apr</w:t>
      </w:r>
      <w:r w:rsidR="009E166A">
        <w:rPr>
          <w:rFonts w:ascii="Book Antiqua" w:eastAsia="Book Antiqua" w:hAnsi="Book Antiqua" w:cs="Book Antiqua"/>
          <w:color w:val="000000" w:themeColor="text1"/>
          <w:szCs w:val="24"/>
        </w:rPr>
        <w:t xml:space="preserve">uebe </w:t>
      </w:r>
      <w:r w:rsidRPr="00733C1D">
        <w:rPr>
          <w:rFonts w:ascii="Book Antiqua" w:eastAsia="Book Antiqua" w:hAnsi="Book Antiqua" w:cs="Book Antiqua"/>
          <w:color w:val="000000" w:themeColor="text1"/>
          <w:szCs w:val="24"/>
        </w:rPr>
        <w:t xml:space="preserve">el P. del </w:t>
      </w:r>
      <w:r w:rsidR="007E745A">
        <w:rPr>
          <w:rFonts w:ascii="Book Antiqua" w:eastAsia="Book Antiqua" w:hAnsi="Book Antiqua" w:cs="Book Antiqua"/>
          <w:color w:val="000000" w:themeColor="text1"/>
          <w:szCs w:val="24"/>
        </w:rPr>
        <w:t>S</w:t>
      </w:r>
      <w:r w:rsidRPr="00733C1D">
        <w:rPr>
          <w:rFonts w:ascii="Book Antiqua" w:eastAsia="Book Antiqua" w:hAnsi="Book Antiqua" w:cs="Book Antiqua"/>
          <w:color w:val="000000" w:themeColor="text1"/>
          <w:szCs w:val="24"/>
        </w:rPr>
        <w:t xml:space="preserve">. </w:t>
      </w:r>
      <w:r w:rsidR="003E4212">
        <w:rPr>
          <w:rFonts w:ascii="Book Antiqua" w:eastAsia="Book Antiqua" w:hAnsi="Book Antiqua" w:cs="Book Antiqua"/>
          <w:color w:val="000000" w:themeColor="text1"/>
          <w:szCs w:val="24"/>
        </w:rPr>
        <w:t>99</w:t>
      </w:r>
      <w:r w:rsidR="0022595D">
        <w:rPr>
          <w:rFonts w:ascii="Book Antiqua" w:eastAsia="Book Antiqua" w:hAnsi="Book Antiqua" w:cs="Book Antiqua"/>
          <w:color w:val="000000" w:themeColor="text1"/>
          <w:szCs w:val="24"/>
        </w:rPr>
        <w:t>4</w:t>
      </w:r>
      <w:r w:rsidR="00F0476A" w:rsidRPr="00733C1D">
        <w:rPr>
          <w:rFonts w:ascii="Book Antiqua" w:eastAsia="Book Antiqua" w:hAnsi="Book Antiqua" w:cs="Book Antiqua"/>
          <w:color w:val="000000" w:themeColor="text1"/>
          <w:szCs w:val="24"/>
        </w:rPr>
        <w:t xml:space="preserve">, </w:t>
      </w:r>
      <w:r w:rsidR="00F0476A" w:rsidRPr="009538A0">
        <w:rPr>
          <w:rFonts w:ascii="Book Antiqua" w:eastAsia="Book Antiqua" w:hAnsi="Book Antiqua" w:cs="Book Antiqua"/>
          <w:color w:val="000000" w:themeColor="text1"/>
          <w:szCs w:val="24"/>
        </w:rPr>
        <w:t xml:space="preserve">con las enmiendas en el </w:t>
      </w:r>
      <w:proofErr w:type="spellStart"/>
      <w:r w:rsidR="00F0476A" w:rsidRPr="009538A0">
        <w:rPr>
          <w:rFonts w:ascii="Book Antiqua" w:eastAsia="Book Antiqua" w:hAnsi="Book Antiqua" w:cs="Book Antiqua"/>
          <w:color w:val="000000" w:themeColor="text1"/>
          <w:szCs w:val="24"/>
        </w:rPr>
        <w:t>entirillado</w:t>
      </w:r>
      <w:proofErr w:type="spellEnd"/>
      <w:r w:rsidR="00F0476A" w:rsidRPr="009538A0">
        <w:rPr>
          <w:rFonts w:ascii="Book Antiqua" w:eastAsia="Book Antiqua" w:hAnsi="Book Antiqua" w:cs="Book Antiqua"/>
          <w:color w:val="000000" w:themeColor="text1"/>
          <w:szCs w:val="24"/>
        </w:rPr>
        <w:t xml:space="preserve"> electrónico</w:t>
      </w:r>
      <w:r w:rsidR="00D51A50" w:rsidRPr="009538A0">
        <w:rPr>
          <w:rFonts w:ascii="Book Antiqua" w:eastAsia="Book Antiqua" w:hAnsi="Book Antiqua" w:cs="Book Antiqua"/>
          <w:color w:val="000000" w:themeColor="text1"/>
          <w:szCs w:val="24"/>
        </w:rPr>
        <w:t xml:space="preserve"> adjunto</w:t>
      </w:r>
      <w:r w:rsidR="00F17F1C" w:rsidRPr="00733C1D">
        <w:rPr>
          <w:rFonts w:ascii="Book Antiqua" w:eastAsia="Book Antiqua" w:hAnsi="Book Antiqua" w:cs="Book Antiqua"/>
          <w:color w:val="000000" w:themeColor="text1"/>
          <w:szCs w:val="24"/>
        </w:rPr>
        <w:t>.</w:t>
      </w:r>
    </w:p>
    <w:p w14:paraId="6C8FC9E5" w14:textId="341388F5" w:rsidR="003B38A4" w:rsidRPr="001711E6" w:rsidRDefault="003B38A4" w:rsidP="00456FC6">
      <w:pPr>
        <w:spacing w:line="288" w:lineRule="auto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Respetuosamente </w:t>
      </w:r>
      <w:r w:rsidR="00F169E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presenta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do,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B2208B" w:rsidRDefault="00447224" w:rsidP="003B38A4">
      <w:pPr>
        <w:jc w:val="both"/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</w:pPr>
      <w:r w:rsidRPr="00B2208B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>José</w:t>
      </w:r>
      <w:r w:rsidR="00D60D6E" w:rsidRPr="00B2208B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 xml:space="preserve"> J. </w:t>
      </w:r>
      <w:r w:rsidRPr="00B2208B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>Pérez</w:t>
      </w:r>
      <w:r w:rsidR="00D60D6E" w:rsidRPr="00B2208B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 xml:space="preserve"> Cordero</w:t>
      </w:r>
      <w:r w:rsidR="003B38A4" w:rsidRPr="00B2208B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ab/>
        <w:t xml:space="preserve"> </w:t>
      </w:r>
    </w:p>
    <w:p w14:paraId="25FFF142" w14:textId="77777777" w:rsidR="00456FC6" w:rsidRDefault="003B38A4" w:rsidP="006931CC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</w:p>
    <w:p w14:paraId="3B6A5A42" w14:textId="57801468" w:rsidR="00F0476A" w:rsidRPr="001711E6" w:rsidRDefault="00B2208B" w:rsidP="006931CC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Comisión de lo Jurídico</w:t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sectPr w:rsidR="00F0476A" w:rsidRPr="001711E6" w:rsidSect="00015228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10C87" w14:textId="77777777" w:rsidR="000D6AAC" w:rsidRDefault="000D6AAC">
      <w:r>
        <w:separator/>
      </w:r>
    </w:p>
  </w:endnote>
  <w:endnote w:type="continuationSeparator" w:id="0">
    <w:p w14:paraId="77A70088" w14:textId="77777777" w:rsidR="000D6AAC" w:rsidRDefault="000D6AAC">
      <w:r>
        <w:continuationSeparator/>
      </w:r>
    </w:p>
  </w:endnote>
  <w:endnote w:type="continuationNotice" w:id="1">
    <w:p w14:paraId="24AD3352" w14:textId="77777777" w:rsidR="000D6AAC" w:rsidRDefault="000D6A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5A7D" w14:textId="77777777" w:rsidR="000D6AAC" w:rsidRDefault="000D6AAC">
      <w:r>
        <w:separator/>
      </w:r>
    </w:p>
  </w:footnote>
  <w:footnote w:type="continuationSeparator" w:id="0">
    <w:p w14:paraId="7197D686" w14:textId="77777777" w:rsidR="000D6AAC" w:rsidRDefault="000D6AAC">
      <w:r>
        <w:continuationSeparator/>
      </w:r>
    </w:p>
  </w:footnote>
  <w:footnote w:type="continuationNotice" w:id="1">
    <w:p w14:paraId="4E6C275F" w14:textId="77777777" w:rsidR="000D6AAC" w:rsidRDefault="000D6AAC"/>
  </w:footnote>
  <w:footnote w:id="2">
    <w:p w14:paraId="22A59D14" w14:textId="75715AC5" w:rsidR="008246B8" w:rsidRPr="008F4A0A" w:rsidRDefault="008246B8" w:rsidP="0027667F">
      <w:pPr>
        <w:pStyle w:val="FootnoteText"/>
        <w:spacing w:after="60"/>
        <w:rPr>
          <w:rFonts w:ascii="Book Antiqua" w:hAnsi="Book Antiqua"/>
        </w:rPr>
      </w:pPr>
      <w:r w:rsidRPr="008F4A0A">
        <w:rPr>
          <w:rStyle w:val="FootnoteReference"/>
          <w:rFonts w:ascii="Book Antiqua" w:hAnsi="Book Antiqua"/>
        </w:rPr>
        <w:footnoteRef/>
      </w:r>
      <w:r w:rsidRPr="008F4A0A">
        <w:rPr>
          <w:rFonts w:ascii="Book Antiqua" w:hAnsi="Book Antiqua"/>
        </w:rPr>
        <w:t xml:space="preserve"> </w:t>
      </w:r>
      <w:r w:rsidR="008F4A0A" w:rsidRPr="008F4A0A">
        <w:rPr>
          <w:rFonts w:ascii="Book Antiqua" w:hAnsi="Book Antiqua"/>
        </w:rPr>
        <w:t>C</w:t>
      </w:r>
      <w:r w:rsidRPr="008F4A0A">
        <w:rPr>
          <w:rFonts w:ascii="Book Antiqua" w:hAnsi="Book Antiqua"/>
        </w:rPr>
        <w:t xml:space="preserve">onocida como </w:t>
      </w:r>
      <w:r w:rsidRPr="008F4A0A">
        <w:rPr>
          <w:rFonts w:ascii="Book Antiqua" w:hAnsi="Book Antiqua"/>
          <w:i/>
          <w:iCs/>
        </w:rPr>
        <w:t>Ley de Salud Mental de Puerto Rico</w:t>
      </w:r>
      <w:r w:rsidR="008F4A0A" w:rsidRPr="008F4A0A">
        <w:rPr>
          <w:rFonts w:ascii="Book Antiqua" w:hAnsi="Book Antiqua"/>
        </w:rPr>
        <w:t>.</w:t>
      </w:r>
    </w:p>
  </w:footnote>
  <w:footnote w:id="3">
    <w:p w14:paraId="71D70BDB" w14:textId="5378C161" w:rsidR="003E0094" w:rsidRPr="003E0094" w:rsidRDefault="003E0094" w:rsidP="0027667F">
      <w:pPr>
        <w:pStyle w:val="FootnoteText"/>
        <w:spacing w:after="60"/>
      </w:pPr>
      <w:r>
        <w:rPr>
          <w:rStyle w:val="FootnoteReference"/>
        </w:rPr>
        <w:footnoteRef/>
      </w:r>
      <w:r>
        <w:t xml:space="preserve"> </w:t>
      </w:r>
      <w:r w:rsidR="00962EA5">
        <w:t>C</w:t>
      </w:r>
      <w:r w:rsidRPr="003E0094">
        <w:t xml:space="preserve">onocida como </w:t>
      </w:r>
      <w:r w:rsidRPr="00962EA5">
        <w:rPr>
          <w:i/>
          <w:iCs/>
        </w:rPr>
        <w:t>Código Penal de Puerto Rico</w:t>
      </w:r>
      <w:r w:rsidR="00962EA5">
        <w:t>.</w:t>
      </w:r>
    </w:p>
  </w:footnote>
  <w:footnote w:id="4">
    <w:p w14:paraId="59E780F9" w14:textId="77777777" w:rsidR="00090EFB" w:rsidRPr="00090EFB" w:rsidRDefault="00206327" w:rsidP="00090EFB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 w:rsidR="00090EFB" w:rsidRPr="00090EFB">
        <w:rPr>
          <w:i/>
          <w:iCs/>
        </w:rPr>
        <w:t xml:space="preserve">Se impondrá pena de reclusión por un término fijo de tres (3) años, si el delito de restricción </w:t>
      </w:r>
    </w:p>
    <w:p w14:paraId="594443D1" w14:textId="19558B37" w:rsidR="00206327" w:rsidRPr="00645559" w:rsidRDefault="00090EFB" w:rsidP="00645559">
      <w:pPr>
        <w:pStyle w:val="FootnoteText"/>
      </w:pPr>
      <w:r w:rsidRPr="00090EFB">
        <w:rPr>
          <w:i/>
          <w:iCs/>
        </w:rPr>
        <w:t>de libertad se comete con la concurrencia de cualquiera de las siguientes circunstancias:</w:t>
      </w:r>
      <w:r>
        <w:rPr>
          <w:i/>
          <w:iCs/>
        </w:rPr>
        <w:t xml:space="preserve"> </w:t>
      </w:r>
      <w:r w:rsidR="00645559" w:rsidRPr="00645559">
        <w:rPr>
          <w:i/>
          <w:iCs/>
        </w:rPr>
        <w:t>(f) En la persona de quien el autor o la autora es o ha sido cónyuge o conviviente, o ha tenido o tiene relaciones de intimidad o noviazgo, o con la que tiene un hijo en común.</w:t>
      </w:r>
      <w:r w:rsidR="00645559">
        <w:rPr>
          <w:i/>
          <w:iCs/>
        </w:rPr>
        <w:t xml:space="preserve"> </w:t>
      </w:r>
    </w:p>
  </w:footnote>
  <w:footnote w:id="5">
    <w:p w14:paraId="73F9F66C" w14:textId="289C113C" w:rsidR="006869D3" w:rsidRPr="0085452E" w:rsidRDefault="006869D3" w:rsidP="003E2913">
      <w:pPr>
        <w:pStyle w:val="FootnoteText"/>
        <w:spacing w:after="60"/>
        <w:rPr>
          <w:lang w:val="en-US"/>
        </w:rPr>
      </w:pPr>
      <w:r w:rsidRPr="003E2913">
        <w:rPr>
          <w:rStyle w:val="FootnoteReference"/>
          <w:rFonts w:ascii="Book Antiqua" w:hAnsi="Book Antiqua"/>
        </w:rPr>
        <w:footnoteRef/>
      </w:r>
      <w:r w:rsidRPr="003E2913">
        <w:rPr>
          <w:rFonts w:ascii="Book Antiqua" w:hAnsi="Book Antiqua"/>
          <w:lang w:val="en-US"/>
        </w:rPr>
        <w:t xml:space="preserve"> </w:t>
      </w:r>
      <w:proofErr w:type="spellStart"/>
      <w:r w:rsidR="0085452E" w:rsidRPr="003E2913">
        <w:rPr>
          <w:rFonts w:ascii="Book Antiqua" w:hAnsi="Book Antiqua"/>
          <w:lang w:val="en-US"/>
        </w:rPr>
        <w:t>Véase</w:t>
      </w:r>
      <w:proofErr w:type="spellEnd"/>
      <w:r w:rsidR="0085452E" w:rsidRPr="003E2913">
        <w:rPr>
          <w:rFonts w:ascii="Book Antiqua" w:hAnsi="Book Antiqua"/>
          <w:lang w:val="en-US"/>
        </w:rPr>
        <w:t xml:space="preserve"> </w:t>
      </w:r>
      <w:r w:rsidR="0085452E" w:rsidRPr="003E2913">
        <w:rPr>
          <w:rFonts w:ascii="Book Antiqua" w:hAnsi="Book Antiqua"/>
          <w:i/>
          <w:iCs/>
          <w:lang w:val="en-US"/>
        </w:rPr>
        <w:t xml:space="preserve">Olmstead v. LC, </w:t>
      </w:r>
      <w:r w:rsidR="0085452E" w:rsidRPr="003E2913">
        <w:rPr>
          <w:rFonts w:ascii="Book Antiqua" w:hAnsi="Book Antiqua"/>
          <w:lang w:val="en-US"/>
        </w:rPr>
        <w:t>527 US 581 (1999).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A8751" w14:textId="4FB28182" w:rsidR="00CB2B9A" w:rsidRPr="00CB2B9A" w:rsidRDefault="00CB2B9A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Cs/>
        <w:sz w:val="22"/>
        <w:szCs w:val="22"/>
        <w:lang w:val="es-PR"/>
      </w:rPr>
    </w:pPr>
    <w:r w:rsidRPr="00CB2B9A">
      <w:rPr>
        <w:rFonts w:ascii="Calibri" w:eastAsia="Calibri" w:hAnsi="Calibri"/>
        <w:b/>
        <w:iCs/>
        <w:sz w:val="22"/>
        <w:szCs w:val="22"/>
        <w:lang w:val="es-PR"/>
      </w:rPr>
      <w:t>Cámara de Representantes de Puerto Rico</w:t>
    </w:r>
  </w:p>
  <w:p w14:paraId="5D382EB3" w14:textId="1AB7EFF0" w:rsidR="00CB2B9A" w:rsidRPr="00CB2B9A" w:rsidRDefault="00CB2B9A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Cs/>
        <w:sz w:val="22"/>
        <w:szCs w:val="22"/>
        <w:lang w:val="es-PR"/>
      </w:rPr>
    </w:pPr>
    <w:r w:rsidRPr="00CB2B9A">
      <w:rPr>
        <w:rFonts w:ascii="Calibri" w:eastAsia="Calibri" w:hAnsi="Calibri"/>
        <w:b/>
        <w:iCs/>
        <w:sz w:val="22"/>
        <w:szCs w:val="22"/>
        <w:lang w:val="es-PR"/>
      </w:rPr>
      <w:t>Comisión de lo Jurídico</w:t>
    </w:r>
  </w:p>
  <w:p w14:paraId="31A51A2D" w14:textId="27B3B59E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CB2B9A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CB2B9A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CB2B9A">
      <w:rPr>
        <w:rFonts w:ascii="Calibri" w:eastAsia="Calibri" w:hAnsi="Calibri"/>
        <w:b/>
        <w:iCs/>
        <w:sz w:val="22"/>
        <w:szCs w:val="22"/>
        <w:lang w:val="es-PR"/>
      </w:rPr>
      <w:t xml:space="preserve"> P. del </w:t>
    </w:r>
    <w:r w:rsidR="008B7278">
      <w:rPr>
        <w:rFonts w:ascii="Calibri" w:eastAsia="Calibri" w:hAnsi="Calibri"/>
        <w:b/>
        <w:iCs/>
        <w:sz w:val="22"/>
        <w:szCs w:val="22"/>
        <w:lang w:val="es-PR"/>
      </w:rPr>
      <w:t>S</w:t>
    </w:r>
    <w:r w:rsidRPr="00CB2B9A">
      <w:rPr>
        <w:rFonts w:ascii="Calibri" w:eastAsia="Calibri" w:hAnsi="Calibri"/>
        <w:b/>
        <w:iCs/>
        <w:sz w:val="22"/>
        <w:szCs w:val="22"/>
        <w:lang w:val="es-PR"/>
      </w:rPr>
      <w:t xml:space="preserve">. </w:t>
    </w:r>
    <w:r w:rsidR="00B61FC2">
      <w:rPr>
        <w:rFonts w:ascii="Calibri" w:eastAsia="Calibri" w:hAnsi="Calibri"/>
        <w:b/>
        <w:iCs/>
        <w:sz w:val="22"/>
        <w:szCs w:val="22"/>
        <w:lang w:val="es-PR"/>
      </w:rPr>
      <w:t>99</w:t>
    </w:r>
    <w:r w:rsidR="00CE4B94">
      <w:rPr>
        <w:rFonts w:ascii="Calibri" w:eastAsia="Calibri" w:hAnsi="Calibri"/>
        <w:b/>
        <w:iCs/>
        <w:sz w:val="22"/>
        <w:szCs w:val="22"/>
        <w:lang w:val="es-PR"/>
      </w:rPr>
      <w:t>4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01C13"/>
    <w:multiLevelType w:val="hybridMultilevel"/>
    <w:tmpl w:val="5202AE42"/>
    <w:lvl w:ilvl="0" w:tplc="2FC27A74">
      <w:start w:val="4"/>
      <w:numFmt w:val="bullet"/>
      <w:lvlText w:val="-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D37D0E"/>
    <w:multiLevelType w:val="hybridMultilevel"/>
    <w:tmpl w:val="985CA244"/>
    <w:lvl w:ilvl="0" w:tplc="AE1E54D8">
      <w:start w:val="40"/>
      <w:numFmt w:val="decimal"/>
      <w:lvlText w:val="%1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1" w:tplc="76F4EE02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2" w:tplc="4C78E854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3" w:tplc="6B900874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4" w:tplc="CCD8094C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5" w:tplc="2084D7DE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6" w:tplc="12B2B4A0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7" w:tplc="F6526066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8" w:tplc="9538267A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7" w15:restartNumberingAfterBreak="0">
    <w:nsid w:val="283D74F1"/>
    <w:multiLevelType w:val="hybridMultilevel"/>
    <w:tmpl w:val="18B89CB6"/>
    <w:lvl w:ilvl="0" w:tplc="85CA1E9C">
      <w:start w:val="1"/>
      <w:numFmt w:val="decimal"/>
      <w:lvlText w:val="%1."/>
      <w:lvlJc w:val="left"/>
      <w:pPr>
        <w:ind w:left="1428" w:hanging="361"/>
        <w:jc w:val="left"/>
      </w:pPr>
      <w:rPr>
        <w:rFonts w:hint="default"/>
        <w:spacing w:val="0"/>
        <w:w w:val="99"/>
        <w:lang w:val="es-ES" w:eastAsia="en-US" w:bidi="ar-SA"/>
      </w:rPr>
    </w:lvl>
    <w:lvl w:ilvl="1" w:tplc="C16494F8">
      <w:numFmt w:val="bullet"/>
      <w:lvlText w:val="•"/>
      <w:lvlJc w:val="left"/>
      <w:pPr>
        <w:ind w:left="2394" w:hanging="361"/>
      </w:pPr>
      <w:rPr>
        <w:rFonts w:hint="default"/>
        <w:lang w:val="es-ES" w:eastAsia="en-US" w:bidi="ar-SA"/>
      </w:rPr>
    </w:lvl>
    <w:lvl w:ilvl="2" w:tplc="5E3ECAE2">
      <w:numFmt w:val="bullet"/>
      <w:lvlText w:val="•"/>
      <w:lvlJc w:val="left"/>
      <w:pPr>
        <w:ind w:left="3368" w:hanging="361"/>
      </w:pPr>
      <w:rPr>
        <w:rFonts w:hint="default"/>
        <w:lang w:val="es-ES" w:eastAsia="en-US" w:bidi="ar-SA"/>
      </w:rPr>
    </w:lvl>
    <w:lvl w:ilvl="3" w:tplc="EB56F5A8">
      <w:numFmt w:val="bullet"/>
      <w:lvlText w:val="•"/>
      <w:lvlJc w:val="left"/>
      <w:pPr>
        <w:ind w:left="4342" w:hanging="361"/>
      </w:pPr>
      <w:rPr>
        <w:rFonts w:hint="default"/>
        <w:lang w:val="es-ES" w:eastAsia="en-US" w:bidi="ar-SA"/>
      </w:rPr>
    </w:lvl>
    <w:lvl w:ilvl="4" w:tplc="DCA683D6">
      <w:numFmt w:val="bullet"/>
      <w:lvlText w:val="•"/>
      <w:lvlJc w:val="left"/>
      <w:pPr>
        <w:ind w:left="5316" w:hanging="361"/>
      </w:pPr>
      <w:rPr>
        <w:rFonts w:hint="default"/>
        <w:lang w:val="es-ES" w:eastAsia="en-US" w:bidi="ar-SA"/>
      </w:rPr>
    </w:lvl>
    <w:lvl w:ilvl="5" w:tplc="18362CB4">
      <w:numFmt w:val="bullet"/>
      <w:lvlText w:val="•"/>
      <w:lvlJc w:val="left"/>
      <w:pPr>
        <w:ind w:left="6290" w:hanging="361"/>
      </w:pPr>
      <w:rPr>
        <w:rFonts w:hint="default"/>
        <w:lang w:val="es-ES" w:eastAsia="en-US" w:bidi="ar-SA"/>
      </w:rPr>
    </w:lvl>
    <w:lvl w:ilvl="6" w:tplc="786080E2">
      <w:numFmt w:val="bullet"/>
      <w:lvlText w:val="•"/>
      <w:lvlJc w:val="left"/>
      <w:pPr>
        <w:ind w:left="7264" w:hanging="361"/>
      </w:pPr>
      <w:rPr>
        <w:rFonts w:hint="default"/>
        <w:lang w:val="es-ES" w:eastAsia="en-US" w:bidi="ar-SA"/>
      </w:rPr>
    </w:lvl>
    <w:lvl w:ilvl="7" w:tplc="F79246EE">
      <w:numFmt w:val="bullet"/>
      <w:lvlText w:val="•"/>
      <w:lvlJc w:val="left"/>
      <w:pPr>
        <w:ind w:left="8238" w:hanging="361"/>
      </w:pPr>
      <w:rPr>
        <w:rFonts w:hint="default"/>
        <w:lang w:val="es-ES" w:eastAsia="en-US" w:bidi="ar-SA"/>
      </w:rPr>
    </w:lvl>
    <w:lvl w:ilvl="8" w:tplc="8C062E14">
      <w:numFmt w:val="bullet"/>
      <w:lvlText w:val="•"/>
      <w:lvlJc w:val="left"/>
      <w:pPr>
        <w:ind w:left="9212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4B5E24DD"/>
    <w:multiLevelType w:val="hybridMultilevel"/>
    <w:tmpl w:val="F88C9B3C"/>
    <w:lvl w:ilvl="0" w:tplc="20245298">
      <w:start w:val="507"/>
      <w:numFmt w:val="bullet"/>
      <w:lvlText w:val="-"/>
      <w:lvlJc w:val="left"/>
      <w:pPr>
        <w:ind w:left="720" w:hanging="360"/>
      </w:pPr>
      <w:rPr>
        <w:rFonts w:ascii="Book Antiqua" w:eastAsia="Book Antiqua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842CC"/>
    <w:multiLevelType w:val="hybridMultilevel"/>
    <w:tmpl w:val="8E468146"/>
    <w:lvl w:ilvl="0" w:tplc="BCBC16E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4"/>
  </w:num>
  <w:num w:numId="2" w16cid:durableId="612249085">
    <w:abstractNumId w:val="3"/>
  </w:num>
  <w:num w:numId="3" w16cid:durableId="191654121">
    <w:abstractNumId w:val="8"/>
  </w:num>
  <w:num w:numId="4" w16cid:durableId="251549162">
    <w:abstractNumId w:val="4"/>
  </w:num>
  <w:num w:numId="5" w16cid:durableId="77214083">
    <w:abstractNumId w:val="12"/>
  </w:num>
  <w:num w:numId="6" w16cid:durableId="344096040">
    <w:abstractNumId w:val="18"/>
  </w:num>
  <w:num w:numId="7" w16cid:durableId="1113287001">
    <w:abstractNumId w:val="10"/>
  </w:num>
  <w:num w:numId="8" w16cid:durableId="1631401959">
    <w:abstractNumId w:val="16"/>
  </w:num>
  <w:num w:numId="9" w16cid:durableId="591201020">
    <w:abstractNumId w:val="13"/>
  </w:num>
  <w:num w:numId="10" w16cid:durableId="645204287">
    <w:abstractNumId w:val="22"/>
  </w:num>
  <w:num w:numId="11" w16cid:durableId="1508133352">
    <w:abstractNumId w:val="9"/>
  </w:num>
  <w:num w:numId="12" w16cid:durableId="1889679253">
    <w:abstractNumId w:val="17"/>
  </w:num>
  <w:num w:numId="13" w16cid:durableId="325980482">
    <w:abstractNumId w:val="11"/>
  </w:num>
  <w:num w:numId="14" w16cid:durableId="1607613887">
    <w:abstractNumId w:val="19"/>
  </w:num>
  <w:num w:numId="15" w16cid:durableId="1411585931">
    <w:abstractNumId w:val="20"/>
  </w:num>
  <w:num w:numId="16" w16cid:durableId="3963235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2"/>
  </w:num>
  <w:num w:numId="18" w16cid:durableId="2136944254">
    <w:abstractNumId w:val="1"/>
  </w:num>
  <w:num w:numId="19" w16cid:durableId="1710840828">
    <w:abstractNumId w:val="5"/>
  </w:num>
  <w:num w:numId="20" w16cid:durableId="548958047">
    <w:abstractNumId w:val="7"/>
  </w:num>
  <w:num w:numId="21" w16cid:durableId="1362589133">
    <w:abstractNumId w:val="6"/>
  </w:num>
  <w:num w:numId="22" w16cid:durableId="1044448189">
    <w:abstractNumId w:val="15"/>
  </w:num>
  <w:num w:numId="23" w16cid:durableId="814562646">
    <w:abstractNumId w:val="21"/>
  </w:num>
  <w:num w:numId="24" w16cid:durableId="1911498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F1A"/>
    <w:rsid w:val="000025A6"/>
    <w:rsid w:val="00002638"/>
    <w:rsid w:val="0001280A"/>
    <w:rsid w:val="00015228"/>
    <w:rsid w:val="000252FA"/>
    <w:rsid w:val="000264E5"/>
    <w:rsid w:val="000307E4"/>
    <w:rsid w:val="00031276"/>
    <w:rsid w:val="00031A69"/>
    <w:rsid w:val="000366F7"/>
    <w:rsid w:val="00041144"/>
    <w:rsid w:val="00042E4B"/>
    <w:rsid w:val="00043D53"/>
    <w:rsid w:val="00045F29"/>
    <w:rsid w:val="00046E61"/>
    <w:rsid w:val="00050E9A"/>
    <w:rsid w:val="00055089"/>
    <w:rsid w:val="00065D7E"/>
    <w:rsid w:val="00070288"/>
    <w:rsid w:val="00072777"/>
    <w:rsid w:val="00072EC0"/>
    <w:rsid w:val="00073581"/>
    <w:rsid w:val="00073CFC"/>
    <w:rsid w:val="000747F6"/>
    <w:rsid w:val="00075E57"/>
    <w:rsid w:val="00075F97"/>
    <w:rsid w:val="00084274"/>
    <w:rsid w:val="00086518"/>
    <w:rsid w:val="000869BE"/>
    <w:rsid w:val="00087CA8"/>
    <w:rsid w:val="0009035A"/>
    <w:rsid w:val="00090AC9"/>
    <w:rsid w:val="00090EFB"/>
    <w:rsid w:val="000925E7"/>
    <w:rsid w:val="000939BC"/>
    <w:rsid w:val="000948E3"/>
    <w:rsid w:val="000968F0"/>
    <w:rsid w:val="000A0600"/>
    <w:rsid w:val="000A4C87"/>
    <w:rsid w:val="000A6E42"/>
    <w:rsid w:val="000B0D43"/>
    <w:rsid w:val="000B226E"/>
    <w:rsid w:val="000B6B0E"/>
    <w:rsid w:val="000C38C8"/>
    <w:rsid w:val="000C66A9"/>
    <w:rsid w:val="000D1EA5"/>
    <w:rsid w:val="000D2BDF"/>
    <w:rsid w:val="000D3E47"/>
    <w:rsid w:val="000D5F7E"/>
    <w:rsid w:val="000D68FC"/>
    <w:rsid w:val="000D6AAC"/>
    <w:rsid w:val="000E30B7"/>
    <w:rsid w:val="000E5D36"/>
    <w:rsid w:val="000F086B"/>
    <w:rsid w:val="000F0DCF"/>
    <w:rsid w:val="000F21EA"/>
    <w:rsid w:val="000F2ED2"/>
    <w:rsid w:val="000F4ABD"/>
    <w:rsid w:val="000F67BD"/>
    <w:rsid w:val="0010095E"/>
    <w:rsid w:val="00100A6D"/>
    <w:rsid w:val="001015D5"/>
    <w:rsid w:val="00101C99"/>
    <w:rsid w:val="00101CFF"/>
    <w:rsid w:val="001049CF"/>
    <w:rsid w:val="001070BB"/>
    <w:rsid w:val="00113A29"/>
    <w:rsid w:val="00115F82"/>
    <w:rsid w:val="001209AD"/>
    <w:rsid w:val="001216B5"/>
    <w:rsid w:val="001230FF"/>
    <w:rsid w:val="00124911"/>
    <w:rsid w:val="00126659"/>
    <w:rsid w:val="0012698D"/>
    <w:rsid w:val="001311BA"/>
    <w:rsid w:val="00140F2B"/>
    <w:rsid w:val="00141334"/>
    <w:rsid w:val="00141605"/>
    <w:rsid w:val="00141703"/>
    <w:rsid w:val="001429EF"/>
    <w:rsid w:val="001443F0"/>
    <w:rsid w:val="00153D68"/>
    <w:rsid w:val="00153F79"/>
    <w:rsid w:val="001601C3"/>
    <w:rsid w:val="001606D7"/>
    <w:rsid w:val="00164AE2"/>
    <w:rsid w:val="00164E0B"/>
    <w:rsid w:val="0017100B"/>
    <w:rsid w:val="001711E6"/>
    <w:rsid w:val="00171CF8"/>
    <w:rsid w:val="00171FDF"/>
    <w:rsid w:val="001821D9"/>
    <w:rsid w:val="00186AD3"/>
    <w:rsid w:val="00186D37"/>
    <w:rsid w:val="0019059C"/>
    <w:rsid w:val="001925F8"/>
    <w:rsid w:val="00193026"/>
    <w:rsid w:val="001A2296"/>
    <w:rsid w:val="001A5A3D"/>
    <w:rsid w:val="001A76F7"/>
    <w:rsid w:val="001B2109"/>
    <w:rsid w:val="001B4010"/>
    <w:rsid w:val="001B50F8"/>
    <w:rsid w:val="001C73EE"/>
    <w:rsid w:val="001D06CC"/>
    <w:rsid w:val="001D5D12"/>
    <w:rsid w:val="001D5EE7"/>
    <w:rsid w:val="001D6791"/>
    <w:rsid w:val="001D7F61"/>
    <w:rsid w:val="001E4FEC"/>
    <w:rsid w:val="001E5CAC"/>
    <w:rsid w:val="001E7C2B"/>
    <w:rsid w:val="001F1CBA"/>
    <w:rsid w:val="001F5243"/>
    <w:rsid w:val="001F6C16"/>
    <w:rsid w:val="002038B9"/>
    <w:rsid w:val="00203D0D"/>
    <w:rsid w:val="00206327"/>
    <w:rsid w:val="00206D79"/>
    <w:rsid w:val="00207C10"/>
    <w:rsid w:val="00211DEA"/>
    <w:rsid w:val="0021372D"/>
    <w:rsid w:val="00216AC7"/>
    <w:rsid w:val="00221403"/>
    <w:rsid w:val="00222012"/>
    <w:rsid w:val="00222C01"/>
    <w:rsid w:val="0022595D"/>
    <w:rsid w:val="00227846"/>
    <w:rsid w:val="00230AA0"/>
    <w:rsid w:val="00231245"/>
    <w:rsid w:val="0023302B"/>
    <w:rsid w:val="002338FC"/>
    <w:rsid w:val="00234172"/>
    <w:rsid w:val="00237B77"/>
    <w:rsid w:val="0024275E"/>
    <w:rsid w:val="002445D4"/>
    <w:rsid w:val="002447FB"/>
    <w:rsid w:val="00245DD7"/>
    <w:rsid w:val="00250E7B"/>
    <w:rsid w:val="002535FF"/>
    <w:rsid w:val="00253E0E"/>
    <w:rsid w:val="002568B1"/>
    <w:rsid w:val="00257C59"/>
    <w:rsid w:val="0026568D"/>
    <w:rsid w:val="0027134B"/>
    <w:rsid w:val="00272AB7"/>
    <w:rsid w:val="00275876"/>
    <w:rsid w:val="0027667F"/>
    <w:rsid w:val="00282173"/>
    <w:rsid w:val="0028343B"/>
    <w:rsid w:val="00284D37"/>
    <w:rsid w:val="002864AF"/>
    <w:rsid w:val="002912FA"/>
    <w:rsid w:val="00291E04"/>
    <w:rsid w:val="002939AA"/>
    <w:rsid w:val="00295469"/>
    <w:rsid w:val="00297AA5"/>
    <w:rsid w:val="00297E9D"/>
    <w:rsid w:val="002A1680"/>
    <w:rsid w:val="002A2033"/>
    <w:rsid w:val="002A3B7D"/>
    <w:rsid w:val="002A4AAF"/>
    <w:rsid w:val="002A4FBE"/>
    <w:rsid w:val="002A57D7"/>
    <w:rsid w:val="002A5D24"/>
    <w:rsid w:val="002A6006"/>
    <w:rsid w:val="002A6034"/>
    <w:rsid w:val="002A795A"/>
    <w:rsid w:val="002B0486"/>
    <w:rsid w:val="002B5EF6"/>
    <w:rsid w:val="002C0EB4"/>
    <w:rsid w:val="002C69F2"/>
    <w:rsid w:val="002D2AD0"/>
    <w:rsid w:val="002E1657"/>
    <w:rsid w:val="002E247F"/>
    <w:rsid w:val="002E3B1E"/>
    <w:rsid w:val="002E4267"/>
    <w:rsid w:val="002F0ED7"/>
    <w:rsid w:val="002F16BF"/>
    <w:rsid w:val="002F2FC3"/>
    <w:rsid w:val="002F3DBD"/>
    <w:rsid w:val="002F50C3"/>
    <w:rsid w:val="002F5F0E"/>
    <w:rsid w:val="002F740D"/>
    <w:rsid w:val="003007DF"/>
    <w:rsid w:val="003026FC"/>
    <w:rsid w:val="00304248"/>
    <w:rsid w:val="00307E6C"/>
    <w:rsid w:val="00312F65"/>
    <w:rsid w:val="00314708"/>
    <w:rsid w:val="0031674A"/>
    <w:rsid w:val="003308DC"/>
    <w:rsid w:val="00330BD0"/>
    <w:rsid w:val="00331F47"/>
    <w:rsid w:val="003344C6"/>
    <w:rsid w:val="00336117"/>
    <w:rsid w:val="003361A3"/>
    <w:rsid w:val="0034229A"/>
    <w:rsid w:val="00342992"/>
    <w:rsid w:val="00342B5F"/>
    <w:rsid w:val="0034363E"/>
    <w:rsid w:val="00346CD5"/>
    <w:rsid w:val="00351891"/>
    <w:rsid w:val="00354EC7"/>
    <w:rsid w:val="00356EE6"/>
    <w:rsid w:val="00363448"/>
    <w:rsid w:val="003639D5"/>
    <w:rsid w:val="00364147"/>
    <w:rsid w:val="0036603F"/>
    <w:rsid w:val="00371331"/>
    <w:rsid w:val="00372116"/>
    <w:rsid w:val="00375AEC"/>
    <w:rsid w:val="00377161"/>
    <w:rsid w:val="00382AD9"/>
    <w:rsid w:val="00383A2A"/>
    <w:rsid w:val="0038510E"/>
    <w:rsid w:val="0039140F"/>
    <w:rsid w:val="00392CEF"/>
    <w:rsid w:val="0039370D"/>
    <w:rsid w:val="00393ADF"/>
    <w:rsid w:val="00394A52"/>
    <w:rsid w:val="00397772"/>
    <w:rsid w:val="003978F6"/>
    <w:rsid w:val="003A2FDA"/>
    <w:rsid w:val="003A5745"/>
    <w:rsid w:val="003B00CD"/>
    <w:rsid w:val="003B38A4"/>
    <w:rsid w:val="003B3D1A"/>
    <w:rsid w:val="003B3DEE"/>
    <w:rsid w:val="003B6094"/>
    <w:rsid w:val="003C2FC0"/>
    <w:rsid w:val="003D01F1"/>
    <w:rsid w:val="003D0B2A"/>
    <w:rsid w:val="003D295D"/>
    <w:rsid w:val="003D38A5"/>
    <w:rsid w:val="003D4570"/>
    <w:rsid w:val="003D601E"/>
    <w:rsid w:val="003E0094"/>
    <w:rsid w:val="003E2913"/>
    <w:rsid w:val="003E4212"/>
    <w:rsid w:val="003E4335"/>
    <w:rsid w:val="003E529E"/>
    <w:rsid w:val="003E6E10"/>
    <w:rsid w:val="003E7509"/>
    <w:rsid w:val="003E7648"/>
    <w:rsid w:val="003F10BB"/>
    <w:rsid w:val="003F1B94"/>
    <w:rsid w:val="003F2674"/>
    <w:rsid w:val="003F2BB4"/>
    <w:rsid w:val="003F70F7"/>
    <w:rsid w:val="00400F6F"/>
    <w:rsid w:val="004016F9"/>
    <w:rsid w:val="00406960"/>
    <w:rsid w:val="00407674"/>
    <w:rsid w:val="0041310A"/>
    <w:rsid w:val="004135C5"/>
    <w:rsid w:val="0042168B"/>
    <w:rsid w:val="0042378B"/>
    <w:rsid w:val="00425F61"/>
    <w:rsid w:val="0043054E"/>
    <w:rsid w:val="00430FD3"/>
    <w:rsid w:val="00431EB4"/>
    <w:rsid w:val="00431F68"/>
    <w:rsid w:val="00443EEC"/>
    <w:rsid w:val="00447224"/>
    <w:rsid w:val="0045061E"/>
    <w:rsid w:val="004512E8"/>
    <w:rsid w:val="00451F27"/>
    <w:rsid w:val="004523CD"/>
    <w:rsid w:val="00452D84"/>
    <w:rsid w:val="00452DCE"/>
    <w:rsid w:val="0045537D"/>
    <w:rsid w:val="00455DB5"/>
    <w:rsid w:val="00456305"/>
    <w:rsid w:val="0045657D"/>
    <w:rsid w:val="00456FC6"/>
    <w:rsid w:val="00457BD6"/>
    <w:rsid w:val="004612EA"/>
    <w:rsid w:val="00461EF4"/>
    <w:rsid w:val="00462545"/>
    <w:rsid w:val="00462662"/>
    <w:rsid w:val="00462FE2"/>
    <w:rsid w:val="00463911"/>
    <w:rsid w:val="00464403"/>
    <w:rsid w:val="00467CB0"/>
    <w:rsid w:val="00471B96"/>
    <w:rsid w:val="00471DF3"/>
    <w:rsid w:val="00495510"/>
    <w:rsid w:val="004976BD"/>
    <w:rsid w:val="00497803"/>
    <w:rsid w:val="004A5A18"/>
    <w:rsid w:val="004A5ED0"/>
    <w:rsid w:val="004A6932"/>
    <w:rsid w:val="004A6A4F"/>
    <w:rsid w:val="004B14E8"/>
    <w:rsid w:val="004B4977"/>
    <w:rsid w:val="004B6881"/>
    <w:rsid w:val="004D28B0"/>
    <w:rsid w:val="004D4D0A"/>
    <w:rsid w:val="004E356B"/>
    <w:rsid w:val="004E58E3"/>
    <w:rsid w:val="004E7244"/>
    <w:rsid w:val="004E76DB"/>
    <w:rsid w:val="004E7F19"/>
    <w:rsid w:val="004F3AEE"/>
    <w:rsid w:val="004F4A0B"/>
    <w:rsid w:val="004F5C31"/>
    <w:rsid w:val="004F5E56"/>
    <w:rsid w:val="004F6DE0"/>
    <w:rsid w:val="004F79AB"/>
    <w:rsid w:val="00501594"/>
    <w:rsid w:val="00504DBA"/>
    <w:rsid w:val="00506E31"/>
    <w:rsid w:val="00516AB2"/>
    <w:rsid w:val="00517F57"/>
    <w:rsid w:val="0052569A"/>
    <w:rsid w:val="0052624F"/>
    <w:rsid w:val="00530CA5"/>
    <w:rsid w:val="00532F3A"/>
    <w:rsid w:val="00541F8E"/>
    <w:rsid w:val="005432C2"/>
    <w:rsid w:val="00546182"/>
    <w:rsid w:val="00546323"/>
    <w:rsid w:val="00547060"/>
    <w:rsid w:val="00554901"/>
    <w:rsid w:val="00560814"/>
    <w:rsid w:val="00563407"/>
    <w:rsid w:val="00566211"/>
    <w:rsid w:val="00566B83"/>
    <w:rsid w:val="00566BF6"/>
    <w:rsid w:val="00566DDA"/>
    <w:rsid w:val="00573932"/>
    <w:rsid w:val="00574EF4"/>
    <w:rsid w:val="005763C7"/>
    <w:rsid w:val="005765D8"/>
    <w:rsid w:val="00580C5D"/>
    <w:rsid w:val="00582CE9"/>
    <w:rsid w:val="005831D6"/>
    <w:rsid w:val="00584753"/>
    <w:rsid w:val="00591C6D"/>
    <w:rsid w:val="00592CA7"/>
    <w:rsid w:val="00592D59"/>
    <w:rsid w:val="005944CE"/>
    <w:rsid w:val="00596033"/>
    <w:rsid w:val="005A0CDD"/>
    <w:rsid w:val="005A14D9"/>
    <w:rsid w:val="005A1F13"/>
    <w:rsid w:val="005A2B01"/>
    <w:rsid w:val="005B0091"/>
    <w:rsid w:val="005B19F7"/>
    <w:rsid w:val="005B23EA"/>
    <w:rsid w:val="005B349D"/>
    <w:rsid w:val="005B42F2"/>
    <w:rsid w:val="005B65DB"/>
    <w:rsid w:val="005B69A9"/>
    <w:rsid w:val="005B750B"/>
    <w:rsid w:val="005C5C89"/>
    <w:rsid w:val="005C6BD1"/>
    <w:rsid w:val="005D5018"/>
    <w:rsid w:val="005D61F2"/>
    <w:rsid w:val="005D68DE"/>
    <w:rsid w:val="005D7358"/>
    <w:rsid w:val="005E48CD"/>
    <w:rsid w:val="005E5A3B"/>
    <w:rsid w:val="005F3501"/>
    <w:rsid w:val="005F6158"/>
    <w:rsid w:val="005F7330"/>
    <w:rsid w:val="00602E29"/>
    <w:rsid w:val="00603C48"/>
    <w:rsid w:val="00603FE4"/>
    <w:rsid w:val="00605A72"/>
    <w:rsid w:val="00607F2B"/>
    <w:rsid w:val="006116B9"/>
    <w:rsid w:val="00611979"/>
    <w:rsid w:val="00613B56"/>
    <w:rsid w:val="00613C61"/>
    <w:rsid w:val="006140EA"/>
    <w:rsid w:val="006155AE"/>
    <w:rsid w:val="00633335"/>
    <w:rsid w:val="00637466"/>
    <w:rsid w:val="00637856"/>
    <w:rsid w:val="00642828"/>
    <w:rsid w:val="006430D4"/>
    <w:rsid w:val="00643D2D"/>
    <w:rsid w:val="006442F3"/>
    <w:rsid w:val="00645559"/>
    <w:rsid w:val="00650224"/>
    <w:rsid w:val="006620D1"/>
    <w:rsid w:val="0066649B"/>
    <w:rsid w:val="006714D6"/>
    <w:rsid w:val="00675201"/>
    <w:rsid w:val="0067566B"/>
    <w:rsid w:val="006759D5"/>
    <w:rsid w:val="0068287B"/>
    <w:rsid w:val="006869D3"/>
    <w:rsid w:val="006928CB"/>
    <w:rsid w:val="006931CC"/>
    <w:rsid w:val="0069342C"/>
    <w:rsid w:val="00694718"/>
    <w:rsid w:val="00695419"/>
    <w:rsid w:val="006976A9"/>
    <w:rsid w:val="006A3EAE"/>
    <w:rsid w:val="006A742B"/>
    <w:rsid w:val="006A77F2"/>
    <w:rsid w:val="006B022B"/>
    <w:rsid w:val="006B2BC8"/>
    <w:rsid w:val="006B2F9D"/>
    <w:rsid w:val="006B454A"/>
    <w:rsid w:val="006B4F55"/>
    <w:rsid w:val="006B5716"/>
    <w:rsid w:val="006B58B9"/>
    <w:rsid w:val="006C5045"/>
    <w:rsid w:val="006C72D6"/>
    <w:rsid w:val="006D2F92"/>
    <w:rsid w:val="006D4D03"/>
    <w:rsid w:val="006D560B"/>
    <w:rsid w:val="006E19C8"/>
    <w:rsid w:val="006E5FF7"/>
    <w:rsid w:val="006E649B"/>
    <w:rsid w:val="006E6BEB"/>
    <w:rsid w:val="006F18DC"/>
    <w:rsid w:val="006F2A4F"/>
    <w:rsid w:val="006F53D5"/>
    <w:rsid w:val="006F6951"/>
    <w:rsid w:val="007025B8"/>
    <w:rsid w:val="0070305E"/>
    <w:rsid w:val="0070319D"/>
    <w:rsid w:val="00703A88"/>
    <w:rsid w:val="007064D8"/>
    <w:rsid w:val="007064DE"/>
    <w:rsid w:val="00707937"/>
    <w:rsid w:val="007100C8"/>
    <w:rsid w:val="00710873"/>
    <w:rsid w:val="00712592"/>
    <w:rsid w:val="00713C5E"/>
    <w:rsid w:val="00715272"/>
    <w:rsid w:val="00715AB6"/>
    <w:rsid w:val="007163F5"/>
    <w:rsid w:val="0072499B"/>
    <w:rsid w:val="007250C9"/>
    <w:rsid w:val="00732427"/>
    <w:rsid w:val="00732A4B"/>
    <w:rsid w:val="00733C1D"/>
    <w:rsid w:val="00733E40"/>
    <w:rsid w:val="00742A8D"/>
    <w:rsid w:val="00744264"/>
    <w:rsid w:val="007505FB"/>
    <w:rsid w:val="007509A0"/>
    <w:rsid w:val="00756E25"/>
    <w:rsid w:val="00757365"/>
    <w:rsid w:val="0076029D"/>
    <w:rsid w:val="00760D00"/>
    <w:rsid w:val="00760E98"/>
    <w:rsid w:val="007628B5"/>
    <w:rsid w:val="00762CD7"/>
    <w:rsid w:val="00764B0F"/>
    <w:rsid w:val="00766476"/>
    <w:rsid w:val="0077131A"/>
    <w:rsid w:val="00771553"/>
    <w:rsid w:val="00773126"/>
    <w:rsid w:val="00773FDD"/>
    <w:rsid w:val="0077444F"/>
    <w:rsid w:val="007761C9"/>
    <w:rsid w:val="0077631B"/>
    <w:rsid w:val="00777CDD"/>
    <w:rsid w:val="00782A64"/>
    <w:rsid w:val="007842E6"/>
    <w:rsid w:val="0078548C"/>
    <w:rsid w:val="00793892"/>
    <w:rsid w:val="00794ED4"/>
    <w:rsid w:val="007965B1"/>
    <w:rsid w:val="00797FEF"/>
    <w:rsid w:val="007A05C8"/>
    <w:rsid w:val="007B257D"/>
    <w:rsid w:val="007B2F4F"/>
    <w:rsid w:val="007B4373"/>
    <w:rsid w:val="007B756F"/>
    <w:rsid w:val="007B7E1C"/>
    <w:rsid w:val="007C5122"/>
    <w:rsid w:val="007D03BC"/>
    <w:rsid w:val="007D0FEF"/>
    <w:rsid w:val="007D1C19"/>
    <w:rsid w:val="007D22F5"/>
    <w:rsid w:val="007D354B"/>
    <w:rsid w:val="007D7541"/>
    <w:rsid w:val="007D79C4"/>
    <w:rsid w:val="007E2AC1"/>
    <w:rsid w:val="007E50D1"/>
    <w:rsid w:val="007E6197"/>
    <w:rsid w:val="007E6834"/>
    <w:rsid w:val="007E745A"/>
    <w:rsid w:val="007F2A93"/>
    <w:rsid w:val="0080133D"/>
    <w:rsid w:val="008014A1"/>
    <w:rsid w:val="00801B1B"/>
    <w:rsid w:val="00802900"/>
    <w:rsid w:val="00805EF7"/>
    <w:rsid w:val="0080627C"/>
    <w:rsid w:val="008142DA"/>
    <w:rsid w:val="008162A8"/>
    <w:rsid w:val="00821551"/>
    <w:rsid w:val="00821AD0"/>
    <w:rsid w:val="00822FEF"/>
    <w:rsid w:val="00823B7D"/>
    <w:rsid w:val="008246B8"/>
    <w:rsid w:val="00826766"/>
    <w:rsid w:val="008270AA"/>
    <w:rsid w:val="008326DB"/>
    <w:rsid w:val="0083492B"/>
    <w:rsid w:val="008349AA"/>
    <w:rsid w:val="00844E45"/>
    <w:rsid w:val="00844F91"/>
    <w:rsid w:val="0085083A"/>
    <w:rsid w:val="00851E49"/>
    <w:rsid w:val="00853E53"/>
    <w:rsid w:val="0085452E"/>
    <w:rsid w:val="00860B59"/>
    <w:rsid w:val="0086270A"/>
    <w:rsid w:val="00862B38"/>
    <w:rsid w:val="00866B7D"/>
    <w:rsid w:val="008714C1"/>
    <w:rsid w:val="00871F4E"/>
    <w:rsid w:val="00874FEB"/>
    <w:rsid w:val="00877003"/>
    <w:rsid w:val="00877968"/>
    <w:rsid w:val="0088284A"/>
    <w:rsid w:val="00885D3E"/>
    <w:rsid w:val="00887F45"/>
    <w:rsid w:val="0089043E"/>
    <w:rsid w:val="00891B9E"/>
    <w:rsid w:val="00894455"/>
    <w:rsid w:val="00895323"/>
    <w:rsid w:val="008965DF"/>
    <w:rsid w:val="008970C4"/>
    <w:rsid w:val="008A024C"/>
    <w:rsid w:val="008A268E"/>
    <w:rsid w:val="008B2313"/>
    <w:rsid w:val="008B24A6"/>
    <w:rsid w:val="008B25F8"/>
    <w:rsid w:val="008B547A"/>
    <w:rsid w:val="008B6E73"/>
    <w:rsid w:val="008B701E"/>
    <w:rsid w:val="008B7278"/>
    <w:rsid w:val="008B7B64"/>
    <w:rsid w:val="008C1517"/>
    <w:rsid w:val="008C2474"/>
    <w:rsid w:val="008C2D6A"/>
    <w:rsid w:val="008C46C9"/>
    <w:rsid w:val="008C5A1D"/>
    <w:rsid w:val="008C6BB3"/>
    <w:rsid w:val="008D2E36"/>
    <w:rsid w:val="008D47F0"/>
    <w:rsid w:val="008D490A"/>
    <w:rsid w:val="008D5E2E"/>
    <w:rsid w:val="008E3303"/>
    <w:rsid w:val="008E3353"/>
    <w:rsid w:val="008E4E93"/>
    <w:rsid w:val="008E5A21"/>
    <w:rsid w:val="008F1AA4"/>
    <w:rsid w:val="008F3489"/>
    <w:rsid w:val="008F4A0A"/>
    <w:rsid w:val="008F6D58"/>
    <w:rsid w:val="008F7755"/>
    <w:rsid w:val="00900740"/>
    <w:rsid w:val="0090114E"/>
    <w:rsid w:val="00901749"/>
    <w:rsid w:val="00903072"/>
    <w:rsid w:val="009104A1"/>
    <w:rsid w:val="00910DF8"/>
    <w:rsid w:val="0091256F"/>
    <w:rsid w:val="00920871"/>
    <w:rsid w:val="00923D5A"/>
    <w:rsid w:val="00926C28"/>
    <w:rsid w:val="00930889"/>
    <w:rsid w:val="009315A8"/>
    <w:rsid w:val="009347CF"/>
    <w:rsid w:val="009412C4"/>
    <w:rsid w:val="00942E14"/>
    <w:rsid w:val="009440BF"/>
    <w:rsid w:val="009456D6"/>
    <w:rsid w:val="00950E91"/>
    <w:rsid w:val="0095138C"/>
    <w:rsid w:val="009535ED"/>
    <w:rsid w:val="009538A0"/>
    <w:rsid w:val="00954A7D"/>
    <w:rsid w:val="00954C22"/>
    <w:rsid w:val="00960097"/>
    <w:rsid w:val="00961168"/>
    <w:rsid w:val="00962EA5"/>
    <w:rsid w:val="0096673E"/>
    <w:rsid w:val="009676D2"/>
    <w:rsid w:val="0097085B"/>
    <w:rsid w:val="0097485C"/>
    <w:rsid w:val="00977DC2"/>
    <w:rsid w:val="0098038A"/>
    <w:rsid w:val="009861B1"/>
    <w:rsid w:val="00986649"/>
    <w:rsid w:val="00986811"/>
    <w:rsid w:val="009914BF"/>
    <w:rsid w:val="00994EA2"/>
    <w:rsid w:val="009970E2"/>
    <w:rsid w:val="009971DC"/>
    <w:rsid w:val="009A23B1"/>
    <w:rsid w:val="009A2843"/>
    <w:rsid w:val="009A28C2"/>
    <w:rsid w:val="009A37BC"/>
    <w:rsid w:val="009A6C55"/>
    <w:rsid w:val="009A75FF"/>
    <w:rsid w:val="009A77DA"/>
    <w:rsid w:val="009B02C7"/>
    <w:rsid w:val="009B17F0"/>
    <w:rsid w:val="009B56D7"/>
    <w:rsid w:val="009C1108"/>
    <w:rsid w:val="009D1350"/>
    <w:rsid w:val="009D6D72"/>
    <w:rsid w:val="009E166A"/>
    <w:rsid w:val="009E1AC6"/>
    <w:rsid w:val="009E3A74"/>
    <w:rsid w:val="009E55BD"/>
    <w:rsid w:val="009E5945"/>
    <w:rsid w:val="009E6082"/>
    <w:rsid w:val="009E66CF"/>
    <w:rsid w:val="009E724B"/>
    <w:rsid w:val="009E7798"/>
    <w:rsid w:val="009E7C72"/>
    <w:rsid w:val="009F35E7"/>
    <w:rsid w:val="009F364C"/>
    <w:rsid w:val="009F5A85"/>
    <w:rsid w:val="009F659C"/>
    <w:rsid w:val="00A00B06"/>
    <w:rsid w:val="00A02D4E"/>
    <w:rsid w:val="00A07DFE"/>
    <w:rsid w:val="00A10981"/>
    <w:rsid w:val="00A11658"/>
    <w:rsid w:val="00A1240D"/>
    <w:rsid w:val="00A145CF"/>
    <w:rsid w:val="00A22051"/>
    <w:rsid w:val="00A22725"/>
    <w:rsid w:val="00A26824"/>
    <w:rsid w:val="00A31868"/>
    <w:rsid w:val="00A338F7"/>
    <w:rsid w:val="00A378E0"/>
    <w:rsid w:val="00A37CF9"/>
    <w:rsid w:val="00A40BF7"/>
    <w:rsid w:val="00A41244"/>
    <w:rsid w:val="00A417CA"/>
    <w:rsid w:val="00A43271"/>
    <w:rsid w:val="00A432E9"/>
    <w:rsid w:val="00A43CD6"/>
    <w:rsid w:val="00A45537"/>
    <w:rsid w:val="00A47CCA"/>
    <w:rsid w:val="00A47DEB"/>
    <w:rsid w:val="00A50CA1"/>
    <w:rsid w:val="00A50D54"/>
    <w:rsid w:val="00A5374F"/>
    <w:rsid w:val="00A548E3"/>
    <w:rsid w:val="00A70AC3"/>
    <w:rsid w:val="00A71930"/>
    <w:rsid w:val="00A75A20"/>
    <w:rsid w:val="00A76C5C"/>
    <w:rsid w:val="00A77BD5"/>
    <w:rsid w:val="00A84878"/>
    <w:rsid w:val="00A87BAA"/>
    <w:rsid w:val="00A87C62"/>
    <w:rsid w:val="00A97256"/>
    <w:rsid w:val="00AA34ED"/>
    <w:rsid w:val="00AA3A37"/>
    <w:rsid w:val="00AA4809"/>
    <w:rsid w:val="00AB39EE"/>
    <w:rsid w:val="00AB70A8"/>
    <w:rsid w:val="00AB7D3D"/>
    <w:rsid w:val="00AC3E49"/>
    <w:rsid w:val="00AD2768"/>
    <w:rsid w:val="00AD4D3E"/>
    <w:rsid w:val="00AE0B90"/>
    <w:rsid w:val="00AE3BFB"/>
    <w:rsid w:val="00AE4D11"/>
    <w:rsid w:val="00AE5181"/>
    <w:rsid w:val="00AE5832"/>
    <w:rsid w:val="00AE78F5"/>
    <w:rsid w:val="00AF10DE"/>
    <w:rsid w:val="00AF14D0"/>
    <w:rsid w:val="00AF17B1"/>
    <w:rsid w:val="00AF449A"/>
    <w:rsid w:val="00AF79E3"/>
    <w:rsid w:val="00B01031"/>
    <w:rsid w:val="00B0408E"/>
    <w:rsid w:val="00B04563"/>
    <w:rsid w:val="00B05426"/>
    <w:rsid w:val="00B05CC3"/>
    <w:rsid w:val="00B10FD6"/>
    <w:rsid w:val="00B12451"/>
    <w:rsid w:val="00B12EA4"/>
    <w:rsid w:val="00B15CF8"/>
    <w:rsid w:val="00B16378"/>
    <w:rsid w:val="00B16B19"/>
    <w:rsid w:val="00B17056"/>
    <w:rsid w:val="00B20FE3"/>
    <w:rsid w:val="00B2208B"/>
    <w:rsid w:val="00B241A8"/>
    <w:rsid w:val="00B31532"/>
    <w:rsid w:val="00B33A97"/>
    <w:rsid w:val="00B34F68"/>
    <w:rsid w:val="00B35380"/>
    <w:rsid w:val="00B362D7"/>
    <w:rsid w:val="00B4018B"/>
    <w:rsid w:val="00B40369"/>
    <w:rsid w:val="00B45797"/>
    <w:rsid w:val="00B4768F"/>
    <w:rsid w:val="00B47F72"/>
    <w:rsid w:val="00B5035B"/>
    <w:rsid w:val="00B51406"/>
    <w:rsid w:val="00B5513C"/>
    <w:rsid w:val="00B55DDB"/>
    <w:rsid w:val="00B561AF"/>
    <w:rsid w:val="00B57A18"/>
    <w:rsid w:val="00B617D5"/>
    <w:rsid w:val="00B61FC2"/>
    <w:rsid w:val="00B62576"/>
    <w:rsid w:val="00B62EFA"/>
    <w:rsid w:val="00B65275"/>
    <w:rsid w:val="00B65598"/>
    <w:rsid w:val="00B6734D"/>
    <w:rsid w:val="00B67472"/>
    <w:rsid w:val="00B76F8C"/>
    <w:rsid w:val="00B8510E"/>
    <w:rsid w:val="00B85B25"/>
    <w:rsid w:val="00B87E60"/>
    <w:rsid w:val="00B92004"/>
    <w:rsid w:val="00B926B3"/>
    <w:rsid w:val="00B9503B"/>
    <w:rsid w:val="00B9689C"/>
    <w:rsid w:val="00BA0B5D"/>
    <w:rsid w:val="00BA0E22"/>
    <w:rsid w:val="00BA27FF"/>
    <w:rsid w:val="00BA3DC6"/>
    <w:rsid w:val="00BA4A48"/>
    <w:rsid w:val="00BA79B9"/>
    <w:rsid w:val="00BA7CF0"/>
    <w:rsid w:val="00BA7FAB"/>
    <w:rsid w:val="00BB24E4"/>
    <w:rsid w:val="00BC0B39"/>
    <w:rsid w:val="00BC108E"/>
    <w:rsid w:val="00BC1952"/>
    <w:rsid w:val="00BC4FEA"/>
    <w:rsid w:val="00BD02A8"/>
    <w:rsid w:val="00BD28BD"/>
    <w:rsid w:val="00BD2AE9"/>
    <w:rsid w:val="00BD4A8D"/>
    <w:rsid w:val="00BD52E5"/>
    <w:rsid w:val="00BD62A4"/>
    <w:rsid w:val="00BD75FB"/>
    <w:rsid w:val="00BE2D33"/>
    <w:rsid w:val="00BE4697"/>
    <w:rsid w:val="00BE61BB"/>
    <w:rsid w:val="00BF33D0"/>
    <w:rsid w:val="00BF4F7B"/>
    <w:rsid w:val="00BF5BE0"/>
    <w:rsid w:val="00C013E6"/>
    <w:rsid w:val="00C025EB"/>
    <w:rsid w:val="00C05583"/>
    <w:rsid w:val="00C07866"/>
    <w:rsid w:val="00C17189"/>
    <w:rsid w:val="00C20218"/>
    <w:rsid w:val="00C24FEB"/>
    <w:rsid w:val="00C25592"/>
    <w:rsid w:val="00C277D0"/>
    <w:rsid w:val="00C314C3"/>
    <w:rsid w:val="00C31C38"/>
    <w:rsid w:val="00C31E0B"/>
    <w:rsid w:val="00C35BDA"/>
    <w:rsid w:val="00C372B5"/>
    <w:rsid w:val="00C43FB3"/>
    <w:rsid w:val="00C45AB9"/>
    <w:rsid w:val="00C46CC3"/>
    <w:rsid w:val="00C47244"/>
    <w:rsid w:val="00C4777B"/>
    <w:rsid w:val="00C50A72"/>
    <w:rsid w:val="00C50C3C"/>
    <w:rsid w:val="00C50EAE"/>
    <w:rsid w:val="00C53FA8"/>
    <w:rsid w:val="00C546D6"/>
    <w:rsid w:val="00C54AD6"/>
    <w:rsid w:val="00C651D0"/>
    <w:rsid w:val="00C73623"/>
    <w:rsid w:val="00C87850"/>
    <w:rsid w:val="00C9100A"/>
    <w:rsid w:val="00CA192B"/>
    <w:rsid w:val="00CA1A5E"/>
    <w:rsid w:val="00CA22F6"/>
    <w:rsid w:val="00CA31A0"/>
    <w:rsid w:val="00CA508A"/>
    <w:rsid w:val="00CB2B9A"/>
    <w:rsid w:val="00CC0EEE"/>
    <w:rsid w:val="00CC1984"/>
    <w:rsid w:val="00CC26FF"/>
    <w:rsid w:val="00CC6626"/>
    <w:rsid w:val="00CD00CD"/>
    <w:rsid w:val="00CD2147"/>
    <w:rsid w:val="00CD3EB4"/>
    <w:rsid w:val="00CD58D8"/>
    <w:rsid w:val="00CD5901"/>
    <w:rsid w:val="00CD7642"/>
    <w:rsid w:val="00CE1153"/>
    <w:rsid w:val="00CE16EE"/>
    <w:rsid w:val="00CE1C74"/>
    <w:rsid w:val="00CE2077"/>
    <w:rsid w:val="00CE4B94"/>
    <w:rsid w:val="00CE54D8"/>
    <w:rsid w:val="00CE7486"/>
    <w:rsid w:val="00CF14B3"/>
    <w:rsid w:val="00CF1837"/>
    <w:rsid w:val="00CF2FE6"/>
    <w:rsid w:val="00CF3456"/>
    <w:rsid w:val="00CF3D47"/>
    <w:rsid w:val="00CF4BC1"/>
    <w:rsid w:val="00D00F5B"/>
    <w:rsid w:val="00D021D2"/>
    <w:rsid w:val="00D02D9B"/>
    <w:rsid w:val="00D054DE"/>
    <w:rsid w:val="00D12249"/>
    <w:rsid w:val="00D20E0E"/>
    <w:rsid w:val="00D23F83"/>
    <w:rsid w:val="00D24E1A"/>
    <w:rsid w:val="00D36B01"/>
    <w:rsid w:val="00D37A71"/>
    <w:rsid w:val="00D43EAA"/>
    <w:rsid w:val="00D44A4A"/>
    <w:rsid w:val="00D4510D"/>
    <w:rsid w:val="00D50870"/>
    <w:rsid w:val="00D5157A"/>
    <w:rsid w:val="00D51A50"/>
    <w:rsid w:val="00D522A7"/>
    <w:rsid w:val="00D52856"/>
    <w:rsid w:val="00D60D6E"/>
    <w:rsid w:val="00D60DA4"/>
    <w:rsid w:val="00D61A4E"/>
    <w:rsid w:val="00D61BAF"/>
    <w:rsid w:val="00D6227D"/>
    <w:rsid w:val="00D62A5D"/>
    <w:rsid w:val="00D62D08"/>
    <w:rsid w:val="00D7288F"/>
    <w:rsid w:val="00D7679B"/>
    <w:rsid w:val="00D76DA3"/>
    <w:rsid w:val="00D77735"/>
    <w:rsid w:val="00D84FD0"/>
    <w:rsid w:val="00D85064"/>
    <w:rsid w:val="00D86878"/>
    <w:rsid w:val="00D86F2E"/>
    <w:rsid w:val="00D87CD0"/>
    <w:rsid w:val="00D93990"/>
    <w:rsid w:val="00D95C66"/>
    <w:rsid w:val="00D973EB"/>
    <w:rsid w:val="00DA1448"/>
    <w:rsid w:val="00DA5362"/>
    <w:rsid w:val="00DB6542"/>
    <w:rsid w:val="00DB6E4C"/>
    <w:rsid w:val="00DB7C3C"/>
    <w:rsid w:val="00DC2214"/>
    <w:rsid w:val="00DC2236"/>
    <w:rsid w:val="00DC2703"/>
    <w:rsid w:val="00DC738B"/>
    <w:rsid w:val="00DD36B9"/>
    <w:rsid w:val="00DE10A7"/>
    <w:rsid w:val="00DE2789"/>
    <w:rsid w:val="00DE5479"/>
    <w:rsid w:val="00DE5DAA"/>
    <w:rsid w:val="00DE6B55"/>
    <w:rsid w:val="00DF647F"/>
    <w:rsid w:val="00DF7D86"/>
    <w:rsid w:val="00DF7F63"/>
    <w:rsid w:val="00E00B87"/>
    <w:rsid w:val="00E05E49"/>
    <w:rsid w:val="00E07B91"/>
    <w:rsid w:val="00E13344"/>
    <w:rsid w:val="00E14371"/>
    <w:rsid w:val="00E16F4C"/>
    <w:rsid w:val="00E17F74"/>
    <w:rsid w:val="00E271CF"/>
    <w:rsid w:val="00E4006E"/>
    <w:rsid w:val="00E426A7"/>
    <w:rsid w:val="00E434BC"/>
    <w:rsid w:val="00E50454"/>
    <w:rsid w:val="00E50CE1"/>
    <w:rsid w:val="00E50D55"/>
    <w:rsid w:val="00E52619"/>
    <w:rsid w:val="00E531EE"/>
    <w:rsid w:val="00E542CD"/>
    <w:rsid w:val="00E5574B"/>
    <w:rsid w:val="00E5593E"/>
    <w:rsid w:val="00E5635A"/>
    <w:rsid w:val="00E60768"/>
    <w:rsid w:val="00E638A7"/>
    <w:rsid w:val="00E66666"/>
    <w:rsid w:val="00E7043B"/>
    <w:rsid w:val="00E766C9"/>
    <w:rsid w:val="00E80BA4"/>
    <w:rsid w:val="00E83CA5"/>
    <w:rsid w:val="00E84C3D"/>
    <w:rsid w:val="00E87D3D"/>
    <w:rsid w:val="00E930F8"/>
    <w:rsid w:val="00E94262"/>
    <w:rsid w:val="00E94443"/>
    <w:rsid w:val="00E9522A"/>
    <w:rsid w:val="00E97D41"/>
    <w:rsid w:val="00EA01DA"/>
    <w:rsid w:val="00EA18C4"/>
    <w:rsid w:val="00EA3579"/>
    <w:rsid w:val="00EA3A79"/>
    <w:rsid w:val="00EA77C7"/>
    <w:rsid w:val="00EB23D7"/>
    <w:rsid w:val="00EB2D33"/>
    <w:rsid w:val="00EB3484"/>
    <w:rsid w:val="00EB5319"/>
    <w:rsid w:val="00EC4423"/>
    <w:rsid w:val="00EC4CEC"/>
    <w:rsid w:val="00EC7D5C"/>
    <w:rsid w:val="00ED7F90"/>
    <w:rsid w:val="00EE30A9"/>
    <w:rsid w:val="00EE4B11"/>
    <w:rsid w:val="00EE5460"/>
    <w:rsid w:val="00EE6C45"/>
    <w:rsid w:val="00EF2799"/>
    <w:rsid w:val="00F00784"/>
    <w:rsid w:val="00F00CBF"/>
    <w:rsid w:val="00F0476A"/>
    <w:rsid w:val="00F076DF"/>
    <w:rsid w:val="00F119F0"/>
    <w:rsid w:val="00F15FEC"/>
    <w:rsid w:val="00F169E1"/>
    <w:rsid w:val="00F17F1C"/>
    <w:rsid w:val="00F2354F"/>
    <w:rsid w:val="00F248D5"/>
    <w:rsid w:val="00F253D5"/>
    <w:rsid w:val="00F25FE5"/>
    <w:rsid w:val="00F31FC6"/>
    <w:rsid w:val="00F33981"/>
    <w:rsid w:val="00F34DBA"/>
    <w:rsid w:val="00F37A62"/>
    <w:rsid w:val="00F41AC8"/>
    <w:rsid w:val="00F477AC"/>
    <w:rsid w:val="00F51587"/>
    <w:rsid w:val="00F525B3"/>
    <w:rsid w:val="00F52F26"/>
    <w:rsid w:val="00F53669"/>
    <w:rsid w:val="00F57138"/>
    <w:rsid w:val="00F608A6"/>
    <w:rsid w:val="00F60EAC"/>
    <w:rsid w:val="00F65C51"/>
    <w:rsid w:val="00F66656"/>
    <w:rsid w:val="00F75150"/>
    <w:rsid w:val="00F75B49"/>
    <w:rsid w:val="00F769AE"/>
    <w:rsid w:val="00F80750"/>
    <w:rsid w:val="00F8237D"/>
    <w:rsid w:val="00F82809"/>
    <w:rsid w:val="00F91378"/>
    <w:rsid w:val="00F91857"/>
    <w:rsid w:val="00F91B1D"/>
    <w:rsid w:val="00F9450C"/>
    <w:rsid w:val="00F94721"/>
    <w:rsid w:val="00FA13E1"/>
    <w:rsid w:val="00FA1532"/>
    <w:rsid w:val="00FB2E6B"/>
    <w:rsid w:val="00FB4D4E"/>
    <w:rsid w:val="00FB6A51"/>
    <w:rsid w:val="00FC0531"/>
    <w:rsid w:val="00FC6E48"/>
    <w:rsid w:val="00FD6179"/>
    <w:rsid w:val="00FE1B6F"/>
    <w:rsid w:val="00FE2BD2"/>
    <w:rsid w:val="00FE4E67"/>
    <w:rsid w:val="00FE5562"/>
    <w:rsid w:val="00FE7780"/>
    <w:rsid w:val="00FE7A0A"/>
    <w:rsid w:val="00FF40BD"/>
    <w:rsid w:val="00FF5064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E1D6F4"/>
  <w15:docId w15:val="{B0BD1501-3802-4BEE-B3E4-903351449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303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A1532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12592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1259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12592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F8237D"/>
    <w:pPr>
      <w:spacing w:after="160"/>
    </w:pPr>
    <w:rPr>
      <w:rFonts w:asciiTheme="minorHAnsi" w:eastAsia="MS Mincho" w:hAnsiTheme="minorHAnsi" w:cstheme="minorBidi"/>
      <w:sz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F8237D"/>
    <w:rPr>
      <w:rFonts w:asciiTheme="minorHAnsi" w:eastAsia="MS Mincho" w:hAnsiTheme="minorHAnsi" w:cstheme="minorBidi"/>
      <w:sz w:val="20"/>
      <w:szCs w:val="20"/>
      <w:lang w:val="en-US"/>
    </w:rPr>
  </w:style>
  <w:style w:type="paragraph" w:customStyle="1" w:styleId="footnotedescription">
    <w:name w:val="footnote description"/>
    <w:next w:val="Normal"/>
    <w:link w:val="footnotedescriptionChar"/>
    <w:hidden/>
    <w:rsid w:val="00D054DE"/>
    <w:pPr>
      <w:spacing w:line="259" w:lineRule="auto"/>
      <w:ind w:left="33"/>
    </w:pPr>
    <w:rPr>
      <w:color w:val="000000"/>
      <w:kern w:val="2"/>
      <w:sz w:val="22"/>
      <w:lang w:val="en-US"/>
      <w14:ligatures w14:val="standardContextual"/>
    </w:rPr>
  </w:style>
  <w:style w:type="character" w:customStyle="1" w:styleId="footnotedescriptionChar">
    <w:name w:val="footnote description Char"/>
    <w:link w:val="footnotedescription"/>
    <w:rsid w:val="00D054DE"/>
    <w:rPr>
      <w:color w:val="000000"/>
      <w:kern w:val="2"/>
      <w:sz w:val="22"/>
      <w:lang w:val="en-US"/>
      <w14:ligatures w14:val="standardContextual"/>
    </w:rPr>
  </w:style>
  <w:style w:type="character" w:customStyle="1" w:styleId="footnotemark">
    <w:name w:val="footnote mark"/>
    <w:hidden/>
    <w:rsid w:val="00D054DE"/>
    <w:rPr>
      <w:rFonts w:ascii="Times New Roman" w:eastAsia="Times New Roman" w:hAnsi="Times New Roman" w:cs="Times New Roman"/>
      <w:color w:val="000000"/>
      <w:sz w:val="16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09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6162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211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26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6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706432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5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5315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9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7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927188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67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34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3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770586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18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652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6A1827-AC6E-4689-A048-AD2A8E693742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4.xml><?xml version="1.0" encoding="utf-8"?>
<ds:datastoreItem xmlns:ds="http://schemas.openxmlformats.org/officeDocument/2006/customXml" ds:itemID="{B936FBEB-8AE2-4610-9346-D6911DE544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1074</Words>
  <Characters>6125</Characters>
  <Application>Microsoft Office Word</Application>
  <DocSecurity>4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2025-02-26T14:29:00Z</cp:lastPrinted>
  <dcterms:created xsi:type="dcterms:W3CDTF">2026-06-15T14:17:00Z</dcterms:created>
  <dcterms:modified xsi:type="dcterms:W3CDTF">2026-06-15T14:17:00Z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