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6F25B" w14:textId="77777777" w:rsidR="00B70178" w:rsidRPr="00A55DD6" w:rsidRDefault="00B70178" w:rsidP="00B70178">
      <w:pPr>
        <w:tabs>
          <w:tab w:val="center" w:pos="4680"/>
        </w:tabs>
        <w:jc w:val="center"/>
        <w:rPr>
          <w:rFonts w:ascii="Book Antiqua" w:eastAsia="Book Antiqua" w:hAnsi="Book Antiqua" w:cs="Book Antiqua"/>
          <w:sz w:val="28"/>
          <w:szCs w:val="28"/>
        </w:rPr>
      </w:pPr>
      <w:r w:rsidRPr="00A55DD6">
        <w:rPr>
          <w:rFonts w:ascii="Book Antiqua" w:eastAsia="Book Antiqua" w:hAnsi="Book Antiqua" w:cs="Book Antiqua"/>
          <w:sz w:val="28"/>
          <w:szCs w:val="28"/>
        </w:rPr>
        <w:t>GOBIERNO DE PUERTO RICO</w:t>
      </w:r>
    </w:p>
    <w:p w14:paraId="7DDC5270" w14:textId="53F43321" w:rsidR="00B70178" w:rsidRPr="00A55DD6" w:rsidRDefault="00B70178" w:rsidP="00B70178">
      <w:pPr>
        <w:tabs>
          <w:tab w:val="left" w:pos="720"/>
          <w:tab w:val="left" w:pos="7560"/>
          <w:tab w:val="left" w:pos="8100"/>
        </w:tabs>
        <w:rPr>
          <w:rFonts w:ascii="Book Antiqua" w:eastAsia="Book Antiqua" w:hAnsi="Book Antiqua" w:cs="Book Antiqua"/>
        </w:rPr>
      </w:pPr>
      <w:r w:rsidRPr="00A55DD6">
        <w:rPr>
          <w:rFonts w:ascii="Book Antiqua" w:eastAsia="Book Antiqua" w:hAnsi="Book Antiqua" w:cs="Book Antiqua"/>
        </w:rPr>
        <w:t>20</w:t>
      </w:r>
      <w:r w:rsidRPr="00A55DD6">
        <w:rPr>
          <w:rFonts w:ascii="Book Antiqua" w:eastAsia="Book Antiqua" w:hAnsi="Book Antiqua" w:cs="Book Antiqua"/>
          <w:vertAlign w:val="superscript"/>
        </w:rPr>
        <w:t>ma</w:t>
      </w:r>
      <w:r w:rsidRPr="00A55DD6">
        <w:rPr>
          <w:rFonts w:ascii="Book Antiqua" w:eastAsia="Book Antiqua" w:hAnsi="Book Antiqua" w:cs="Book Antiqua"/>
        </w:rPr>
        <w:t xml:space="preserve"> </w:t>
      </w:r>
      <w:r w:rsidRPr="00A55DD6">
        <w:rPr>
          <w:rFonts w:ascii="Book Antiqua" w:eastAsia="Book Antiqua" w:hAnsi="Book Antiqua" w:cs="Book Antiqua"/>
        </w:rPr>
        <w:tab/>
        <w:t>Asamblea</w:t>
      </w:r>
      <w:r w:rsidRPr="00A55DD6">
        <w:rPr>
          <w:rFonts w:ascii="Book Antiqua" w:eastAsia="Book Antiqua" w:hAnsi="Book Antiqua" w:cs="Book Antiqua"/>
        </w:rPr>
        <w:tab/>
      </w:r>
      <w:r w:rsidR="00D63ED8">
        <w:rPr>
          <w:rFonts w:ascii="Book Antiqua" w:eastAsia="Book Antiqua" w:hAnsi="Book Antiqua" w:cs="Book Antiqua"/>
        </w:rPr>
        <w:t>3</w:t>
      </w:r>
      <w:r w:rsidR="00D63ED8">
        <w:rPr>
          <w:rFonts w:ascii="Book Antiqua" w:eastAsia="Book Antiqua" w:hAnsi="Book Antiqua" w:cs="Book Antiqua"/>
          <w:vertAlign w:val="superscript"/>
        </w:rPr>
        <w:t>r</w:t>
      </w:r>
      <w:r w:rsidRPr="00A55DD6">
        <w:rPr>
          <w:rFonts w:ascii="Book Antiqua" w:eastAsia="Book Antiqua" w:hAnsi="Book Antiqua" w:cs="Book Antiqua"/>
          <w:vertAlign w:val="superscript"/>
        </w:rPr>
        <w:t>a</w:t>
      </w:r>
      <w:r w:rsidRPr="00A55DD6">
        <w:rPr>
          <w:rFonts w:ascii="Book Antiqua" w:eastAsia="Book Antiqua" w:hAnsi="Book Antiqua" w:cs="Book Antiqua"/>
        </w:rPr>
        <w:t xml:space="preserve"> </w:t>
      </w:r>
      <w:r w:rsidRPr="00A55DD6">
        <w:rPr>
          <w:rFonts w:ascii="Book Antiqua" w:eastAsia="Book Antiqua" w:hAnsi="Book Antiqua" w:cs="Book Antiqua"/>
        </w:rPr>
        <w:tab/>
        <w:t>Sesión</w:t>
      </w:r>
    </w:p>
    <w:p w14:paraId="08539A89" w14:textId="77777777" w:rsidR="00B70178" w:rsidRPr="00A55DD6" w:rsidRDefault="00B70178" w:rsidP="00B70178">
      <w:pPr>
        <w:tabs>
          <w:tab w:val="left" w:pos="720"/>
          <w:tab w:val="left" w:pos="4215"/>
          <w:tab w:val="left" w:pos="5160"/>
          <w:tab w:val="left" w:pos="8100"/>
        </w:tabs>
        <w:rPr>
          <w:rFonts w:ascii="Book Antiqua" w:eastAsia="Book Antiqua" w:hAnsi="Book Antiqua" w:cs="Book Antiqua"/>
        </w:rPr>
      </w:pPr>
      <w:r w:rsidRPr="00A55DD6">
        <w:rPr>
          <w:rFonts w:ascii="Book Antiqua" w:eastAsia="Book Antiqua" w:hAnsi="Book Antiqua" w:cs="Book Antiqua"/>
        </w:rPr>
        <w:tab/>
        <w:t>Legislativa</w:t>
      </w:r>
      <w:r w:rsidRPr="00A55DD6">
        <w:rPr>
          <w:rFonts w:ascii="Book Antiqua" w:eastAsia="Book Antiqua" w:hAnsi="Book Antiqua" w:cs="Book Antiqua"/>
        </w:rPr>
        <w:tab/>
      </w:r>
      <w:r w:rsidRPr="00A55DD6">
        <w:rPr>
          <w:rFonts w:ascii="Book Antiqua" w:eastAsia="Book Antiqua" w:hAnsi="Book Antiqua" w:cs="Book Antiqua"/>
        </w:rPr>
        <w:tab/>
      </w:r>
      <w:r w:rsidRPr="00A55DD6">
        <w:rPr>
          <w:rFonts w:ascii="Book Antiqua" w:eastAsia="Book Antiqua" w:hAnsi="Book Antiqua" w:cs="Book Antiqua"/>
        </w:rPr>
        <w:tab/>
        <w:t>Ordinaria</w:t>
      </w:r>
    </w:p>
    <w:p w14:paraId="0A5C3963" w14:textId="77777777" w:rsidR="00B70178" w:rsidRPr="00A55DD6" w:rsidRDefault="00B70178" w:rsidP="00B70178">
      <w:pPr>
        <w:spacing w:line="360" w:lineRule="auto"/>
        <w:jc w:val="center"/>
        <w:rPr>
          <w:rFonts w:ascii="Book Antiqua" w:eastAsia="Book Antiqua" w:hAnsi="Book Antiqua" w:cs="Book Antiqua"/>
          <w:b/>
          <w:sz w:val="36"/>
          <w:szCs w:val="36"/>
        </w:rPr>
      </w:pPr>
    </w:p>
    <w:p w14:paraId="0F12469C" w14:textId="77777777" w:rsidR="00B70178" w:rsidRPr="00A55DD6" w:rsidRDefault="00B70178" w:rsidP="00B70178">
      <w:pPr>
        <w:spacing w:line="360" w:lineRule="auto"/>
        <w:jc w:val="center"/>
        <w:rPr>
          <w:rFonts w:ascii="Book Antiqua" w:eastAsia="Book Antiqua" w:hAnsi="Book Antiqua" w:cs="Book Antiqua"/>
          <w:b/>
          <w:sz w:val="36"/>
          <w:szCs w:val="36"/>
        </w:rPr>
      </w:pPr>
      <w:r w:rsidRPr="00A55DD6">
        <w:rPr>
          <w:rFonts w:ascii="Book Antiqua" w:eastAsia="Book Antiqua" w:hAnsi="Book Antiqua" w:cs="Book Antiqua"/>
          <w:b/>
          <w:sz w:val="36"/>
          <w:szCs w:val="36"/>
        </w:rPr>
        <w:t>CÁMARA DE REPRESENTANTES</w:t>
      </w:r>
    </w:p>
    <w:p w14:paraId="4B2B98A0" w14:textId="442850A1" w:rsidR="00B70178" w:rsidRPr="00A55DD6" w:rsidRDefault="00B70178" w:rsidP="00B70178">
      <w:pPr>
        <w:spacing w:line="360" w:lineRule="auto"/>
        <w:jc w:val="center"/>
        <w:rPr>
          <w:rFonts w:ascii="Book Antiqua" w:eastAsia="Book Antiqua" w:hAnsi="Book Antiqua" w:cs="Book Antiqua"/>
          <w:b/>
          <w:sz w:val="52"/>
          <w:szCs w:val="52"/>
        </w:rPr>
      </w:pPr>
      <w:r w:rsidRPr="00A55DD6">
        <w:rPr>
          <w:rFonts w:ascii="Book Antiqua" w:eastAsia="Book Antiqua" w:hAnsi="Book Antiqua" w:cs="Book Antiqua"/>
          <w:b/>
          <w:sz w:val="52"/>
          <w:szCs w:val="52"/>
        </w:rPr>
        <w:t>P. de</w:t>
      </w:r>
      <w:r w:rsidR="00DF2D67">
        <w:rPr>
          <w:rFonts w:ascii="Book Antiqua" w:eastAsia="Book Antiqua" w:hAnsi="Book Antiqua" w:cs="Book Antiqua"/>
          <w:b/>
          <w:sz w:val="52"/>
          <w:szCs w:val="52"/>
        </w:rPr>
        <w:t>l</w:t>
      </w:r>
      <w:r w:rsidRPr="00A55DD6">
        <w:rPr>
          <w:rFonts w:ascii="Book Antiqua" w:eastAsia="Book Antiqua" w:hAnsi="Book Antiqua" w:cs="Book Antiqua"/>
          <w:b/>
          <w:sz w:val="52"/>
          <w:szCs w:val="52"/>
        </w:rPr>
        <w:t xml:space="preserve"> </w:t>
      </w:r>
      <w:r w:rsidR="00A069FD" w:rsidRPr="00A55DD6">
        <w:rPr>
          <w:rFonts w:ascii="Book Antiqua" w:eastAsia="Book Antiqua" w:hAnsi="Book Antiqua" w:cs="Book Antiqua"/>
          <w:b/>
          <w:sz w:val="52"/>
          <w:szCs w:val="52"/>
        </w:rPr>
        <w:t>S.</w:t>
      </w:r>
      <w:r w:rsidR="00DF2D67">
        <w:rPr>
          <w:rFonts w:ascii="Book Antiqua" w:eastAsia="Book Antiqua" w:hAnsi="Book Antiqua" w:cs="Book Antiqua"/>
          <w:b/>
          <w:sz w:val="52"/>
          <w:szCs w:val="52"/>
        </w:rPr>
        <w:t xml:space="preserve"> </w:t>
      </w:r>
      <w:r w:rsidR="00EA1D32">
        <w:rPr>
          <w:rFonts w:ascii="Book Antiqua" w:eastAsia="Book Antiqua" w:hAnsi="Book Antiqua" w:cs="Book Antiqua"/>
          <w:b/>
          <w:sz w:val="52"/>
          <w:szCs w:val="52"/>
        </w:rPr>
        <w:t>1012</w:t>
      </w:r>
      <w:r w:rsidRPr="00A55DD6">
        <w:rPr>
          <w:rFonts w:ascii="Book Antiqua" w:eastAsia="Book Antiqua" w:hAnsi="Book Antiqua" w:cs="Book Antiqua"/>
          <w:b/>
          <w:sz w:val="52"/>
          <w:szCs w:val="52"/>
        </w:rPr>
        <w:t xml:space="preserve"> </w:t>
      </w:r>
    </w:p>
    <w:p w14:paraId="628B16AD" w14:textId="77777777" w:rsidR="00B70178" w:rsidRPr="00A55DD6" w:rsidRDefault="00B70178" w:rsidP="00B70178">
      <w:pPr>
        <w:spacing w:line="360" w:lineRule="auto"/>
        <w:jc w:val="center"/>
        <w:rPr>
          <w:rFonts w:ascii="Book Antiqua" w:eastAsia="Book Antiqua" w:hAnsi="Book Antiqua" w:cs="Book Antiqua"/>
          <w:b/>
          <w:sz w:val="28"/>
          <w:szCs w:val="28"/>
        </w:rPr>
      </w:pPr>
      <w:r w:rsidRPr="00A55DD6">
        <w:rPr>
          <w:rFonts w:ascii="Book Antiqua" w:eastAsia="Book Antiqua" w:hAnsi="Book Antiqua" w:cs="Book Antiqua"/>
          <w:b/>
          <w:sz w:val="28"/>
          <w:szCs w:val="28"/>
        </w:rPr>
        <w:t>INFORME POSITIVO</w:t>
      </w:r>
    </w:p>
    <w:p w14:paraId="0CF1E1EA" w14:textId="78046FEB" w:rsidR="00B70178" w:rsidRPr="00A55DD6" w:rsidRDefault="00CA57F2" w:rsidP="00B70178">
      <w:pPr>
        <w:spacing w:line="360" w:lineRule="auto"/>
        <w:jc w:val="center"/>
        <w:rPr>
          <w:rFonts w:ascii="Book Antiqua" w:eastAsia="Book Antiqua" w:hAnsi="Book Antiqua" w:cs="Book Antiqua"/>
          <w:b/>
        </w:rPr>
      </w:pPr>
      <w:r>
        <w:rPr>
          <w:rFonts w:ascii="Book Antiqua" w:eastAsia="Book Antiqua" w:hAnsi="Book Antiqua" w:cs="Book Antiqua"/>
        </w:rPr>
        <w:t>____</w:t>
      </w:r>
      <w:r w:rsidR="00A069FD" w:rsidRPr="00A55DD6">
        <w:rPr>
          <w:rFonts w:ascii="Book Antiqua" w:eastAsia="Book Antiqua" w:hAnsi="Book Antiqua" w:cs="Book Antiqua"/>
        </w:rPr>
        <w:t xml:space="preserve"> de </w:t>
      </w:r>
      <w:r w:rsidR="00561383">
        <w:rPr>
          <w:rFonts w:ascii="Book Antiqua" w:eastAsia="Book Antiqua" w:hAnsi="Book Antiqua" w:cs="Book Antiqua"/>
        </w:rPr>
        <w:t>junio</w:t>
      </w:r>
      <w:r w:rsidR="00B70178" w:rsidRPr="00A55DD6">
        <w:rPr>
          <w:rFonts w:ascii="Book Antiqua" w:eastAsia="Book Antiqua" w:hAnsi="Book Antiqua" w:cs="Book Antiqua"/>
        </w:rPr>
        <w:t xml:space="preserve"> de 202</w:t>
      </w:r>
      <w:r w:rsidR="00D84CE8" w:rsidRPr="00A55DD6">
        <w:rPr>
          <w:rFonts w:ascii="Book Antiqua" w:eastAsia="Book Antiqua" w:hAnsi="Book Antiqua" w:cs="Book Antiqua"/>
        </w:rPr>
        <w:t>6</w:t>
      </w:r>
    </w:p>
    <w:p w14:paraId="3674732C" w14:textId="77777777" w:rsidR="00B70178" w:rsidRPr="00A55DD6" w:rsidRDefault="00B70178" w:rsidP="00B70178">
      <w:pPr>
        <w:jc w:val="both"/>
        <w:rPr>
          <w:rFonts w:ascii="Book Antiqua" w:eastAsia="Book Antiqua" w:hAnsi="Book Antiqua" w:cs="Book Antiqua"/>
          <w:b/>
        </w:rPr>
      </w:pPr>
    </w:p>
    <w:p w14:paraId="2C733C6C" w14:textId="77777777" w:rsidR="00B70178" w:rsidRPr="00A55DD6" w:rsidRDefault="00B70178" w:rsidP="00561383">
      <w:pPr>
        <w:spacing w:after="120"/>
        <w:rPr>
          <w:rFonts w:ascii="Book Antiqua" w:eastAsia="Book Antiqua" w:hAnsi="Book Antiqua" w:cs="Book Antiqua"/>
          <w:b/>
          <w:szCs w:val="24"/>
        </w:rPr>
      </w:pPr>
      <w:r w:rsidRPr="00ED0EC5">
        <w:rPr>
          <w:rFonts w:ascii="Book Antiqua" w:eastAsia="Book Antiqua" w:hAnsi="Book Antiqua" w:cs="Book Antiqua"/>
          <w:b/>
          <w:szCs w:val="24"/>
        </w:rPr>
        <w:t>A LA CÁMARA DE REPRESENTANTES DE PUERTO RICO:</w:t>
      </w:r>
    </w:p>
    <w:p w14:paraId="7EE0CC4A" w14:textId="161999AC" w:rsidR="00B70178" w:rsidRPr="00A55DD6" w:rsidRDefault="00B70178" w:rsidP="00561383">
      <w:pPr>
        <w:spacing w:after="120"/>
        <w:ind w:firstLine="720"/>
        <w:jc w:val="both"/>
        <w:rPr>
          <w:rFonts w:ascii="Book Antiqua" w:eastAsia="Book Antiqua" w:hAnsi="Book Antiqua" w:cs="Book Antiqua"/>
          <w:szCs w:val="24"/>
        </w:rPr>
      </w:pPr>
      <w:r w:rsidRPr="00A55DD6">
        <w:rPr>
          <w:rFonts w:ascii="Book Antiqua" w:eastAsia="Book Antiqua" w:hAnsi="Book Antiqua" w:cs="Book Antiqua"/>
          <w:szCs w:val="24"/>
        </w:rPr>
        <w:t xml:space="preserve">La Comisión de Recursos Naturales de la Cámara de Representantes de </w:t>
      </w:r>
      <w:r w:rsidRPr="00A55DD6">
        <w:rPr>
          <w:rFonts w:ascii="Book Antiqua" w:eastAsia="Book Antiqua" w:hAnsi="Book Antiqua" w:cs="Book Antiqua"/>
          <w:szCs w:val="24"/>
        </w:rPr>
        <w:br w:type="textWrapping" w:clear="all"/>
        <w:t xml:space="preserve">Puerto Rico, previo estudio y consideración del </w:t>
      </w:r>
      <w:r w:rsidR="00CA57F2">
        <w:rPr>
          <w:rFonts w:ascii="Book Antiqua" w:eastAsia="Book Antiqua" w:hAnsi="Book Antiqua" w:cs="Book Antiqua"/>
          <w:szCs w:val="24"/>
        </w:rPr>
        <w:t xml:space="preserve">Proyecto del Senado </w:t>
      </w:r>
      <w:r w:rsidR="00EA1D32">
        <w:rPr>
          <w:rFonts w:ascii="Book Antiqua" w:eastAsia="Book Antiqua" w:hAnsi="Book Antiqua" w:cs="Book Antiqua"/>
          <w:szCs w:val="24"/>
        </w:rPr>
        <w:t>1012</w:t>
      </w:r>
      <w:r w:rsidR="00CA57F2">
        <w:rPr>
          <w:rFonts w:ascii="Book Antiqua" w:eastAsia="Book Antiqua" w:hAnsi="Book Antiqua" w:cs="Book Antiqua"/>
          <w:szCs w:val="24"/>
        </w:rPr>
        <w:t xml:space="preserve"> (PS </w:t>
      </w:r>
      <w:r w:rsidR="00EA1D32">
        <w:rPr>
          <w:rFonts w:ascii="Book Antiqua" w:eastAsia="Book Antiqua" w:hAnsi="Book Antiqua" w:cs="Book Antiqua"/>
          <w:szCs w:val="24"/>
        </w:rPr>
        <w:t>1012</w:t>
      </w:r>
      <w:r w:rsidR="00CA57F2">
        <w:rPr>
          <w:rFonts w:ascii="Book Antiqua" w:eastAsia="Book Antiqua" w:hAnsi="Book Antiqua" w:cs="Book Antiqua"/>
          <w:szCs w:val="24"/>
        </w:rPr>
        <w:t>)</w:t>
      </w:r>
      <w:r w:rsidRPr="00A55DD6">
        <w:rPr>
          <w:rFonts w:ascii="Book Antiqua" w:eastAsia="Book Antiqua" w:hAnsi="Book Antiqua" w:cs="Book Antiqua"/>
          <w:szCs w:val="24"/>
        </w:rPr>
        <w:t>, tiene a bien someter este Informe Positivo</w:t>
      </w:r>
      <w:r w:rsidR="00CA57F2">
        <w:rPr>
          <w:rFonts w:ascii="Book Antiqua" w:eastAsia="Book Antiqua" w:hAnsi="Book Antiqua" w:cs="Book Antiqua"/>
          <w:szCs w:val="24"/>
        </w:rPr>
        <w:t xml:space="preserve"> sin enmiendas</w:t>
      </w:r>
      <w:r w:rsidRPr="00A55DD6">
        <w:rPr>
          <w:rFonts w:ascii="Book Antiqua" w:eastAsia="Book Antiqua" w:hAnsi="Book Antiqua" w:cs="Book Antiqua"/>
          <w:szCs w:val="24"/>
        </w:rPr>
        <w:t xml:space="preserve">.  </w:t>
      </w:r>
    </w:p>
    <w:p w14:paraId="110A3975" w14:textId="77777777" w:rsidR="00B70178" w:rsidRPr="00A55DD6" w:rsidRDefault="00B70178" w:rsidP="00B70178">
      <w:pPr>
        <w:rPr>
          <w:rFonts w:ascii="Book Antiqua" w:eastAsia="Book Antiqua" w:hAnsi="Book Antiqua" w:cs="Book Antiqua"/>
          <w:szCs w:val="24"/>
        </w:rPr>
      </w:pPr>
    </w:p>
    <w:p w14:paraId="67590FDA" w14:textId="77777777" w:rsidR="00B70178" w:rsidRPr="00A55DD6" w:rsidRDefault="00B70178" w:rsidP="00561383">
      <w:pPr>
        <w:spacing w:after="120"/>
        <w:jc w:val="center"/>
        <w:rPr>
          <w:rFonts w:ascii="Book Antiqua" w:eastAsia="Book Antiqua" w:hAnsi="Book Antiqua" w:cs="Book Antiqua"/>
          <w:b/>
          <w:bCs/>
          <w:szCs w:val="24"/>
        </w:rPr>
      </w:pPr>
      <w:r w:rsidRPr="00A55DD6">
        <w:rPr>
          <w:rFonts w:ascii="Book Antiqua" w:eastAsia="Book Antiqua" w:hAnsi="Book Antiqua" w:cs="Book Antiqua"/>
          <w:b/>
          <w:bCs/>
          <w:szCs w:val="24"/>
        </w:rPr>
        <w:t>ALCANCE DE LA MEDIDA</w:t>
      </w:r>
    </w:p>
    <w:p w14:paraId="6C965AD1" w14:textId="3CB53AA3" w:rsidR="00EA1D32" w:rsidRDefault="00756145" w:rsidP="00561383">
      <w:pPr>
        <w:widowControl w:val="0"/>
        <w:suppressLineNumbers/>
        <w:autoSpaceDE w:val="0"/>
        <w:autoSpaceDN w:val="0"/>
        <w:adjustRightInd w:val="0"/>
        <w:spacing w:after="120"/>
        <w:ind w:firstLine="720"/>
        <w:jc w:val="both"/>
        <w:rPr>
          <w:rFonts w:ascii="Book Antiqua" w:hAnsi="Book Antiqua" w:cs="ADLaM Display"/>
          <w:bCs/>
          <w:szCs w:val="24"/>
          <w:lang w:val="es-PR"/>
        </w:rPr>
      </w:pPr>
      <w:r>
        <w:rPr>
          <w:rFonts w:ascii="Book Antiqua" w:hAnsi="Book Antiqua" w:cs="ADLaM Display"/>
          <w:bCs/>
          <w:szCs w:val="24"/>
          <w:lang w:val="es-PR"/>
        </w:rPr>
        <w:t xml:space="preserve">El Proyecto del Senado </w:t>
      </w:r>
      <w:r w:rsidR="00EA1D32">
        <w:rPr>
          <w:rFonts w:ascii="Book Antiqua" w:hAnsi="Book Antiqua" w:cs="ADLaM Display"/>
          <w:bCs/>
          <w:szCs w:val="24"/>
          <w:lang w:val="es-PR"/>
        </w:rPr>
        <w:t>1012</w:t>
      </w:r>
      <w:r>
        <w:rPr>
          <w:rFonts w:ascii="Book Antiqua" w:hAnsi="Book Antiqua" w:cs="ADLaM Display"/>
          <w:bCs/>
          <w:szCs w:val="24"/>
          <w:lang w:val="es-PR"/>
        </w:rPr>
        <w:t xml:space="preserve">, según aprobado en el Cuerpo Hermano, tiene como propósito </w:t>
      </w:r>
      <w:r w:rsidR="00EA1D32">
        <w:rPr>
          <w:rFonts w:ascii="Book Antiqua" w:hAnsi="Book Antiqua"/>
          <w:lang w:val="es-PR"/>
        </w:rPr>
        <w:t>añadir un nuevo inciso (11) al</w:t>
      </w:r>
      <w:r w:rsidR="00EA1D32" w:rsidRPr="00956E1F">
        <w:rPr>
          <w:rFonts w:ascii="Book Antiqua" w:hAnsi="Book Antiqua"/>
          <w:lang w:val="es-PR"/>
        </w:rPr>
        <w:t xml:space="preserve"> Artículo 9 de la Ley 430</w:t>
      </w:r>
      <w:r w:rsidR="00EA1D32">
        <w:rPr>
          <w:rFonts w:ascii="Book Antiqua" w:hAnsi="Book Antiqua"/>
          <w:lang w:val="es-PR"/>
        </w:rPr>
        <w:t>-</w:t>
      </w:r>
      <w:r w:rsidR="00EA1D32" w:rsidRPr="00956E1F">
        <w:rPr>
          <w:rFonts w:ascii="Book Antiqua" w:hAnsi="Book Antiqua"/>
          <w:lang w:val="es-PR"/>
        </w:rPr>
        <w:t xml:space="preserve">2000, según enmendada, conocida como “Ley de Navegación y Seguridad Acuática de Puerto Rico”, a los fines de facultar al Secretario del Departamento de Recursos Naturales y Ambientales a extender, de manera temporera, la vigencia del marbete o autorización de navegación de embarcaciones documentadas por el </w:t>
      </w:r>
      <w:r w:rsidR="00EA1D32">
        <w:rPr>
          <w:rFonts w:ascii="Book Antiqua" w:hAnsi="Book Antiqua"/>
          <w:lang w:val="es-PR"/>
        </w:rPr>
        <w:t>Gobierno Federal</w:t>
      </w:r>
      <w:r w:rsidR="00EA1D32" w:rsidRPr="00956E1F">
        <w:rPr>
          <w:rFonts w:ascii="Book Antiqua" w:hAnsi="Book Antiqua"/>
          <w:lang w:val="es-PR"/>
        </w:rPr>
        <w:t>, en aquellos casos en que las agencias federales competentes no puedan emitir o renovar los certificados requeridos por razones ajenas al control del propietario; y para otros fines relacionados.</w:t>
      </w:r>
    </w:p>
    <w:p w14:paraId="0336CE19" w14:textId="77777777" w:rsidR="00EA1D32" w:rsidRPr="00956E1F" w:rsidRDefault="00EA1D32" w:rsidP="00EA1D32">
      <w:pPr>
        <w:spacing w:after="120"/>
        <w:ind w:firstLine="720"/>
        <w:jc w:val="both"/>
        <w:rPr>
          <w:rFonts w:ascii="Book Antiqua" w:hAnsi="Book Antiqua"/>
          <w:bCs/>
          <w:lang w:val="es-ES_tradnl"/>
        </w:rPr>
      </w:pPr>
      <w:r w:rsidRPr="00E03551">
        <w:rPr>
          <w:rFonts w:ascii="Book Antiqua" w:hAnsi="Book Antiqua"/>
          <w:bCs/>
          <w:lang w:val="es-ES_tradnl"/>
        </w:rPr>
        <w:t xml:space="preserve">La </w:t>
      </w:r>
      <w:r w:rsidRPr="00956E1F">
        <w:rPr>
          <w:rFonts w:ascii="Book Antiqua" w:hAnsi="Book Antiqua"/>
          <w:bCs/>
          <w:lang w:val="es-ES_tradnl"/>
        </w:rPr>
        <w:t xml:space="preserve">Ley 430-2000, </w:t>
      </w:r>
      <w:r>
        <w:rPr>
          <w:rFonts w:ascii="Book Antiqua" w:hAnsi="Book Antiqua"/>
          <w:bCs/>
          <w:lang w:val="es-ES_tradnl"/>
        </w:rPr>
        <w:t xml:space="preserve">según enmendada, </w:t>
      </w:r>
      <w:r w:rsidRPr="00956E1F">
        <w:rPr>
          <w:rFonts w:ascii="Book Antiqua" w:hAnsi="Book Antiqua"/>
          <w:bCs/>
          <w:lang w:val="es-ES_tradnl"/>
        </w:rPr>
        <w:t xml:space="preserve">conocida como </w:t>
      </w:r>
      <w:r>
        <w:rPr>
          <w:rFonts w:ascii="Book Antiqua" w:hAnsi="Book Antiqua"/>
          <w:bCs/>
          <w:lang w:val="es-ES_tradnl"/>
        </w:rPr>
        <w:t>“</w:t>
      </w:r>
      <w:r w:rsidRPr="00956E1F">
        <w:rPr>
          <w:rFonts w:ascii="Book Antiqua" w:hAnsi="Book Antiqua"/>
          <w:bCs/>
          <w:lang w:val="es-ES_tradnl"/>
        </w:rPr>
        <w:t>Ley de Navegación y Seguridad Acuática de Puerto Rico</w:t>
      </w:r>
      <w:r>
        <w:rPr>
          <w:rFonts w:ascii="Book Antiqua" w:hAnsi="Book Antiqua"/>
          <w:bCs/>
          <w:lang w:val="es-ES_tradnl"/>
        </w:rPr>
        <w:t>”</w:t>
      </w:r>
      <w:r w:rsidRPr="00956E1F">
        <w:rPr>
          <w:rFonts w:ascii="Book Antiqua" w:hAnsi="Book Antiqua"/>
          <w:bCs/>
          <w:lang w:val="es-ES_tradnl"/>
        </w:rPr>
        <w:t xml:space="preserve">, constituye el estatuto que regula la inscripción, numeración, operación, seguridad y control administrativo de todas las embarcaciones que transitan </w:t>
      </w:r>
      <w:r>
        <w:rPr>
          <w:rFonts w:ascii="Book Antiqua" w:hAnsi="Book Antiqua"/>
          <w:bCs/>
          <w:lang w:val="es-ES_tradnl"/>
        </w:rPr>
        <w:t>por</w:t>
      </w:r>
      <w:r w:rsidRPr="00956E1F">
        <w:rPr>
          <w:rFonts w:ascii="Book Antiqua" w:hAnsi="Book Antiqua"/>
          <w:bCs/>
          <w:lang w:val="es-ES_tradnl"/>
        </w:rPr>
        <w:t xml:space="preserve"> aguas jurisdiccionales </w:t>
      </w:r>
      <w:r>
        <w:rPr>
          <w:rFonts w:ascii="Book Antiqua" w:hAnsi="Book Antiqua"/>
          <w:bCs/>
          <w:lang w:val="es-ES_tradnl"/>
        </w:rPr>
        <w:t>de la isla</w:t>
      </w:r>
      <w:r w:rsidRPr="00956E1F">
        <w:rPr>
          <w:rFonts w:ascii="Book Antiqua" w:hAnsi="Book Antiqua"/>
          <w:bCs/>
          <w:lang w:val="es-ES_tradnl"/>
        </w:rPr>
        <w:t>. Bajo dicha Ley, el Departamento de Recursos Naturales y Ambientales (DRNA) es la entidad encargada de expedir los marbetes y autorizaciones que acreditan el cumplimiento de los requisitos legales para navegar en las aguas de Puerto Rico.</w:t>
      </w:r>
    </w:p>
    <w:p w14:paraId="688D56A4"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En el caso de las embarcaciones documentadas por el </w:t>
      </w:r>
      <w:r>
        <w:rPr>
          <w:rFonts w:ascii="Book Antiqua" w:hAnsi="Book Antiqua"/>
          <w:bCs/>
          <w:lang w:val="es-ES_tradnl"/>
        </w:rPr>
        <w:t>Gobierno Federal</w:t>
      </w:r>
      <w:r w:rsidRPr="00956E1F">
        <w:rPr>
          <w:rFonts w:ascii="Book Antiqua" w:hAnsi="Book Antiqua"/>
          <w:bCs/>
          <w:lang w:val="es-ES_tradnl"/>
        </w:rPr>
        <w:t xml:space="preserve"> de los Estados Unidos, a través del </w:t>
      </w:r>
      <w:r>
        <w:rPr>
          <w:rFonts w:ascii="Book Antiqua" w:hAnsi="Book Antiqua"/>
          <w:bCs/>
          <w:lang w:val="es-ES_tradnl"/>
        </w:rPr>
        <w:t>“</w:t>
      </w:r>
      <w:proofErr w:type="spellStart"/>
      <w:r w:rsidRPr="00956E1F">
        <w:rPr>
          <w:rFonts w:ascii="Book Antiqua" w:hAnsi="Book Antiqua"/>
          <w:bCs/>
          <w:lang w:val="es-ES_tradnl"/>
        </w:rPr>
        <w:t>United</w:t>
      </w:r>
      <w:proofErr w:type="spellEnd"/>
      <w:r w:rsidRPr="00956E1F">
        <w:rPr>
          <w:rFonts w:ascii="Book Antiqua" w:hAnsi="Book Antiqua"/>
          <w:bCs/>
          <w:lang w:val="es-ES_tradnl"/>
        </w:rPr>
        <w:t xml:space="preserve"> States Coast Guard </w:t>
      </w:r>
      <w:proofErr w:type="spellStart"/>
      <w:r w:rsidRPr="00956E1F">
        <w:rPr>
          <w:rFonts w:ascii="Book Antiqua" w:hAnsi="Book Antiqua"/>
          <w:bCs/>
          <w:lang w:val="es-ES_tradnl"/>
        </w:rPr>
        <w:t>National</w:t>
      </w:r>
      <w:proofErr w:type="spellEnd"/>
      <w:r w:rsidRPr="00956E1F">
        <w:rPr>
          <w:rFonts w:ascii="Book Antiqua" w:hAnsi="Book Antiqua"/>
          <w:bCs/>
          <w:lang w:val="es-ES_tradnl"/>
        </w:rPr>
        <w:t xml:space="preserve"> Vessel </w:t>
      </w:r>
      <w:proofErr w:type="spellStart"/>
      <w:r w:rsidRPr="00956E1F">
        <w:rPr>
          <w:rFonts w:ascii="Book Antiqua" w:hAnsi="Book Antiqua"/>
          <w:bCs/>
          <w:lang w:val="es-ES_tradnl"/>
        </w:rPr>
        <w:t>Documentation</w:t>
      </w:r>
      <w:proofErr w:type="spellEnd"/>
      <w:r w:rsidRPr="00956E1F">
        <w:rPr>
          <w:rFonts w:ascii="Book Antiqua" w:hAnsi="Book Antiqua"/>
          <w:bCs/>
          <w:lang w:val="es-ES_tradnl"/>
        </w:rPr>
        <w:t xml:space="preserve"> Center</w:t>
      </w:r>
      <w:r>
        <w:rPr>
          <w:rFonts w:ascii="Book Antiqua" w:hAnsi="Book Antiqua"/>
          <w:bCs/>
          <w:lang w:val="es-ES_tradnl"/>
        </w:rPr>
        <w:t>”</w:t>
      </w:r>
      <w:r w:rsidRPr="00956E1F">
        <w:rPr>
          <w:rFonts w:ascii="Book Antiqua" w:hAnsi="Book Antiqua"/>
          <w:bCs/>
          <w:lang w:val="es-ES_tradnl"/>
        </w:rPr>
        <w:t xml:space="preserve"> (NVDC), el DRNA requiere que el propietario presente un certificado de documentación federal vigente como parte del trámite de renovación del marbete estatal. Dicho certificado acredita la titularidad y nacionalidad de la embarcación bajo la </w:t>
      </w:r>
      <w:r w:rsidRPr="00956E1F">
        <w:rPr>
          <w:rFonts w:ascii="Book Antiqua" w:hAnsi="Book Antiqua"/>
          <w:bCs/>
          <w:lang w:val="es-ES_tradnl"/>
        </w:rPr>
        <w:lastRenderedPageBreak/>
        <w:t xml:space="preserve">jurisdicción de los Estados Unidos, conforme al </w:t>
      </w:r>
      <w:r>
        <w:rPr>
          <w:rFonts w:ascii="Book Antiqua" w:hAnsi="Book Antiqua"/>
          <w:bCs/>
          <w:lang w:val="es-ES_tradnl"/>
        </w:rPr>
        <w:t>“</w:t>
      </w:r>
      <w:r w:rsidRPr="00956E1F">
        <w:rPr>
          <w:rFonts w:ascii="Book Antiqua" w:hAnsi="Book Antiqua"/>
          <w:bCs/>
          <w:lang w:val="es-ES_tradnl"/>
        </w:rPr>
        <w:t xml:space="preserve">Title 46, </w:t>
      </w:r>
      <w:proofErr w:type="spellStart"/>
      <w:r w:rsidRPr="00956E1F">
        <w:rPr>
          <w:rFonts w:ascii="Book Antiqua" w:hAnsi="Book Antiqua"/>
          <w:bCs/>
          <w:lang w:val="es-ES_tradnl"/>
        </w:rPr>
        <w:t>United</w:t>
      </w:r>
      <w:proofErr w:type="spellEnd"/>
      <w:r w:rsidRPr="00956E1F">
        <w:rPr>
          <w:rFonts w:ascii="Book Antiqua" w:hAnsi="Book Antiqua"/>
          <w:bCs/>
          <w:lang w:val="es-ES_tradnl"/>
        </w:rPr>
        <w:t xml:space="preserve"> States Code, </w:t>
      </w:r>
      <w:proofErr w:type="spellStart"/>
      <w:r w:rsidRPr="00956E1F">
        <w:rPr>
          <w:rFonts w:ascii="Book Antiqua" w:hAnsi="Book Antiqua"/>
          <w:bCs/>
          <w:lang w:val="es-ES_tradnl"/>
        </w:rPr>
        <w:t>Chapter</w:t>
      </w:r>
      <w:proofErr w:type="spellEnd"/>
      <w:r w:rsidRPr="00956E1F">
        <w:rPr>
          <w:rFonts w:ascii="Book Antiqua" w:hAnsi="Book Antiqua"/>
          <w:bCs/>
          <w:lang w:val="es-ES_tradnl"/>
        </w:rPr>
        <w:t xml:space="preserve"> 121</w:t>
      </w:r>
      <w:r>
        <w:rPr>
          <w:rFonts w:ascii="Book Antiqua" w:hAnsi="Book Antiqua"/>
          <w:bCs/>
          <w:lang w:val="es-ES_tradnl"/>
        </w:rPr>
        <w:t>”</w:t>
      </w:r>
      <w:r w:rsidRPr="00956E1F">
        <w:rPr>
          <w:rFonts w:ascii="Book Antiqua" w:hAnsi="Book Antiqua"/>
          <w:bCs/>
          <w:lang w:val="es-ES_tradnl"/>
        </w:rPr>
        <w:t xml:space="preserve"> y </w:t>
      </w:r>
      <w:r>
        <w:rPr>
          <w:rFonts w:ascii="Book Antiqua" w:hAnsi="Book Antiqua"/>
          <w:bCs/>
          <w:lang w:val="es-ES_tradnl"/>
        </w:rPr>
        <w:t xml:space="preserve">a </w:t>
      </w:r>
      <w:r w:rsidRPr="00956E1F">
        <w:rPr>
          <w:rFonts w:ascii="Book Antiqua" w:hAnsi="Book Antiqua"/>
          <w:bCs/>
          <w:lang w:val="es-ES_tradnl"/>
        </w:rPr>
        <w:t xml:space="preserve">las reglamentaciones aplicables del </w:t>
      </w:r>
      <w:r>
        <w:rPr>
          <w:rFonts w:ascii="Book Antiqua" w:hAnsi="Book Antiqua"/>
          <w:bCs/>
          <w:lang w:val="es-ES_tradnl"/>
        </w:rPr>
        <w:t>“</w:t>
      </w:r>
      <w:r w:rsidRPr="00956E1F">
        <w:rPr>
          <w:rFonts w:ascii="Book Antiqua" w:hAnsi="Book Antiqua"/>
          <w:bCs/>
          <w:lang w:val="es-ES_tradnl"/>
        </w:rPr>
        <w:t xml:space="preserve">Code </w:t>
      </w:r>
      <w:proofErr w:type="spellStart"/>
      <w:r w:rsidRPr="00956E1F">
        <w:rPr>
          <w:rFonts w:ascii="Book Antiqua" w:hAnsi="Book Antiqua"/>
          <w:bCs/>
          <w:lang w:val="es-ES_tradnl"/>
        </w:rPr>
        <w:t>of</w:t>
      </w:r>
      <w:proofErr w:type="spellEnd"/>
      <w:r w:rsidRPr="00956E1F">
        <w:rPr>
          <w:rFonts w:ascii="Book Antiqua" w:hAnsi="Book Antiqua"/>
          <w:bCs/>
          <w:lang w:val="es-ES_tradnl"/>
        </w:rPr>
        <w:t xml:space="preserve"> Federal </w:t>
      </w:r>
      <w:proofErr w:type="spellStart"/>
      <w:r w:rsidRPr="00956E1F">
        <w:rPr>
          <w:rFonts w:ascii="Book Antiqua" w:hAnsi="Book Antiqua"/>
          <w:bCs/>
          <w:lang w:val="es-ES_tradnl"/>
        </w:rPr>
        <w:t>Regulations</w:t>
      </w:r>
      <w:proofErr w:type="spellEnd"/>
      <w:r>
        <w:rPr>
          <w:rFonts w:ascii="Book Antiqua" w:hAnsi="Book Antiqua"/>
          <w:bCs/>
          <w:lang w:val="es-ES_tradnl"/>
        </w:rPr>
        <w:t>”</w:t>
      </w:r>
      <w:r w:rsidRPr="00956E1F">
        <w:rPr>
          <w:rFonts w:ascii="Book Antiqua" w:hAnsi="Book Antiqua"/>
          <w:bCs/>
          <w:lang w:val="es-ES_tradnl"/>
        </w:rPr>
        <w:t>.</w:t>
      </w:r>
    </w:p>
    <w:p w14:paraId="1141CF50"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No obstante, cuando ocurre un cierre del </w:t>
      </w:r>
      <w:r>
        <w:rPr>
          <w:rFonts w:ascii="Book Antiqua" w:hAnsi="Book Antiqua"/>
          <w:bCs/>
          <w:lang w:val="es-ES_tradnl"/>
        </w:rPr>
        <w:t>Gobierno Federal</w:t>
      </w:r>
      <w:r w:rsidRPr="00956E1F">
        <w:rPr>
          <w:rFonts w:ascii="Book Antiqua" w:hAnsi="Book Antiqua"/>
          <w:bCs/>
          <w:lang w:val="es-ES_tradnl"/>
        </w:rPr>
        <w:t xml:space="preserve"> (</w:t>
      </w:r>
      <w:r>
        <w:rPr>
          <w:rFonts w:ascii="Book Antiqua" w:hAnsi="Book Antiqua"/>
          <w:bCs/>
          <w:lang w:val="es-ES_tradnl"/>
        </w:rPr>
        <w:t>“</w:t>
      </w:r>
      <w:r w:rsidRPr="00956E1F">
        <w:rPr>
          <w:rFonts w:ascii="Book Antiqua" w:hAnsi="Book Antiqua"/>
          <w:bCs/>
          <w:lang w:val="es-ES_tradnl"/>
        </w:rPr>
        <w:t>shutdown</w:t>
      </w:r>
      <w:r>
        <w:rPr>
          <w:rFonts w:ascii="Book Antiqua" w:hAnsi="Book Antiqua"/>
          <w:bCs/>
          <w:lang w:val="es-ES_tradnl"/>
        </w:rPr>
        <w:t>”</w:t>
      </w:r>
      <w:r w:rsidRPr="00956E1F">
        <w:rPr>
          <w:rFonts w:ascii="Book Antiqua" w:hAnsi="Book Antiqua"/>
          <w:bCs/>
          <w:lang w:val="es-ES_tradnl"/>
        </w:rPr>
        <w:t>), o cuando por causas extraordinarias</w:t>
      </w:r>
      <w:r>
        <w:rPr>
          <w:rFonts w:ascii="Book Antiqua" w:hAnsi="Book Antiqua"/>
          <w:bCs/>
          <w:lang w:val="es-ES_tradnl"/>
        </w:rPr>
        <w:t xml:space="preserve">, </w:t>
      </w:r>
      <w:r w:rsidRPr="00956E1F">
        <w:rPr>
          <w:rFonts w:ascii="Book Antiqua" w:hAnsi="Book Antiqua"/>
          <w:bCs/>
          <w:lang w:val="es-ES_tradnl"/>
        </w:rPr>
        <w:t>como desastres naturales, emergencias de salud pública o interrupciones tecnológicas</w:t>
      </w:r>
      <w:r>
        <w:rPr>
          <w:rFonts w:ascii="Book Antiqua" w:hAnsi="Book Antiqua"/>
          <w:bCs/>
          <w:lang w:val="es-ES_tradnl"/>
        </w:rPr>
        <w:t>,</w:t>
      </w:r>
      <w:r w:rsidRPr="00956E1F">
        <w:rPr>
          <w:rFonts w:ascii="Book Antiqua" w:hAnsi="Book Antiqua"/>
          <w:bCs/>
          <w:lang w:val="es-ES_tradnl"/>
        </w:rPr>
        <w:t xml:space="preserve"> las agencias federales suspenden sus servicios administrativos, el NVDC deja de procesar solicitudes o emitir certificados de documentación. En tales escenarios, los propietarios de embarcaciones se encuentran imposibilitados de renovar su marbete ante el DRNA, ya que el sistema actual exige presentar dicho documento federal como condición indispensable para la renovación.</w:t>
      </w:r>
    </w:p>
    <w:p w14:paraId="24BAF29A"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Esta situación ha generado, en diversas ocasiones, un problema de índole operativ</w:t>
      </w:r>
      <w:r>
        <w:rPr>
          <w:rFonts w:ascii="Book Antiqua" w:hAnsi="Book Antiqua"/>
          <w:bCs/>
          <w:lang w:val="es-ES_tradnl"/>
        </w:rPr>
        <w:t>o</w:t>
      </w:r>
      <w:r w:rsidRPr="00956E1F">
        <w:rPr>
          <w:rFonts w:ascii="Book Antiqua" w:hAnsi="Book Antiqua"/>
          <w:bCs/>
          <w:lang w:val="es-ES_tradnl"/>
        </w:rPr>
        <w:t xml:space="preserve"> y jurídic</w:t>
      </w:r>
      <w:r>
        <w:rPr>
          <w:rFonts w:ascii="Book Antiqua" w:hAnsi="Book Antiqua"/>
          <w:bCs/>
          <w:lang w:val="es-ES_tradnl"/>
        </w:rPr>
        <w:t>o</w:t>
      </w:r>
      <w:r w:rsidRPr="00956E1F">
        <w:rPr>
          <w:rFonts w:ascii="Book Antiqua" w:hAnsi="Book Antiqua"/>
          <w:bCs/>
          <w:lang w:val="es-ES_tradnl"/>
        </w:rPr>
        <w:t xml:space="preserve">. </w:t>
      </w:r>
      <w:r>
        <w:rPr>
          <w:rFonts w:ascii="Book Antiqua" w:hAnsi="Book Antiqua"/>
          <w:bCs/>
          <w:lang w:val="es-ES_tradnl"/>
        </w:rPr>
        <w:t>Los p</w:t>
      </w:r>
      <w:r w:rsidRPr="00956E1F">
        <w:rPr>
          <w:rFonts w:ascii="Book Antiqua" w:hAnsi="Book Antiqua"/>
          <w:bCs/>
          <w:lang w:val="es-ES_tradnl"/>
        </w:rPr>
        <w:t xml:space="preserve">ropietarios que han cumplido con todos los requisitos de ley y que han radicado oportunamente su solicitud de renovación federal se ven impedidos de operar sus embarcaciones por una circunstancia completamente ajena a su control. Al mismo tiempo, el DRNA se enfrenta a una situación de parálisis administrativa, al </w:t>
      </w:r>
      <w:r>
        <w:rPr>
          <w:rFonts w:ascii="Book Antiqua" w:hAnsi="Book Antiqua"/>
          <w:bCs/>
          <w:lang w:val="es-ES_tradnl"/>
        </w:rPr>
        <w:t>no contar con</w:t>
      </w:r>
      <w:r w:rsidRPr="00956E1F">
        <w:rPr>
          <w:rFonts w:ascii="Book Antiqua" w:hAnsi="Book Antiqua"/>
          <w:bCs/>
          <w:lang w:val="es-ES_tradnl"/>
        </w:rPr>
        <w:t xml:space="preserve"> una disposición legal que le permita atender estos casos de forma razonable y provisional, sin violentar los principios de legalidad que rigen su función.</w:t>
      </w:r>
    </w:p>
    <w:p w14:paraId="32F9BCD0"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El ordenamiento jurídico vigente carece de una herramienta que permita extender temporalmente la vigencia del marbete o autorización de navegación en estos casos extraordinarios. Esta omisión coloca a los navegantes en una posición desventajosa y puede ocasionar efectos económicos y sociales adversos, especialmente en sectores como el turismo náutico, la pesca recreativa, el transporte marítimo de corta escala y las actividades de recreación acuática que </w:t>
      </w:r>
      <w:r>
        <w:rPr>
          <w:rFonts w:ascii="Book Antiqua" w:hAnsi="Book Antiqua"/>
          <w:bCs/>
          <w:lang w:val="es-ES_tradnl"/>
        </w:rPr>
        <w:t>contribuyen</w:t>
      </w:r>
      <w:r w:rsidRPr="00956E1F">
        <w:rPr>
          <w:rFonts w:ascii="Book Antiqua" w:hAnsi="Book Antiqua"/>
          <w:bCs/>
          <w:lang w:val="es-ES_tradnl"/>
        </w:rPr>
        <w:t xml:space="preserve"> al desarrollo económico de las comunidades costeras.</w:t>
      </w:r>
    </w:p>
    <w:p w14:paraId="31CD3A40"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La presente </w:t>
      </w:r>
      <w:r>
        <w:rPr>
          <w:rFonts w:ascii="Book Antiqua" w:hAnsi="Book Antiqua"/>
          <w:bCs/>
          <w:lang w:val="es-ES_tradnl"/>
        </w:rPr>
        <w:t xml:space="preserve">Ley </w:t>
      </w:r>
      <w:r w:rsidRPr="00956E1F">
        <w:rPr>
          <w:rFonts w:ascii="Book Antiqua" w:hAnsi="Book Antiqua"/>
          <w:bCs/>
          <w:lang w:val="es-ES_tradnl"/>
        </w:rPr>
        <w:t>persigue atender de forma estructurada esa brecha normativa</w:t>
      </w:r>
      <w:r>
        <w:rPr>
          <w:rFonts w:ascii="Book Antiqua" w:hAnsi="Book Antiqua"/>
          <w:bCs/>
          <w:lang w:val="es-ES_tradnl"/>
        </w:rPr>
        <w:t xml:space="preserve">, </w:t>
      </w:r>
      <w:r w:rsidRPr="00956E1F">
        <w:rPr>
          <w:rFonts w:ascii="Book Antiqua" w:hAnsi="Book Antiqua"/>
          <w:bCs/>
          <w:lang w:val="es-ES_tradnl"/>
        </w:rPr>
        <w:t>faculta</w:t>
      </w:r>
      <w:r>
        <w:rPr>
          <w:rFonts w:ascii="Book Antiqua" w:hAnsi="Book Antiqua"/>
          <w:bCs/>
          <w:lang w:val="es-ES_tradnl"/>
        </w:rPr>
        <w:t>ndo</w:t>
      </w:r>
      <w:r w:rsidRPr="00956E1F">
        <w:rPr>
          <w:rFonts w:ascii="Book Antiqua" w:hAnsi="Book Antiqua"/>
          <w:bCs/>
          <w:lang w:val="es-ES_tradnl"/>
        </w:rPr>
        <w:t xml:space="preserve"> expresamente al </w:t>
      </w:r>
      <w:proofErr w:type="gramStart"/>
      <w:r w:rsidRPr="00956E1F">
        <w:rPr>
          <w:rFonts w:ascii="Book Antiqua" w:hAnsi="Book Antiqua"/>
          <w:bCs/>
          <w:lang w:val="es-ES_tradnl"/>
        </w:rPr>
        <w:t>Secretario</w:t>
      </w:r>
      <w:proofErr w:type="gramEnd"/>
      <w:r w:rsidRPr="00956E1F">
        <w:rPr>
          <w:rFonts w:ascii="Book Antiqua" w:hAnsi="Book Antiqua"/>
          <w:bCs/>
          <w:lang w:val="es-ES_tradnl"/>
        </w:rPr>
        <w:t xml:space="preserve"> del DRNA a extender la vigencia de los marbetes de navegación cuando la imposibilidad de renovar la documentación federal sea producto de un cierre, interrupción o contingencia administrativa </w:t>
      </w:r>
      <w:r>
        <w:rPr>
          <w:rFonts w:ascii="Book Antiqua" w:hAnsi="Book Antiqua"/>
          <w:bCs/>
          <w:lang w:val="es-ES_tradnl"/>
        </w:rPr>
        <w:t>ajena al</w:t>
      </w:r>
      <w:r w:rsidRPr="00956E1F">
        <w:rPr>
          <w:rFonts w:ascii="Book Antiqua" w:hAnsi="Book Antiqua"/>
          <w:bCs/>
          <w:lang w:val="es-ES_tradnl"/>
        </w:rPr>
        <w:t xml:space="preserve"> control del solicitante.</w:t>
      </w:r>
    </w:p>
    <w:p w14:paraId="2940760E"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Esta </w:t>
      </w:r>
      <w:r>
        <w:rPr>
          <w:rFonts w:ascii="Book Antiqua" w:hAnsi="Book Antiqua"/>
          <w:bCs/>
          <w:lang w:val="es-ES_tradnl"/>
        </w:rPr>
        <w:t>Ley</w:t>
      </w:r>
      <w:r w:rsidRPr="00956E1F">
        <w:rPr>
          <w:rFonts w:ascii="Book Antiqua" w:hAnsi="Book Antiqua"/>
          <w:bCs/>
          <w:lang w:val="es-ES_tradnl"/>
        </w:rPr>
        <w:t xml:space="preserve"> propone un mecanismo ágil, razonable y temporal, condicionado a que el propietario acredite haber solicitado la renovación ante la agencia federal correspondiente o que exista evidencia del impedimento administrativo. La extensión, que no excederá de noventa (90) días o del tiempo que dure la interrupción, permitirá mantener la legalidad y la seguridad de las operaciones marítimas, evitando sanciones injustas y </w:t>
      </w:r>
      <w:r>
        <w:rPr>
          <w:rFonts w:ascii="Book Antiqua" w:hAnsi="Book Antiqua"/>
          <w:bCs/>
          <w:lang w:val="es-ES_tradnl"/>
        </w:rPr>
        <w:t xml:space="preserve">la </w:t>
      </w:r>
      <w:r w:rsidRPr="00956E1F">
        <w:rPr>
          <w:rFonts w:ascii="Book Antiqua" w:hAnsi="Book Antiqua"/>
          <w:bCs/>
          <w:lang w:val="es-ES_tradnl"/>
        </w:rPr>
        <w:t>pérdida de recaudos al erario.</w:t>
      </w:r>
    </w:p>
    <w:p w14:paraId="28FDB188" w14:textId="77777777" w:rsidR="00EA1D32" w:rsidRPr="00956E1F"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Asimismo, </w:t>
      </w:r>
      <w:r>
        <w:rPr>
          <w:rFonts w:ascii="Book Antiqua" w:hAnsi="Book Antiqua"/>
          <w:bCs/>
          <w:lang w:val="es-ES_tradnl"/>
        </w:rPr>
        <w:t>se</w:t>
      </w:r>
      <w:r w:rsidRPr="00956E1F">
        <w:rPr>
          <w:rFonts w:ascii="Book Antiqua" w:hAnsi="Book Antiqua"/>
          <w:bCs/>
          <w:lang w:val="es-ES_tradnl"/>
        </w:rPr>
        <w:t xml:space="preserve"> reconoce la importancia de armonizar las competencias locales con las federales, sin interferir con la jurisdicción del U.S. Coast Guard, garantizando a la vez que el DRNA cuente con la discreción administrativa necesaria para actuar de manera prudente y efectiva ante escenarios excepcionales.</w:t>
      </w:r>
    </w:p>
    <w:p w14:paraId="27907BF5" w14:textId="77777777" w:rsidR="00EA1D32" w:rsidRDefault="00EA1D32" w:rsidP="00EA1D32">
      <w:pPr>
        <w:spacing w:after="120"/>
        <w:ind w:firstLine="720"/>
        <w:jc w:val="both"/>
        <w:rPr>
          <w:rFonts w:ascii="Book Antiqua" w:hAnsi="Book Antiqua"/>
          <w:bCs/>
          <w:lang w:val="es-ES_tradnl"/>
        </w:rPr>
      </w:pPr>
      <w:r w:rsidRPr="00956E1F">
        <w:rPr>
          <w:rFonts w:ascii="Book Antiqua" w:hAnsi="Book Antiqua"/>
          <w:bCs/>
          <w:lang w:val="es-ES_tradnl"/>
        </w:rPr>
        <w:t xml:space="preserve">En esencia, esta enmienda reafirma la política pública del Gobierno de Puerto Rico de promover una navegación segura, ordenada y justa, brindando al DRNA las </w:t>
      </w:r>
      <w:r w:rsidRPr="00956E1F">
        <w:rPr>
          <w:rFonts w:ascii="Book Antiqua" w:hAnsi="Book Antiqua"/>
          <w:bCs/>
          <w:lang w:val="es-ES_tradnl"/>
        </w:rPr>
        <w:lastRenderedPageBreak/>
        <w:t xml:space="preserve">herramientas normativas necesarias para asegurar </w:t>
      </w:r>
      <w:r>
        <w:rPr>
          <w:rFonts w:ascii="Book Antiqua" w:hAnsi="Book Antiqua"/>
          <w:bCs/>
          <w:lang w:val="es-ES_tradnl"/>
        </w:rPr>
        <w:t xml:space="preserve">la </w:t>
      </w:r>
      <w:r w:rsidRPr="00956E1F">
        <w:rPr>
          <w:rFonts w:ascii="Book Antiqua" w:hAnsi="Book Antiqua"/>
          <w:bCs/>
          <w:lang w:val="es-ES_tradnl"/>
        </w:rPr>
        <w:t>continuidad operacional, proteger los derechos de los usuarios y salvaguardar el interés público durante interrupciones federales o contingencias imprevistas.</w:t>
      </w:r>
    </w:p>
    <w:p w14:paraId="75B113DC" w14:textId="77777777" w:rsidR="00EA1D32" w:rsidRDefault="00EA1D32" w:rsidP="00EA1D32">
      <w:pPr>
        <w:widowControl w:val="0"/>
        <w:suppressLineNumbers/>
        <w:autoSpaceDE w:val="0"/>
        <w:autoSpaceDN w:val="0"/>
        <w:adjustRightInd w:val="0"/>
        <w:spacing w:after="120"/>
        <w:ind w:firstLine="720"/>
        <w:jc w:val="both"/>
        <w:rPr>
          <w:rFonts w:ascii="Book Antiqua" w:hAnsi="Book Antiqua" w:cs="ADLaM Display"/>
          <w:bCs/>
          <w:szCs w:val="24"/>
          <w:lang w:val="es-PR"/>
        </w:rPr>
      </w:pPr>
    </w:p>
    <w:p w14:paraId="61568D91" w14:textId="0DB336B4" w:rsidR="00A92BA1" w:rsidRPr="00A92BA1" w:rsidRDefault="00A92BA1" w:rsidP="00A92BA1">
      <w:pPr>
        <w:widowControl w:val="0"/>
        <w:suppressLineNumbers/>
        <w:autoSpaceDE w:val="0"/>
        <w:autoSpaceDN w:val="0"/>
        <w:adjustRightInd w:val="0"/>
        <w:spacing w:after="120"/>
        <w:ind w:firstLine="720"/>
        <w:jc w:val="center"/>
        <w:rPr>
          <w:rFonts w:ascii="Book Antiqua" w:hAnsi="Book Antiqua" w:cs="ADLaM Display"/>
          <w:b/>
          <w:szCs w:val="24"/>
          <w:lang w:val="es-PR"/>
        </w:rPr>
      </w:pPr>
      <w:r>
        <w:rPr>
          <w:rFonts w:ascii="Book Antiqua" w:hAnsi="Book Antiqua" w:cs="ADLaM Display"/>
          <w:b/>
          <w:szCs w:val="24"/>
          <w:lang w:val="es-PR"/>
        </w:rPr>
        <w:t>ANÁLISIS DE LA MEDIDA</w:t>
      </w:r>
    </w:p>
    <w:p w14:paraId="153F1EB2" w14:textId="71CAC539" w:rsidR="00A92BA1" w:rsidRDefault="00B70178" w:rsidP="00A92BA1">
      <w:pPr>
        <w:spacing w:after="120"/>
        <w:ind w:firstLine="720"/>
        <w:jc w:val="both"/>
        <w:rPr>
          <w:rFonts w:ascii="Book Antiqua" w:eastAsia="Book Antiqua" w:hAnsi="Book Antiqua" w:cs="Book Antiqua"/>
          <w:bCs/>
          <w:szCs w:val="24"/>
        </w:rPr>
      </w:pPr>
      <w:bookmarkStart w:id="0" w:name="_Hlk200523953"/>
      <w:r w:rsidRPr="00ED0EC5">
        <w:rPr>
          <w:rFonts w:ascii="Book Antiqua" w:eastAsia="Book Antiqua" w:hAnsi="Book Antiqua" w:cs="Book Antiqua"/>
          <w:bCs/>
          <w:szCs w:val="24"/>
        </w:rPr>
        <w:t xml:space="preserve">La Comisión de Recursos Naturales, como parte de la evaluación del P. del </w:t>
      </w:r>
      <w:r w:rsidR="007C4D2D">
        <w:rPr>
          <w:rFonts w:ascii="Book Antiqua" w:eastAsia="Book Antiqua" w:hAnsi="Book Antiqua" w:cs="Book Antiqua"/>
          <w:bCs/>
          <w:szCs w:val="24"/>
        </w:rPr>
        <w:t>S</w:t>
      </w:r>
      <w:r w:rsidRPr="00ED0EC5">
        <w:rPr>
          <w:rFonts w:ascii="Book Antiqua" w:eastAsia="Book Antiqua" w:hAnsi="Book Antiqua" w:cs="Book Antiqua"/>
          <w:bCs/>
          <w:szCs w:val="24"/>
        </w:rPr>
        <w:t xml:space="preserve">. </w:t>
      </w:r>
      <w:r w:rsidR="00EA1D32">
        <w:rPr>
          <w:rFonts w:ascii="Book Antiqua" w:eastAsia="Book Antiqua" w:hAnsi="Book Antiqua" w:cs="Book Antiqua"/>
          <w:bCs/>
          <w:szCs w:val="24"/>
        </w:rPr>
        <w:t>1012</w:t>
      </w:r>
      <w:r w:rsidRPr="00ED0EC5">
        <w:rPr>
          <w:rFonts w:ascii="Book Antiqua" w:eastAsia="Book Antiqua" w:hAnsi="Book Antiqua" w:cs="Book Antiqua"/>
          <w:bCs/>
          <w:szCs w:val="24"/>
        </w:rPr>
        <w:t xml:space="preserve">, </w:t>
      </w:r>
      <w:r w:rsidR="00DF2D67">
        <w:rPr>
          <w:rFonts w:ascii="Book Antiqua" w:eastAsia="Book Antiqua" w:hAnsi="Book Antiqua" w:cs="Book Antiqua"/>
          <w:bCs/>
          <w:szCs w:val="24"/>
        </w:rPr>
        <w:t>solicitó</w:t>
      </w:r>
      <w:r w:rsidR="00DF2D67">
        <w:rPr>
          <w:rFonts w:ascii="Book Antiqua" w:eastAsia="Book Antiqua" w:hAnsi="Book Antiqua" w:cs="Book Antiqua"/>
          <w:bCs/>
          <w:szCs w:val="24"/>
          <w:lang w:val="es-PR"/>
        </w:rPr>
        <w:t xml:space="preserve"> al Cuerpo hermano los Memoriales recibidos por éste </w:t>
      </w:r>
      <w:r w:rsidRPr="00ED0EC5">
        <w:rPr>
          <w:rFonts w:ascii="Book Antiqua" w:eastAsia="Book Antiqua" w:hAnsi="Book Antiqua" w:cs="Book Antiqua"/>
          <w:bCs/>
          <w:szCs w:val="24"/>
        </w:rPr>
        <w:t>del Departamento de Recursos Naturales y Ambientales (DRNA)</w:t>
      </w:r>
      <w:r w:rsidR="00EA1D32">
        <w:rPr>
          <w:rFonts w:ascii="Book Antiqua" w:eastAsia="Book Antiqua" w:hAnsi="Book Antiqua" w:cs="Book Antiqua"/>
          <w:bCs/>
          <w:szCs w:val="24"/>
        </w:rPr>
        <w:t xml:space="preserve"> </w:t>
      </w:r>
      <w:r w:rsidR="00561383">
        <w:rPr>
          <w:rFonts w:ascii="Book Antiqua" w:eastAsia="Book Antiqua" w:hAnsi="Book Antiqua" w:cs="Book Antiqua"/>
          <w:bCs/>
          <w:szCs w:val="24"/>
        </w:rPr>
        <w:t xml:space="preserve">y </w:t>
      </w:r>
      <w:r w:rsidRPr="00ED0EC5">
        <w:rPr>
          <w:rFonts w:ascii="Book Antiqua" w:eastAsia="Book Antiqua" w:hAnsi="Book Antiqua" w:cs="Book Antiqua"/>
          <w:bCs/>
          <w:szCs w:val="24"/>
        </w:rPr>
        <w:t>de la Oficina de Presupuesto de la Asamblea Legislativa (OPAL)</w:t>
      </w:r>
      <w:r w:rsidR="00D84CE8" w:rsidRPr="00ED0EC5">
        <w:rPr>
          <w:rFonts w:ascii="Book Antiqua" w:eastAsia="Book Antiqua" w:hAnsi="Book Antiqua" w:cs="Book Antiqua"/>
          <w:bCs/>
          <w:szCs w:val="24"/>
        </w:rPr>
        <w:t xml:space="preserve">, </w:t>
      </w:r>
      <w:r w:rsidRPr="00ED0EC5">
        <w:rPr>
          <w:rFonts w:ascii="Book Antiqua" w:eastAsia="Book Antiqua" w:hAnsi="Book Antiqua" w:cs="Book Antiqua"/>
          <w:bCs/>
          <w:szCs w:val="24"/>
        </w:rPr>
        <w:t xml:space="preserve">los cuales nos fueron enviados.  </w:t>
      </w:r>
    </w:p>
    <w:p w14:paraId="03E5DA53" w14:textId="77777777" w:rsidR="00567EFC" w:rsidRDefault="00567EFC" w:rsidP="00A92BA1">
      <w:pPr>
        <w:spacing w:after="120"/>
        <w:ind w:firstLine="720"/>
        <w:jc w:val="both"/>
        <w:rPr>
          <w:rFonts w:ascii="Book Antiqua" w:eastAsia="Book Antiqua" w:hAnsi="Book Antiqua" w:cs="Book Antiqua"/>
          <w:bCs/>
          <w:szCs w:val="24"/>
        </w:rPr>
      </w:pPr>
    </w:p>
    <w:bookmarkEnd w:id="0"/>
    <w:p w14:paraId="5B4BF17E" w14:textId="3684FA64" w:rsidR="00B70178" w:rsidRPr="00ED0EC5" w:rsidRDefault="00A92BA1" w:rsidP="00A92BA1">
      <w:pPr>
        <w:spacing w:after="120"/>
        <w:jc w:val="both"/>
        <w:rPr>
          <w:rFonts w:ascii="Book Antiqua" w:eastAsia="Book Antiqua" w:hAnsi="Book Antiqua" w:cs="Book Antiqua"/>
          <w:b/>
          <w:bCs/>
          <w:szCs w:val="24"/>
        </w:rPr>
      </w:pPr>
      <w:r>
        <w:rPr>
          <w:rFonts w:ascii="Book Antiqua" w:eastAsia="Book Antiqua" w:hAnsi="Book Antiqua" w:cs="Book Antiqua"/>
          <w:b/>
          <w:bCs/>
          <w:szCs w:val="24"/>
        </w:rPr>
        <w:t>D</w:t>
      </w:r>
      <w:r w:rsidR="00B70178" w:rsidRPr="00ED0EC5">
        <w:rPr>
          <w:rFonts w:ascii="Book Antiqua" w:eastAsia="Book Antiqua" w:hAnsi="Book Antiqua" w:cs="Book Antiqua"/>
          <w:b/>
          <w:bCs/>
          <w:szCs w:val="24"/>
        </w:rPr>
        <w:t>epartamento de Recursos Naturales y Ambientales (DRNA)</w:t>
      </w:r>
    </w:p>
    <w:p w14:paraId="5CD3D470" w14:textId="77777777" w:rsidR="009C1191" w:rsidRDefault="00B70178" w:rsidP="00A92BA1">
      <w:pPr>
        <w:spacing w:after="120"/>
        <w:ind w:firstLine="720"/>
        <w:jc w:val="both"/>
        <w:rPr>
          <w:rFonts w:ascii="Book Antiqua" w:eastAsia="Book Antiqua" w:hAnsi="Book Antiqua" w:cs="Book Antiqua"/>
          <w:szCs w:val="24"/>
        </w:rPr>
      </w:pPr>
      <w:r w:rsidRPr="00ED0EC5">
        <w:rPr>
          <w:rFonts w:ascii="Book Antiqua" w:eastAsia="Book Antiqua" w:hAnsi="Book Antiqua" w:cs="Book Antiqua"/>
          <w:szCs w:val="24"/>
        </w:rPr>
        <w:t xml:space="preserve">El Departamento de Recursos Naturales y Ambientales (DRNA) se expresó mediante carta de fecha </w:t>
      </w:r>
      <w:r w:rsidR="00EA1D32">
        <w:rPr>
          <w:rFonts w:ascii="Book Antiqua" w:eastAsia="Book Antiqua" w:hAnsi="Book Antiqua" w:cs="Book Antiqua"/>
          <w:szCs w:val="24"/>
        </w:rPr>
        <w:t>20 de febrero</w:t>
      </w:r>
      <w:r w:rsidR="009E3280">
        <w:rPr>
          <w:rFonts w:ascii="Book Antiqua" w:eastAsia="Book Antiqua" w:hAnsi="Book Antiqua" w:cs="Book Antiqua"/>
          <w:szCs w:val="24"/>
        </w:rPr>
        <w:t xml:space="preserve"> de 2026</w:t>
      </w:r>
      <w:r w:rsidRPr="00ED0EC5">
        <w:rPr>
          <w:rFonts w:ascii="Book Antiqua" w:eastAsia="Book Antiqua" w:hAnsi="Book Antiqua" w:cs="Book Antiqua"/>
          <w:szCs w:val="24"/>
        </w:rPr>
        <w:t xml:space="preserve">, </w:t>
      </w:r>
      <w:r w:rsidR="0099424B" w:rsidRPr="00ED0EC5">
        <w:rPr>
          <w:rFonts w:ascii="Book Antiqua" w:eastAsia="Book Antiqua" w:hAnsi="Book Antiqua" w:cs="Book Antiqua"/>
          <w:szCs w:val="24"/>
        </w:rPr>
        <w:t xml:space="preserve">sometiendo sus comentarios respecto al </w:t>
      </w:r>
      <w:r w:rsidR="009E3280">
        <w:rPr>
          <w:rFonts w:ascii="Book Antiqua" w:eastAsia="Book Antiqua" w:hAnsi="Book Antiqua" w:cs="Book Antiqua"/>
          <w:szCs w:val="24"/>
        </w:rPr>
        <w:br w:type="textWrapping" w:clear="all"/>
      </w:r>
      <w:r w:rsidR="0099424B" w:rsidRPr="00ED0EC5">
        <w:rPr>
          <w:rFonts w:ascii="Book Antiqua" w:eastAsia="Book Antiqua" w:hAnsi="Book Antiqua" w:cs="Book Antiqua"/>
          <w:szCs w:val="24"/>
        </w:rPr>
        <w:t xml:space="preserve">P. del S. </w:t>
      </w:r>
      <w:r w:rsidR="00EA1D32">
        <w:rPr>
          <w:rFonts w:ascii="Book Antiqua" w:eastAsia="Book Antiqua" w:hAnsi="Book Antiqua" w:cs="Book Antiqua"/>
          <w:szCs w:val="24"/>
        </w:rPr>
        <w:t xml:space="preserve">1012. </w:t>
      </w:r>
    </w:p>
    <w:p w14:paraId="4118F21F" w14:textId="46E4BDFD" w:rsidR="009C1191" w:rsidRDefault="009E3280" w:rsidP="00A92BA1">
      <w:pPr>
        <w:spacing w:after="120"/>
        <w:ind w:firstLine="720"/>
        <w:jc w:val="both"/>
        <w:rPr>
          <w:rFonts w:ascii="Book Antiqua" w:eastAsia="Book Antiqua" w:hAnsi="Book Antiqua" w:cs="Book Antiqua"/>
          <w:szCs w:val="24"/>
        </w:rPr>
      </w:pPr>
      <w:r w:rsidRPr="009C1191">
        <w:rPr>
          <w:rFonts w:ascii="Book Antiqua" w:eastAsia="Book Antiqua" w:hAnsi="Book Antiqua" w:cs="Book Antiqua"/>
          <w:szCs w:val="24"/>
        </w:rPr>
        <w:t>Expr</w:t>
      </w:r>
      <w:r>
        <w:rPr>
          <w:rFonts w:ascii="Book Antiqua" w:eastAsia="Book Antiqua" w:hAnsi="Book Antiqua" w:cs="Book Antiqua"/>
          <w:szCs w:val="24"/>
        </w:rPr>
        <w:t xml:space="preserve">esa en su memorial </w:t>
      </w:r>
      <w:r w:rsidR="009C1191">
        <w:rPr>
          <w:rFonts w:ascii="Book Antiqua" w:eastAsia="Book Antiqua" w:hAnsi="Book Antiqua" w:cs="Book Antiqua"/>
          <w:szCs w:val="24"/>
        </w:rPr>
        <w:t xml:space="preserve">que la Ley 430-2000 regula la inscripción, numeración, operación y seguridad de las embarcaciones que transitan por las aguas jurisdiccionales de Puerto Rico y que, conforme a dicho estatuto, el DRNA es la agencia responsable de expedir los marbetes y autorizaciones que acreditan el cumplimiento con los requisitos legales aplicables. </w:t>
      </w:r>
    </w:p>
    <w:p w14:paraId="2054A74C" w14:textId="474394AB" w:rsidR="009C1191" w:rsidRDefault="009C1191"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Según la ley antes mencionada, las embarcaciones documentadas son aquellas que tengan un certificado de inscripción vigente expedido por el Servicio de Guardacostas de los Estados Unidos de América y un marbete federal debidamente acreditado. En el caso de que embarcaciones documentadas por el Gobierno Federal deseen operar en las aguas de Puerto Rico, deberán ser registradas en el DRNA una vez transcurrido el término de reciprocidad de sesenta (60) días. Este requisito responde a la necesidad de garantizar certeza jurídica respecto a la titularidad, nacionalidad y condición registral de la</w:t>
      </w:r>
      <w:r w:rsidR="00683371">
        <w:rPr>
          <w:rFonts w:ascii="Book Antiqua" w:eastAsia="Book Antiqua" w:hAnsi="Book Antiqua" w:cs="Book Antiqua"/>
          <w:szCs w:val="24"/>
        </w:rPr>
        <w:t xml:space="preserve"> embarcación, así como la debida armonización entre la jurisdicción estatal y la federal en materia marítima. </w:t>
      </w:r>
    </w:p>
    <w:p w14:paraId="174F4E94" w14:textId="0A3D208F" w:rsidR="007608A7" w:rsidRDefault="009054DB"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Informa que el </w:t>
      </w:r>
      <w:proofErr w:type="spellStart"/>
      <w:r w:rsidRPr="009054DB">
        <w:rPr>
          <w:rFonts w:ascii="Book Antiqua" w:eastAsia="Book Antiqua" w:hAnsi="Book Antiqua" w:cs="Book Antiqua"/>
          <w:i/>
          <w:iCs/>
          <w:szCs w:val="24"/>
        </w:rPr>
        <w:t>National</w:t>
      </w:r>
      <w:proofErr w:type="spellEnd"/>
      <w:r w:rsidRPr="009054DB">
        <w:rPr>
          <w:rFonts w:ascii="Book Antiqua" w:eastAsia="Book Antiqua" w:hAnsi="Book Antiqua" w:cs="Book Antiqua"/>
          <w:i/>
          <w:iCs/>
          <w:szCs w:val="24"/>
        </w:rPr>
        <w:t xml:space="preserve"> Vessel </w:t>
      </w:r>
      <w:proofErr w:type="spellStart"/>
      <w:r w:rsidRPr="009054DB">
        <w:rPr>
          <w:rFonts w:ascii="Book Antiqua" w:eastAsia="Book Antiqua" w:hAnsi="Book Antiqua" w:cs="Book Antiqua"/>
          <w:i/>
          <w:iCs/>
          <w:szCs w:val="24"/>
        </w:rPr>
        <w:t>Documentation</w:t>
      </w:r>
      <w:proofErr w:type="spellEnd"/>
      <w:r w:rsidRPr="009054DB">
        <w:rPr>
          <w:rFonts w:ascii="Book Antiqua" w:eastAsia="Book Antiqua" w:hAnsi="Book Antiqua" w:cs="Book Antiqua"/>
          <w:i/>
          <w:iCs/>
          <w:szCs w:val="24"/>
        </w:rPr>
        <w:t xml:space="preserve"> Center</w:t>
      </w:r>
      <w:r>
        <w:rPr>
          <w:rFonts w:ascii="Book Antiqua" w:eastAsia="Book Antiqua" w:hAnsi="Book Antiqua" w:cs="Book Antiqua"/>
          <w:szCs w:val="24"/>
        </w:rPr>
        <w:t xml:space="preserve"> (NVDC) es la unidad designada dentro del Coast Guard responsable de procesar las transacciones relacionadas con la documentación de embarcaciones y mantener los registros oficiales correspondientes. Esta unidad emite los Certificados de Documentación Federal, los cuales acreditan la titularidad, nacionalidad y estatus legal de determinadas embarcaciones que operan en aguas de los Estados Unidos, particularmente aquellas dedicadas a actividades comerciales o que optan por documentación federal en lugar de numeración estatal. Entre sus funciones principales se encuentran la verificación de la titularidad de la embarcación, la expedición y renovación de certificados, el mantenimiento de los registros oficiales y la fiscalización del cumplimiento con las leyes federales marítimas aplicables. </w:t>
      </w:r>
    </w:p>
    <w:p w14:paraId="56767E74" w14:textId="77777777" w:rsidR="00CD583A" w:rsidRDefault="00CD583A"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lastRenderedPageBreak/>
        <w:t>Expone que, e</w:t>
      </w:r>
      <w:r w:rsidR="009054DB">
        <w:rPr>
          <w:rFonts w:ascii="Book Antiqua" w:eastAsia="Book Antiqua" w:hAnsi="Book Antiqua" w:cs="Book Antiqua"/>
          <w:szCs w:val="24"/>
        </w:rPr>
        <w:t xml:space="preserve">n escenarios tales como cierres del gobierno federal (“shutdown”), las agencias federales pueden suspender o limitar la prestación de servicios administrativos, incluyendo la emisión o renovación de certificados de documentación. </w:t>
      </w:r>
      <w:r w:rsidR="007608A7">
        <w:rPr>
          <w:rFonts w:ascii="Book Antiqua" w:eastAsia="Book Antiqua" w:hAnsi="Book Antiqua" w:cs="Book Antiqua"/>
          <w:szCs w:val="24"/>
        </w:rPr>
        <w:t xml:space="preserve">En tales circunstancias, aun cuando el propietario haya radicado oportunamente su solicitud ante la agencia federal competente y haya cumplido con sus obligaciones, la ausencia del certificado federal vigente impide la inscripción o renovación del marbete ante el DRNA. No obstante, el DRNA reconoce que, siempre y cuando el navegante o cliente presente evidencia fehaciente de haber solicitado la documentación correspondiente ante el Coast Guard, no existiría impedimento para emitir el marbete o realizar cualquier otra transacción administrativa relacionada, en armonía con la facultad que esta medida propone conferir. Esta situación genera una consecuencia desproporcionada para el navegante cumplidor y, a su vez, limita la capacidad </w:t>
      </w:r>
      <w:r w:rsidR="00524C85">
        <w:rPr>
          <w:rFonts w:ascii="Book Antiqua" w:eastAsia="Book Antiqua" w:hAnsi="Book Antiqua" w:cs="Book Antiqua"/>
          <w:szCs w:val="24"/>
        </w:rPr>
        <w:t>administrativa del DRNA para atender estos casos con flexibilidad razonable, al no contar con una autorización expresa en ley que permita extender provisionalmente la vigencia del marbete en circunstancias extraordinarias.</w:t>
      </w:r>
    </w:p>
    <w:p w14:paraId="142C4512" w14:textId="77777777" w:rsidR="009069EE" w:rsidRDefault="00CD583A"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El DRNA enfatiza en que el P. del S. 1012, atiende de forma ordenada esta laguna normativa, al facultar expresamente al </w:t>
      </w:r>
      <w:proofErr w:type="gramStart"/>
      <w:r>
        <w:rPr>
          <w:rFonts w:ascii="Book Antiqua" w:eastAsia="Book Antiqua" w:hAnsi="Book Antiqua" w:cs="Book Antiqua"/>
          <w:szCs w:val="24"/>
        </w:rPr>
        <w:t>Secretario</w:t>
      </w:r>
      <w:proofErr w:type="gramEnd"/>
      <w:r>
        <w:rPr>
          <w:rFonts w:ascii="Book Antiqua" w:eastAsia="Book Antiqua" w:hAnsi="Book Antiqua" w:cs="Book Antiqua"/>
          <w:szCs w:val="24"/>
        </w:rPr>
        <w:t xml:space="preserve"> a conceder extensiones temporeras, condicionadas y limitadas, cuando la imposibilidad de renovar la documentación federal responda a un acusa ajena al control del propietario. De igual manera, la medida reconoce la facultad del </w:t>
      </w:r>
      <w:proofErr w:type="gramStart"/>
      <w:r>
        <w:rPr>
          <w:rFonts w:ascii="Book Antiqua" w:eastAsia="Book Antiqua" w:hAnsi="Book Antiqua" w:cs="Book Antiqua"/>
          <w:szCs w:val="24"/>
        </w:rPr>
        <w:t>Secretario</w:t>
      </w:r>
      <w:proofErr w:type="gramEnd"/>
      <w:r>
        <w:rPr>
          <w:rFonts w:ascii="Book Antiqua" w:eastAsia="Book Antiqua" w:hAnsi="Book Antiqua" w:cs="Book Antiqua"/>
          <w:szCs w:val="24"/>
        </w:rPr>
        <w:t xml:space="preserve"> del DRNA para establecer los mecanismos y criterios </w:t>
      </w:r>
      <w:r w:rsidR="009069EE">
        <w:rPr>
          <w:rFonts w:ascii="Book Antiqua" w:eastAsia="Book Antiqua" w:hAnsi="Book Antiqua" w:cs="Book Antiqua"/>
          <w:szCs w:val="24"/>
        </w:rPr>
        <w:t xml:space="preserve">de implantación mediante orden administrativa, carta circular o reglamentación conforme a la Ley 38-2017, conocida como Ley de Procedimiento Administrativo Uniforme del Gobierno de Puerto Rico. </w:t>
      </w:r>
    </w:p>
    <w:p w14:paraId="14E7D9B9" w14:textId="77777777" w:rsidR="009069EE" w:rsidRDefault="009069EE"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Resalta en que esta propuesta no interfiere con la jurisdicción federal ni altera los requisitos sustantivos de documentación marítima, sino que provee una herramienta administrativa provisional para manejar escenarios excepcionales, manteniendo la coherencia con la política pública de seguridad en la navegación. A estos efectos, el DRNA recomienda que se soliciten comentarios al Coast Guard, a los fines de contar con su insumo técnico y asegurar la adecuada armonización interjurisdiccional en la implantación de la medida. </w:t>
      </w:r>
    </w:p>
    <w:p w14:paraId="61CFD1A4" w14:textId="7BDF2E2D" w:rsidR="009054DB" w:rsidRDefault="009069EE" w:rsidP="00A92BA1">
      <w:pPr>
        <w:spacing w:after="120"/>
        <w:ind w:firstLine="720"/>
        <w:jc w:val="both"/>
        <w:rPr>
          <w:rFonts w:ascii="Book Antiqua" w:eastAsia="Book Antiqua" w:hAnsi="Book Antiqua" w:cs="Book Antiqua"/>
          <w:szCs w:val="24"/>
        </w:rPr>
      </w:pPr>
      <w:r>
        <w:rPr>
          <w:rFonts w:ascii="Book Antiqua" w:eastAsia="Book Antiqua" w:hAnsi="Book Antiqua" w:cs="Book Antiqua"/>
          <w:szCs w:val="24"/>
        </w:rPr>
        <w:t xml:space="preserve">Finalmente, el DRNA endosa favorablemente el P. del S. 1012, por entender que atiende de forma prudente y balanceada una necesidad operacional real, armonizando las competencias estatales y federales, y fortaleciendo la capacidad administrativa de la Agencia ante circunstancias excepcionales. </w:t>
      </w:r>
      <w:r w:rsidR="00524C85">
        <w:rPr>
          <w:rFonts w:ascii="Book Antiqua" w:eastAsia="Book Antiqua" w:hAnsi="Book Antiqua" w:cs="Book Antiqua"/>
          <w:szCs w:val="24"/>
        </w:rPr>
        <w:t xml:space="preserve"> </w:t>
      </w:r>
    </w:p>
    <w:p w14:paraId="04FBE9A1" w14:textId="77777777" w:rsidR="009C1191" w:rsidRDefault="009C1191" w:rsidP="00A92BA1">
      <w:pPr>
        <w:spacing w:after="120"/>
        <w:ind w:firstLine="720"/>
        <w:jc w:val="both"/>
        <w:rPr>
          <w:rFonts w:ascii="Book Antiqua" w:eastAsia="Book Antiqua" w:hAnsi="Book Antiqua" w:cs="Book Antiqua"/>
          <w:szCs w:val="24"/>
        </w:rPr>
      </w:pPr>
    </w:p>
    <w:p w14:paraId="7852F34E" w14:textId="1DB979D0" w:rsidR="00CC765C" w:rsidRPr="00ED0EC5" w:rsidRDefault="00206810" w:rsidP="00206810">
      <w:pPr>
        <w:spacing w:line="360" w:lineRule="auto"/>
        <w:jc w:val="center"/>
        <w:rPr>
          <w:rFonts w:ascii="Book Antiqua" w:eastAsia="Book Antiqua" w:hAnsi="Book Antiqua" w:cs="Book Antiqua"/>
          <w:b/>
          <w:bCs/>
          <w:szCs w:val="24"/>
        </w:rPr>
      </w:pPr>
      <w:r>
        <w:rPr>
          <w:rFonts w:ascii="Book Antiqua" w:hAnsi="Book Antiqua"/>
          <w:b/>
          <w:bCs/>
          <w:color w:val="080808"/>
          <w:w w:val="105"/>
          <w:szCs w:val="24"/>
        </w:rPr>
        <w:t>IMPACTO FISCAL</w:t>
      </w:r>
    </w:p>
    <w:p w14:paraId="56DE1BCE" w14:textId="24AB514A" w:rsidR="009069EE" w:rsidRDefault="00B70178" w:rsidP="00A729A2">
      <w:pPr>
        <w:pStyle w:val="BodyText"/>
        <w:spacing w:line="240" w:lineRule="auto"/>
        <w:ind w:right="360"/>
        <w:jc w:val="both"/>
        <w:rPr>
          <w:rFonts w:ascii="Book Antiqua" w:eastAsia="Book Antiqua" w:hAnsi="Book Antiqua" w:cs="Book Antiqua"/>
          <w:sz w:val="24"/>
          <w:szCs w:val="24"/>
        </w:rPr>
      </w:pPr>
      <w:r w:rsidRPr="00ED0EC5">
        <w:rPr>
          <w:rFonts w:ascii="Book Antiqua" w:hAnsi="Book Antiqua"/>
          <w:b/>
          <w:bCs/>
          <w:color w:val="080808"/>
          <w:w w:val="105"/>
          <w:sz w:val="24"/>
          <w:szCs w:val="24"/>
        </w:rPr>
        <w:tab/>
      </w:r>
      <w:r w:rsidR="00CA5495" w:rsidRPr="00ED0EC5">
        <w:rPr>
          <w:rFonts w:ascii="Book Antiqua" w:hAnsi="Book Antiqua"/>
          <w:color w:val="080808"/>
          <w:w w:val="105"/>
          <w:sz w:val="24"/>
          <w:szCs w:val="24"/>
        </w:rPr>
        <w:t xml:space="preserve">La Oficina de Presupuesto de la Asamblea Legislativa </w:t>
      </w:r>
      <w:r w:rsidR="00206810">
        <w:rPr>
          <w:rFonts w:ascii="Book Antiqua" w:hAnsi="Book Antiqua"/>
          <w:color w:val="080808"/>
          <w:w w:val="105"/>
          <w:sz w:val="24"/>
          <w:szCs w:val="24"/>
        </w:rPr>
        <w:t xml:space="preserve">(OPAL) </w:t>
      </w:r>
      <w:r w:rsidRPr="00ED0EC5">
        <w:rPr>
          <w:rFonts w:ascii="Book Antiqua" w:hAnsi="Book Antiqua"/>
          <w:color w:val="080808"/>
          <w:w w:val="105"/>
          <w:sz w:val="24"/>
          <w:szCs w:val="24"/>
        </w:rPr>
        <w:t>suministró el Informe 2026-</w:t>
      </w:r>
      <w:r w:rsidR="009069EE">
        <w:rPr>
          <w:rFonts w:ascii="Book Antiqua" w:hAnsi="Book Antiqua"/>
          <w:color w:val="080808"/>
          <w:w w:val="105"/>
          <w:sz w:val="24"/>
          <w:szCs w:val="24"/>
        </w:rPr>
        <w:t>396</w:t>
      </w:r>
      <w:r w:rsidRPr="00ED0EC5">
        <w:rPr>
          <w:rFonts w:ascii="Book Antiqua" w:hAnsi="Book Antiqua"/>
          <w:color w:val="080808"/>
          <w:w w:val="105"/>
          <w:sz w:val="24"/>
          <w:szCs w:val="24"/>
        </w:rPr>
        <w:t xml:space="preserve"> de </w:t>
      </w:r>
      <w:r w:rsidR="009069EE">
        <w:rPr>
          <w:rFonts w:ascii="Book Antiqua" w:hAnsi="Book Antiqua"/>
          <w:color w:val="080808"/>
          <w:w w:val="105"/>
          <w:sz w:val="24"/>
          <w:szCs w:val="24"/>
        </w:rPr>
        <w:t>marzo de 2026</w:t>
      </w:r>
      <w:r w:rsidR="0082251E">
        <w:rPr>
          <w:rFonts w:ascii="Book Antiqua" w:hAnsi="Book Antiqua"/>
          <w:color w:val="080808"/>
          <w:w w:val="105"/>
          <w:sz w:val="24"/>
          <w:szCs w:val="24"/>
        </w:rPr>
        <w:t>,</w:t>
      </w:r>
      <w:r w:rsidR="00CA5495" w:rsidRPr="00ED0EC5">
        <w:rPr>
          <w:rFonts w:ascii="Book Antiqua" w:hAnsi="Book Antiqua"/>
          <w:color w:val="080808"/>
          <w:w w:val="105"/>
          <w:sz w:val="24"/>
          <w:szCs w:val="24"/>
        </w:rPr>
        <w:t xml:space="preserve"> </w:t>
      </w:r>
      <w:r w:rsidR="00FB3D98">
        <w:rPr>
          <w:rFonts w:ascii="Book Antiqua" w:hAnsi="Book Antiqua"/>
          <w:color w:val="080808"/>
          <w:w w:val="105"/>
          <w:sz w:val="24"/>
          <w:szCs w:val="24"/>
        </w:rPr>
        <w:t>en el cual s</w:t>
      </w:r>
      <w:r w:rsidR="003E441E" w:rsidRPr="00ED0EC5">
        <w:rPr>
          <w:rFonts w:ascii="Book Antiqua" w:eastAsia="Book Antiqua" w:hAnsi="Book Antiqua" w:cs="Book Antiqua"/>
          <w:sz w:val="24"/>
          <w:szCs w:val="24"/>
        </w:rPr>
        <w:t xml:space="preserve">eñala que </w:t>
      </w:r>
      <w:r w:rsidR="00A729A2">
        <w:rPr>
          <w:rFonts w:ascii="Book Antiqua" w:eastAsia="Book Antiqua" w:hAnsi="Book Antiqua" w:cs="Book Antiqua"/>
          <w:sz w:val="24"/>
          <w:szCs w:val="24"/>
        </w:rPr>
        <w:t xml:space="preserve">de aprobarse el P. del S. </w:t>
      </w:r>
      <w:r w:rsidR="009069EE">
        <w:rPr>
          <w:rFonts w:ascii="Book Antiqua" w:eastAsia="Book Antiqua" w:hAnsi="Book Antiqua" w:cs="Book Antiqua"/>
          <w:sz w:val="24"/>
          <w:szCs w:val="24"/>
        </w:rPr>
        <w:t>1012</w:t>
      </w:r>
      <w:r w:rsidR="00A729A2">
        <w:rPr>
          <w:rFonts w:ascii="Book Antiqua" w:eastAsia="Book Antiqua" w:hAnsi="Book Antiqua" w:cs="Book Antiqua"/>
          <w:sz w:val="24"/>
          <w:szCs w:val="24"/>
        </w:rPr>
        <w:t xml:space="preserve">, se </w:t>
      </w:r>
      <w:r w:rsidR="009069EE">
        <w:rPr>
          <w:rFonts w:ascii="Book Antiqua" w:eastAsia="Book Antiqua" w:hAnsi="Book Antiqua" w:cs="Book Antiqua"/>
          <w:sz w:val="24"/>
          <w:szCs w:val="24"/>
        </w:rPr>
        <w:t xml:space="preserve">añadiría un nuevo inciso al Artículo 9 de la Ley Núm. 430-2000 para facultar al </w:t>
      </w:r>
      <w:proofErr w:type="gramStart"/>
      <w:r w:rsidR="009069EE">
        <w:rPr>
          <w:rFonts w:ascii="Book Antiqua" w:eastAsia="Book Antiqua" w:hAnsi="Book Antiqua" w:cs="Book Antiqua"/>
          <w:sz w:val="24"/>
          <w:szCs w:val="24"/>
        </w:rPr>
        <w:t>Secretario</w:t>
      </w:r>
      <w:proofErr w:type="gramEnd"/>
      <w:r w:rsidR="009069EE">
        <w:rPr>
          <w:rFonts w:ascii="Book Antiqua" w:eastAsia="Book Antiqua" w:hAnsi="Book Antiqua" w:cs="Book Antiqua"/>
          <w:sz w:val="24"/>
          <w:szCs w:val="24"/>
        </w:rPr>
        <w:t xml:space="preserve"> del DRNA a conceder extensiones provisionales en la vigencia del </w:t>
      </w:r>
      <w:r w:rsidR="009069EE">
        <w:rPr>
          <w:rFonts w:ascii="Book Antiqua" w:eastAsia="Book Antiqua" w:hAnsi="Book Antiqua" w:cs="Book Antiqua"/>
          <w:sz w:val="24"/>
          <w:szCs w:val="24"/>
        </w:rPr>
        <w:lastRenderedPageBreak/>
        <w:t xml:space="preserve">marbete de embarcaciones documentadas federalmente cuando circunstancias fuera del control del propietario impidan completar el trámite ante las autoridades federales. </w:t>
      </w:r>
      <w:r w:rsidR="00A64600">
        <w:rPr>
          <w:rFonts w:ascii="Book Antiqua" w:eastAsia="Book Antiqua" w:hAnsi="Book Antiqua" w:cs="Book Antiqua"/>
          <w:sz w:val="24"/>
          <w:szCs w:val="24"/>
        </w:rPr>
        <w:t xml:space="preserve">La disposición establece el término máximo de la prórroga, requiere evidencia del trámite federal y la entrega posterior del certificado actualizado. </w:t>
      </w:r>
    </w:p>
    <w:p w14:paraId="135F7B2E" w14:textId="06F6793E" w:rsidR="00A64600" w:rsidRDefault="00A729A2" w:rsidP="00A729A2">
      <w:pPr>
        <w:pStyle w:val="BodyText"/>
        <w:spacing w:line="240" w:lineRule="auto"/>
        <w:ind w:right="360"/>
        <w:jc w:val="both"/>
        <w:rPr>
          <w:rFonts w:ascii="Book Antiqua" w:eastAsia="Book Antiqua" w:hAnsi="Book Antiqua" w:cs="Book Antiqua"/>
          <w:sz w:val="24"/>
          <w:szCs w:val="24"/>
        </w:rPr>
      </w:pPr>
      <w:r>
        <w:rPr>
          <w:rFonts w:ascii="Book Antiqua" w:eastAsia="Book Antiqua" w:hAnsi="Book Antiqua" w:cs="Book Antiqua"/>
          <w:sz w:val="24"/>
          <w:szCs w:val="24"/>
        </w:rPr>
        <w:tab/>
        <w:t>A tenor con lo anterior, la OPAL concluyó que la medida no conlleva impacto fiscal</w:t>
      </w:r>
      <w:r w:rsidR="00A64600">
        <w:rPr>
          <w:rFonts w:ascii="Book Antiqua" w:eastAsia="Book Antiqua" w:hAnsi="Book Antiqua" w:cs="Book Antiqua"/>
          <w:sz w:val="24"/>
          <w:szCs w:val="24"/>
        </w:rPr>
        <w:t xml:space="preserve"> significativo. Aunque los recaudos por la emisión o renovación del marbete podrían diferirse temporalmente debido a la prórroga, los ingresos se recibirían una vez completado el trámite federal. Además, la implementación se realizaría con los recursos humanos y operativos existentes, sin generar costos recurrentes ni desembolsos adicionales sustanciales.</w:t>
      </w:r>
    </w:p>
    <w:p w14:paraId="54CA941D" w14:textId="77777777" w:rsidR="00A64600" w:rsidRDefault="00A64600" w:rsidP="00A729A2">
      <w:pPr>
        <w:pStyle w:val="BodyText"/>
        <w:spacing w:line="240" w:lineRule="auto"/>
        <w:ind w:right="360"/>
        <w:jc w:val="both"/>
        <w:rPr>
          <w:rFonts w:ascii="Book Antiqua" w:eastAsia="Book Antiqua" w:hAnsi="Book Antiqua" w:cs="Book Antiqua"/>
          <w:sz w:val="24"/>
          <w:szCs w:val="24"/>
        </w:rPr>
      </w:pPr>
    </w:p>
    <w:p w14:paraId="6D41D132" w14:textId="77777777" w:rsidR="00B70178" w:rsidRDefault="00B70178" w:rsidP="00E4492B">
      <w:pPr>
        <w:spacing w:line="360" w:lineRule="auto"/>
        <w:jc w:val="center"/>
        <w:rPr>
          <w:rFonts w:ascii="Book Antiqua" w:eastAsia="Book Antiqua" w:hAnsi="Book Antiqua" w:cs="Book Antiqua"/>
          <w:b/>
          <w:bCs/>
          <w:szCs w:val="24"/>
        </w:rPr>
      </w:pPr>
      <w:r w:rsidRPr="00ED0EC5">
        <w:rPr>
          <w:rFonts w:ascii="Book Antiqua" w:eastAsia="Book Antiqua" w:hAnsi="Book Antiqua" w:cs="Book Antiqua"/>
          <w:b/>
          <w:bCs/>
          <w:szCs w:val="24"/>
        </w:rPr>
        <w:t>CONCLUSIÓN</w:t>
      </w:r>
    </w:p>
    <w:p w14:paraId="7B542D4B" w14:textId="55DC68FD" w:rsidR="00A64600" w:rsidRDefault="00A64600" w:rsidP="00B969F2">
      <w:pPr>
        <w:spacing w:after="120"/>
        <w:jc w:val="both"/>
        <w:rPr>
          <w:rFonts w:ascii="Book Antiqua" w:eastAsia="Book Antiqua" w:hAnsi="Book Antiqua" w:cs="Book Antiqua"/>
          <w:szCs w:val="24"/>
        </w:rPr>
      </w:pPr>
      <w:r>
        <w:rPr>
          <w:rFonts w:ascii="Book Antiqua" w:eastAsia="Book Antiqua" w:hAnsi="Book Antiqua" w:cs="Book Antiqua"/>
          <w:b/>
          <w:bCs/>
          <w:szCs w:val="24"/>
        </w:rPr>
        <w:tab/>
      </w:r>
      <w:r>
        <w:rPr>
          <w:rFonts w:ascii="Book Antiqua" w:eastAsia="Book Antiqua" w:hAnsi="Book Antiqua" w:cs="Book Antiqua"/>
          <w:szCs w:val="24"/>
        </w:rPr>
        <w:t xml:space="preserve">Conforme al análisis del Proyecto del Senado 1012 y al memorial explicativo </w:t>
      </w:r>
      <w:r w:rsidR="00B969F2">
        <w:rPr>
          <w:rFonts w:ascii="Book Antiqua" w:eastAsia="Book Antiqua" w:hAnsi="Book Antiqua" w:cs="Book Antiqua"/>
          <w:szCs w:val="24"/>
        </w:rPr>
        <w:t xml:space="preserve">presentado por el DRNA, el cual favorece expresamente la medida, la Comisión de Recursos Naturales concluye que la propuesta legislativa atiende de manera responsable y necesaria una laguna en el ordenamiento jurídico vigente relacionada con la renovación de marbetes de embarcaciones documentadas por el Gobierno Federal en circunstancias extraordinarias ajenas al control de sus propietarios. </w:t>
      </w:r>
    </w:p>
    <w:p w14:paraId="6FADB722" w14:textId="16C104F8" w:rsidR="00B969F2" w:rsidRPr="00A64600" w:rsidRDefault="00B969F2" w:rsidP="00B969F2">
      <w:pPr>
        <w:spacing w:after="120"/>
        <w:jc w:val="both"/>
        <w:rPr>
          <w:rFonts w:ascii="Book Antiqua" w:eastAsia="Book Antiqua" w:hAnsi="Book Antiqua" w:cs="Book Antiqua"/>
          <w:szCs w:val="24"/>
        </w:rPr>
      </w:pPr>
      <w:r>
        <w:rPr>
          <w:rFonts w:ascii="Book Antiqua" w:eastAsia="Book Antiqua" w:hAnsi="Book Antiqua" w:cs="Book Antiqua"/>
          <w:szCs w:val="24"/>
        </w:rPr>
        <w:tab/>
        <w:t>Además, la medida provee al DRNA una herramienta administrativa claramente delimitada para responder a situaciones excepcionales, tales como, cierres gubernamentales federales, interrupciones de servicios o emergencias que impidan la emisión o renovación de la documentación federal requerida, evitando así consecuencias desproporcionadas para los ciudadanos que han cumplido diligentemente con sus obligaciones legales. Asimismo, la legislación promueve la continuidad de las actividades marítimas, recreativas y económicas vinculadas</w:t>
      </w:r>
      <w:r w:rsidR="008702F4">
        <w:rPr>
          <w:rFonts w:ascii="Book Antiqua" w:eastAsia="Book Antiqua" w:hAnsi="Book Antiqua" w:cs="Book Antiqua"/>
          <w:szCs w:val="24"/>
        </w:rPr>
        <w:t xml:space="preserve"> a la navegación, fortaleciendo la capacidad administrativa del Estado sin menoscabar la seguridad marítima ni interferir con la jurisdicción de las autoridades federales competentes. </w:t>
      </w:r>
    </w:p>
    <w:p w14:paraId="48A86CB5" w14:textId="3EA5F611" w:rsidR="00B70178" w:rsidRPr="00ED0EC5" w:rsidRDefault="00B70178" w:rsidP="00753A80">
      <w:pPr>
        <w:spacing w:after="120"/>
        <w:ind w:firstLine="720"/>
        <w:jc w:val="both"/>
        <w:rPr>
          <w:rFonts w:ascii="Book Antiqua" w:eastAsia="Book Antiqua" w:hAnsi="Book Antiqua" w:cs="Book Antiqua"/>
          <w:bCs/>
          <w:szCs w:val="24"/>
        </w:rPr>
      </w:pPr>
      <w:r w:rsidRPr="00ED0EC5">
        <w:rPr>
          <w:rFonts w:ascii="Book Antiqua" w:eastAsia="Book Antiqua" w:hAnsi="Book Antiqua" w:cs="Book Antiqua"/>
          <w:bCs/>
          <w:szCs w:val="24"/>
        </w:rPr>
        <w:t xml:space="preserve">Por los fundamentos antes expuestos, la Comisión de Recursos Naturales, </w:t>
      </w:r>
      <w:r w:rsidRPr="00ED0EC5">
        <w:rPr>
          <w:rFonts w:ascii="Book Antiqua" w:eastAsia="Book Antiqua" w:hAnsi="Book Antiqua" w:cs="Book Antiqua"/>
          <w:bCs/>
          <w:szCs w:val="24"/>
        </w:rPr>
        <w:br w:type="textWrapping" w:clear="all"/>
        <w:t xml:space="preserve">luego del estudio y consideración correspondiente, tiene a bien someter a este </w:t>
      </w:r>
      <w:r w:rsidRPr="00ED0EC5">
        <w:rPr>
          <w:rFonts w:ascii="Book Antiqua" w:eastAsia="Book Antiqua" w:hAnsi="Book Antiqua" w:cs="Book Antiqua"/>
          <w:bCs/>
          <w:szCs w:val="24"/>
        </w:rPr>
        <w:br w:type="textWrapping" w:clear="all"/>
        <w:t xml:space="preserve">Cuerpo Legislativo su Informe Positivo, </w:t>
      </w:r>
      <w:r w:rsidRPr="00ED0EC5">
        <w:rPr>
          <w:rFonts w:ascii="Book Antiqua" w:eastAsia="Book Antiqua" w:hAnsi="Book Antiqua" w:cs="Book Antiqua"/>
          <w:szCs w:val="24"/>
        </w:rPr>
        <w:t>recomendando la aprobación</w:t>
      </w:r>
      <w:r w:rsidRPr="00ED0EC5">
        <w:rPr>
          <w:rFonts w:ascii="Book Antiqua" w:eastAsia="Book Antiqua" w:hAnsi="Book Antiqua" w:cs="Book Antiqua"/>
          <w:bCs/>
          <w:szCs w:val="24"/>
        </w:rPr>
        <w:t xml:space="preserve"> del Proyecto del Senado </w:t>
      </w:r>
      <w:r w:rsidR="008702F4">
        <w:rPr>
          <w:rFonts w:ascii="Book Antiqua" w:eastAsia="Book Antiqua" w:hAnsi="Book Antiqua" w:cs="Book Antiqua"/>
          <w:bCs/>
          <w:szCs w:val="24"/>
        </w:rPr>
        <w:t>1012</w:t>
      </w:r>
      <w:r w:rsidRPr="00ED0EC5">
        <w:rPr>
          <w:rFonts w:ascii="Book Antiqua" w:eastAsia="Book Antiqua" w:hAnsi="Book Antiqua" w:cs="Book Antiqua"/>
          <w:bCs/>
          <w:szCs w:val="24"/>
        </w:rPr>
        <w:t xml:space="preserve">, sin enmiendas.  </w:t>
      </w:r>
    </w:p>
    <w:p w14:paraId="005F2E1B" w14:textId="77777777" w:rsidR="00B70178" w:rsidRPr="00ED0EC5" w:rsidRDefault="00B70178" w:rsidP="00CC765C">
      <w:pPr>
        <w:spacing w:line="360" w:lineRule="auto"/>
        <w:jc w:val="both"/>
        <w:rPr>
          <w:rFonts w:ascii="Book Antiqua" w:eastAsia="Book Antiqua" w:hAnsi="Book Antiqua" w:cs="Book Antiqua"/>
          <w:bCs/>
          <w:szCs w:val="24"/>
        </w:rPr>
      </w:pPr>
    </w:p>
    <w:p w14:paraId="5E7866D2" w14:textId="77777777" w:rsidR="00B70178" w:rsidRPr="00ED0EC5" w:rsidRDefault="00B70178" w:rsidP="005D124A">
      <w:pPr>
        <w:jc w:val="both"/>
        <w:rPr>
          <w:rFonts w:ascii="Book Antiqua" w:eastAsia="Book Antiqua" w:hAnsi="Book Antiqua" w:cs="Book Antiqua"/>
          <w:bCs/>
          <w:szCs w:val="24"/>
        </w:rPr>
      </w:pPr>
      <w:r w:rsidRPr="00ED0EC5">
        <w:rPr>
          <w:rFonts w:ascii="Book Antiqua" w:eastAsia="Book Antiqua" w:hAnsi="Book Antiqua" w:cs="Book Antiqua"/>
          <w:bCs/>
          <w:szCs w:val="24"/>
        </w:rPr>
        <w:t>Respetuosamente sometido,</w:t>
      </w:r>
    </w:p>
    <w:p w14:paraId="4C0D7C27" w14:textId="77777777" w:rsidR="00B70178" w:rsidRPr="00ED0EC5" w:rsidRDefault="00B70178" w:rsidP="00B70178">
      <w:pPr>
        <w:jc w:val="both"/>
        <w:rPr>
          <w:rFonts w:ascii="Book Antiqua" w:eastAsia="Book Antiqua" w:hAnsi="Book Antiqua" w:cs="Book Antiqua"/>
          <w:bCs/>
          <w:szCs w:val="24"/>
        </w:rPr>
      </w:pPr>
    </w:p>
    <w:p w14:paraId="3C60C1AE" w14:textId="77777777" w:rsidR="00B70178" w:rsidRDefault="00B70178" w:rsidP="00B70178">
      <w:pPr>
        <w:jc w:val="both"/>
        <w:rPr>
          <w:rFonts w:ascii="Book Antiqua" w:eastAsia="Book Antiqua" w:hAnsi="Book Antiqua" w:cs="Book Antiqua"/>
          <w:bCs/>
          <w:szCs w:val="24"/>
        </w:rPr>
      </w:pPr>
    </w:p>
    <w:p w14:paraId="66F2FE0F" w14:textId="77777777" w:rsidR="00B70178" w:rsidRPr="00ED0EC5" w:rsidRDefault="00B70178" w:rsidP="00B70178">
      <w:pPr>
        <w:jc w:val="both"/>
        <w:rPr>
          <w:rFonts w:ascii="Book Antiqua" w:eastAsia="Book Antiqua" w:hAnsi="Book Antiqua" w:cs="Book Antiqua"/>
          <w:szCs w:val="24"/>
        </w:rPr>
      </w:pPr>
      <w:r w:rsidRPr="00ED0EC5">
        <w:rPr>
          <w:rFonts w:ascii="Book Antiqua" w:eastAsia="Book Antiqua" w:hAnsi="Book Antiqua" w:cs="Book Antiqua"/>
          <w:szCs w:val="24"/>
        </w:rPr>
        <w:t>______________________________</w:t>
      </w:r>
    </w:p>
    <w:p w14:paraId="13097B17" w14:textId="77777777" w:rsidR="00B70178" w:rsidRPr="00ED0EC5" w:rsidRDefault="00B70178" w:rsidP="00B70178">
      <w:pPr>
        <w:jc w:val="both"/>
        <w:rPr>
          <w:rFonts w:ascii="Book Antiqua" w:eastAsia="Book Antiqua" w:hAnsi="Book Antiqua" w:cs="Book Antiqua"/>
          <w:b/>
          <w:bCs/>
          <w:szCs w:val="24"/>
        </w:rPr>
      </w:pPr>
      <w:r w:rsidRPr="00ED0EC5">
        <w:rPr>
          <w:rFonts w:ascii="Book Antiqua" w:eastAsia="Book Antiqua" w:hAnsi="Book Antiqua" w:cs="Book Antiqua"/>
          <w:b/>
          <w:bCs/>
          <w:szCs w:val="24"/>
        </w:rPr>
        <w:t xml:space="preserve">Hon. Elinette González Aguayo </w:t>
      </w:r>
    </w:p>
    <w:p w14:paraId="6DC3DB93" w14:textId="77777777" w:rsidR="00B70178" w:rsidRPr="00ED0EC5" w:rsidRDefault="00B70178" w:rsidP="00B70178">
      <w:pPr>
        <w:jc w:val="both"/>
        <w:rPr>
          <w:rFonts w:ascii="Book Antiqua" w:eastAsia="Book Antiqua" w:hAnsi="Book Antiqua" w:cs="Book Antiqua"/>
          <w:szCs w:val="24"/>
        </w:rPr>
      </w:pPr>
      <w:r w:rsidRPr="00ED0EC5">
        <w:rPr>
          <w:rFonts w:ascii="Book Antiqua" w:eastAsia="Book Antiqua" w:hAnsi="Book Antiqua" w:cs="Book Antiqua"/>
          <w:szCs w:val="24"/>
        </w:rPr>
        <w:t>Presidenta</w:t>
      </w:r>
    </w:p>
    <w:p w14:paraId="08C9F8D0" w14:textId="584910D2" w:rsidR="00B70178" w:rsidRDefault="00B70178" w:rsidP="00ED0EC5">
      <w:pPr>
        <w:jc w:val="both"/>
      </w:pPr>
      <w:r w:rsidRPr="00ED0EC5">
        <w:rPr>
          <w:rFonts w:ascii="Book Antiqua" w:eastAsia="Book Antiqua" w:hAnsi="Book Antiqua" w:cs="Book Antiqua"/>
          <w:szCs w:val="24"/>
        </w:rPr>
        <w:t xml:space="preserve">Comisión de Recursos Naturales </w:t>
      </w:r>
    </w:p>
    <w:sectPr w:rsidR="00B70178" w:rsidSect="00B70178">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82E87" w14:textId="77777777" w:rsidR="00DB031F" w:rsidRPr="00A55DD6" w:rsidRDefault="00DB031F">
      <w:r w:rsidRPr="00A55DD6">
        <w:separator/>
      </w:r>
    </w:p>
  </w:endnote>
  <w:endnote w:type="continuationSeparator" w:id="0">
    <w:p w14:paraId="010663AE" w14:textId="77777777" w:rsidR="00DB031F" w:rsidRPr="00A55DD6" w:rsidRDefault="00DB031F">
      <w:r w:rsidRPr="00A55D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AF3AD" w14:textId="77777777" w:rsidR="00DB031F" w:rsidRPr="00A55DD6" w:rsidRDefault="00DB031F">
      <w:r w:rsidRPr="00A55DD6">
        <w:separator/>
      </w:r>
    </w:p>
  </w:footnote>
  <w:footnote w:type="continuationSeparator" w:id="0">
    <w:p w14:paraId="184D3DDE" w14:textId="77777777" w:rsidR="00DB031F" w:rsidRPr="00A55DD6" w:rsidRDefault="00DB031F">
      <w:r w:rsidRPr="00A55D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341B" w14:textId="558297B2" w:rsidR="00B70178" w:rsidRPr="00A55DD6" w:rsidRDefault="00B70178" w:rsidP="00CE54D8">
    <w:pPr>
      <w:pBdr>
        <w:bottom w:val="single" w:sz="4" w:space="1" w:color="D9D9D9"/>
      </w:pBdr>
      <w:tabs>
        <w:tab w:val="center" w:pos="4680"/>
        <w:tab w:val="right" w:pos="9360"/>
      </w:tabs>
      <w:rPr>
        <w:rFonts w:ascii="Calibri" w:eastAsia="Calibri" w:hAnsi="Calibri"/>
        <w:b/>
        <w:i/>
        <w:sz w:val="22"/>
        <w:szCs w:val="22"/>
      </w:rPr>
    </w:pPr>
    <w:r w:rsidRPr="00A55DD6">
      <w:rPr>
        <w:rFonts w:ascii="Calibri" w:eastAsia="Calibri" w:hAnsi="Calibri"/>
        <w:b/>
        <w:i/>
        <w:sz w:val="22"/>
        <w:szCs w:val="22"/>
      </w:rPr>
      <w:t>Informe Positivo del P. del S.</w:t>
    </w:r>
    <w:r w:rsidR="00EA1D32">
      <w:rPr>
        <w:rFonts w:ascii="Calibri" w:eastAsia="Calibri" w:hAnsi="Calibri"/>
        <w:b/>
        <w:i/>
        <w:sz w:val="22"/>
        <w:szCs w:val="22"/>
      </w:rPr>
      <w:t xml:space="preserve"> 1012</w:t>
    </w:r>
    <w:r w:rsidRPr="00A55DD6">
      <w:rPr>
        <w:rFonts w:ascii="Calibri" w:eastAsia="Calibri" w:hAnsi="Calibri"/>
        <w:b/>
        <w:i/>
        <w:sz w:val="22"/>
        <w:szCs w:val="22"/>
      </w:rPr>
      <w:tab/>
    </w:r>
    <w:r w:rsidRPr="00A55DD6">
      <w:rPr>
        <w:rFonts w:ascii="Calibri" w:eastAsia="Calibri" w:hAnsi="Calibri"/>
        <w:b/>
        <w:i/>
        <w:sz w:val="22"/>
        <w:szCs w:val="22"/>
      </w:rPr>
      <w:tab/>
      <w:t xml:space="preserve"> Página</w:t>
    </w:r>
    <w:r w:rsidRPr="00A55DD6">
      <w:rPr>
        <w:rFonts w:ascii="Calibri" w:eastAsia="Calibri" w:hAnsi="Calibri"/>
        <w:sz w:val="22"/>
        <w:szCs w:val="22"/>
      </w:rPr>
      <w:t xml:space="preserve"> | </w:t>
    </w:r>
    <w:r w:rsidRPr="00A55DD6">
      <w:rPr>
        <w:rFonts w:ascii="Calibri" w:eastAsia="Calibri" w:hAnsi="Calibri"/>
        <w:sz w:val="22"/>
        <w:szCs w:val="22"/>
      </w:rPr>
      <w:fldChar w:fldCharType="begin"/>
    </w:r>
    <w:r w:rsidRPr="00A55DD6">
      <w:rPr>
        <w:rFonts w:ascii="Calibri" w:eastAsia="Calibri" w:hAnsi="Calibri"/>
        <w:sz w:val="22"/>
        <w:szCs w:val="22"/>
      </w:rPr>
      <w:instrText xml:space="preserve"> PAGE   \* MERGEFORMAT </w:instrText>
    </w:r>
    <w:r w:rsidRPr="00A55DD6">
      <w:rPr>
        <w:rFonts w:ascii="Calibri" w:eastAsia="Calibri" w:hAnsi="Calibri"/>
        <w:sz w:val="22"/>
        <w:szCs w:val="22"/>
      </w:rPr>
      <w:fldChar w:fldCharType="separate"/>
    </w:r>
    <w:r w:rsidRPr="00A55DD6">
      <w:rPr>
        <w:rFonts w:ascii="Calibri" w:eastAsia="Calibri" w:hAnsi="Calibri"/>
        <w:b/>
        <w:bCs/>
        <w:sz w:val="22"/>
        <w:szCs w:val="22"/>
      </w:rPr>
      <w:t>5</w:t>
    </w:r>
    <w:r w:rsidRPr="00A55DD6">
      <w:rPr>
        <w:rFonts w:ascii="Calibri" w:eastAsia="Calibri" w:hAnsi="Calibri"/>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574F"/>
    <w:multiLevelType w:val="hybridMultilevel"/>
    <w:tmpl w:val="8C703BBC"/>
    <w:lvl w:ilvl="0" w:tplc="2E861EDC">
      <w:start w:val="4"/>
      <w:numFmt w:val="upperRoman"/>
      <w:lvlText w:val="%1."/>
      <w:lvlJc w:val="left"/>
      <w:pPr>
        <w:ind w:left="636" w:hanging="331"/>
      </w:pPr>
      <w:rPr>
        <w:rFonts w:ascii="Arial" w:eastAsia="Arial" w:hAnsi="Arial" w:cs="Arial" w:hint="default"/>
        <w:b w:val="0"/>
        <w:bCs w:val="0"/>
        <w:i w:val="0"/>
        <w:iCs w:val="0"/>
        <w:color w:val="1A1A1A"/>
        <w:spacing w:val="-1"/>
        <w:w w:val="98"/>
        <w:sz w:val="23"/>
        <w:szCs w:val="23"/>
        <w:lang w:val="es-ES" w:eastAsia="en-US" w:bidi="ar-SA"/>
      </w:rPr>
    </w:lvl>
    <w:lvl w:ilvl="1" w:tplc="365231C8">
      <w:numFmt w:val="bullet"/>
      <w:lvlText w:val="•"/>
      <w:lvlJc w:val="left"/>
      <w:pPr>
        <w:ind w:left="1949" w:hanging="774"/>
      </w:pPr>
      <w:rPr>
        <w:rFonts w:ascii="Arial" w:eastAsia="Arial" w:hAnsi="Arial" w:cs="Arial" w:hint="default"/>
        <w:spacing w:val="0"/>
        <w:w w:val="99"/>
        <w:lang w:val="es-ES" w:eastAsia="en-US" w:bidi="ar-SA"/>
      </w:rPr>
    </w:lvl>
    <w:lvl w:ilvl="2" w:tplc="5596B4BA">
      <w:numFmt w:val="bullet"/>
      <w:lvlText w:val="•"/>
      <w:lvlJc w:val="left"/>
      <w:pPr>
        <w:ind w:left="640" w:hanging="774"/>
      </w:pPr>
      <w:rPr>
        <w:rFonts w:hint="default"/>
        <w:lang w:val="es-ES" w:eastAsia="en-US" w:bidi="ar-SA"/>
      </w:rPr>
    </w:lvl>
    <w:lvl w:ilvl="3" w:tplc="D5FA930E">
      <w:numFmt w:val="bullet"/>
      <w:lvlText w:val="•"/>
      <w:lvlJc w:val="left"/>
      <w:pPr>
        <w:ind w:left="1940" w:hanging="774"/>
      </w:pPr>
      <w:rPr>
        <w:rFonts w:hint="default"/>
        <w:lang w:val="es-ES" w:eastAsia="en-US" w:bidi="ar-SA"/>
      </w:rPr>
    </w:lvl>
    <w:lvl w:ilvl="4" w:tplc="E4D8E568">
      <w:numFmt w:val="bullet"/>
      <w:lvlText w:val="•"/>
      <w:lvlJc w:val="left"/>
      <w:pPr>
        <w:ind w:left="3308" w:hanging="774"/>
      </w:pPr>
      <w:rPr>
        <w:rFonts w:hint="default"/>
        <w:lang w:val="es-ES" w:eastAsia="en-US" w:bidi="ar-SA"/>
      </w:rPr>
    </w:lvl>
    <w:lvl w:ilvl="5" w:tplc="6916108C">
      <w:numFmt w:val="bullet"/>
      <w:lvlText w:val="•"/>
      <w:lvlJc w:val="left"/>
      <w:pPr>
        <w:ind w:left="4677" w:hanging="774"/>
      </w:pPr>
      <w:rPr>
        <w:rFonts w:hint="default"/>
        <w:lang w:val="es-ES" w:eastAsia="en-US" w:bidi="ar-SA"/>
      </w:rPr>
    </w:lvl>
    <w:lvl w:ilvl="6" w:tplc="10C0E0C8">
      <w:numFmt w:val="bullet"/>
      <w:lvlText w:val="•"/>
      <w:lvlJc w:val="left"/>
      <w:pPr>
        <w:ind w:left="6045" w:hanging="774"/>
      </w:pPr>
      <w:rPr>
        <w:rFonts w:hint="default"/>
        <w:lang w:val="es-ES" w:eastAsia="en-US" w:bidi="ar-SA"/>
      </w:rPr>
    </w:lvl>
    <w:lvl w:ilvl="7" w:tplc="DDCEB5A2">
      <w:numFmt w:val="bullet"/>
      <w:lvlText w:val="•"/>
      <w:lvlJc w:val="left"/>
      <w:pPr>
        <w:ind w:left="7414" w:hanging="774"/>
      </w:pPr>
      <w:rPr>
        <w:rFonts w:hint="default"/>
        <w:lang w:val="es-ES" w:eastAsia="en-US" w:bidi="ar-SA"/>
      </w:rPr>
    </w:lvl>
    <w:lvl w:ilvl="8" w:tplc="82928C5E">
      <w:numFmt w:val="bullet"/>
      <w:lvlText w:val="•"/>
      <w:lvlJc w:val="left"/>
      <w:pPr>
        <w:ind w:left="8782" w:hanging="774"/>
      </w:pPr>
      <w:rPr>
        <w:rFonts w:hint="default"/>
        <w:lang w:val="es-ES" w:eastAsia="en-US" w:bidi="ar-SA"/>
      </w:rPr>
    </w:lvl>
  </w:abstractNum>
  <w:abstractNum w:abstractNumId="1" w15:restartNumberingAfterBreak="0">
    <w:nsid w:val="09291456"/>
    <w:multiLevelType w:val="hybridMultilevel"/>
    <w:tmpl w:val="B1129E66"/>
    <w:lvl w:ilvl="0" w:tplc="9214A2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917B45"/>
    <w:multiLevelType w:val="hybridMultilevel"/>
    <w:tmpl w:val="BDBC6460"/>
    <w:lvl w:ilvl="0" w:tplc="2C76335C">
      <w:start w:val="1"/>
      <w:numFmt w:val="upperRoman"/>
      <w:lvlText w:val="%1."/>
      <w:lvlJc w:val="left"/>
      <w:pPr>
        <w:ind w:left="500" w:hanging="181"/>
      </w:pPr>
      <w:rPr>
        <w:rFonts w:ascii="Arial" w:eastAsia="Arial" w:hAnsi="Arial" w:cs="Arial" w:hint="default"/>
        <w:b w:val="0"/>
        <w:bCs w:val="0"/>
        <w:i w:val="0"/>
        <w:iCs w:val="0"/>
        <w:color w:val="181818"/>
        <w:spacing w:val="-1"/>
        <w:w w:val="109"/>
        <w:sz w:val="23"/>
        <w:szCs w:val="23"/>
        <w:lang w:val="es-ES" w:eastAsia="en-US" w:bidi="ar-SA"/>
      </w:rPr>
    </w:lvl>
    <w:lvl w:ilvl="1" w:tplc="E24E5C9C">
      <w:numFmt w:val="bullet"/>
      <w:lvlText w:val="•"/>
      <w:lvlJc w:val="left"/>
      <w:pPr>
        <w:ind w:left="294" w:hanging="773"/>
      </w:pPr>
      <w:rPr>
        <w:rFonts w:ascii="Arial" w:eastAsia="Arial" w:hAnsi="Arial" w:cs="Arial" w:hint="default"/>
        <w:b w:val="0"/>
        <w:bCs w:val="0"/>
        <w:i w:val="0"/>
        <w:iCs w:val="0"/>
        <w:color w:val="181818"/>
        <w:spacing w:val="0"/>
        <w:w w:val="100"/>
        <w:sz w:val="23"/>
        <w:szCs w:val="23"/>
        <w:lang w:val="es-ES" w:eastAsia="en-US" w:bidi="ar-SA"/>
      </w:rPr>
    </w:lvl>
    <w:lvl w:ilvl="2" w:tplc="5CA2396C">
      <w:numFmt w:val="bullet"/>
      <w:lvlText w:val="•"/>
      <w:lvlJc w:val="left"/>
      <w:pPr>
        <w:ind w:left="1724" w:hanging="773"/>
      </w:pPr>
      <w:rPr>
        <w:rFonts w:hint="default"/>
        <w:lang w:val="es-ES" w:eastAsia="en-US" w:bidi="ar-SA"/>
      </w:rPr>
    </w:lvl>
    <w:lvl w:ilvl="3" w:tplc="4C8CFB7C">
      <w:numFmt w:val="bullet"/>
      <w:lvlText w:val="•"/>
      <w:lvlJc w:val="left"/>
      <w:pPr>
        <w:ind w:left="2948" w:hanging="773"/>
      </w:pPr>
      <w:rPr>
        <w:rFonts w:hint="default"/>
        <w:lang w:val="es-ES" w:eastAsia="en-US" w:bidi="ar-SA"/>
      </w:rPr>
    </w:lvl>
    <w:lvl w:ilvl="4" w:tplc="7474171A">
      <w:numFmt w:val="bullet"/>
      <w:lvlText w:val="•"/>
      <w:lvlJc w:val="left"/>
      <w:pPr>
        <w:ind w:left="4173" w:hanging="773"/>
      </w:pPr>
      <w:rPr>
        <w:rFonts w:hint="default"/>
        <w:lang w:val="es-ES" w:eastAsia="en-US" w:bidi="ar-SA"/>
      </w:rPr>
    </w:lvl>
    <w:lvl w:ilvl="5" w:tplc="B8B6A4AE">
      <w:numFmt w:val="bullet"/>
      <w:lvlText w:val="•"/>
      <w:lvlJc w:val="left"/>
      <w:pPr>
        <w:ind w:left="5397" w:hanging="773"/>
      </w:pPr>
      <w:rPr>
        <w:rFonts w:hint="default"/>
        <w:lang w:val="es-ES" w:eastAsia="en-US" w:bidi="ar-SA"/>
      </w:rPr>
    </w:lvl>
    <w:lvl w:ilvl="6" w:tplc="3B2C6192">
      <w:numFmt w:val="bullet"/>
      <w:lvlText w:val="•"/>
      <w:lvlJc w:val="left"/>
      <w:pPr>
        <w:ind w:left="6622" w:hanging="773"/>
      </w:pPr>
      <w:rPr>
        <w:rFonts w:hint="default"/>
        <w:lang w:val="es-ES" w:eastAsia="en-US" w:bidi="ar-SA"/>
      </w:rPr>
    </w:lvl>
    <w:lvl w:ilvl="7" w:tplc="B894BEAE">
      <w:numFmt w:val="bullet"/>
      <w:lvlText w:val="•"/>
      <w:lvlJc w:val="left"/>
      <w:pPr>
        <w:ind w:left="7846" w:hanging="773"/>
      </w:pPr>
      <w:rPr>
        <w:rFonts w:hint="default"/>
        <w:lang w:val="es-ES" w:eastAsia="en-US" w:bidi="ar-SA"/>
      </w:rPr>
    </w:lvl>
    <w:lvl w:ilvl="8" w:tplc="CDD61CFC">
      <w:numFmt w:val="bullet"/>
      <w:lvlText w:val="•"/>
      <w:lvlJc w:val="left"/>
      <w:pPr>
        <w:ind w:left="9071" w:hanging="773"/>
      </w:pPr>
      <w:rPr>
        <w:rFonts w:hint="default"/>
        <w:lang w:val="es-ES" w:eastAsia="en-US" w:bidi="ar-SA"/>
      </w:rPr>
    </w:lvl>
  </w:abstractNum>
  <w:abstractNum w:abstractNumId="3" w15:restartNumberingAfterBreak="0">
    <w:nsid w:val="4D464DE9"/>
    <w:multiLevelType w:val="hybridMultilevel"/>
    <w:tmpl w:val="72C0B488"/>
    <w:lvl w:ilvl="0" w:tplc="7D025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486346"/>
    <w:multiLevelType w:val="hybridMultilevel"/>
    <w:tmpl w:val="A3D0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B7348C"/>
    <w:multiLevelType w:val="hybridMultilevel"/>
    <w:tmpl w:val="CB5AE074"/>
    <w:lvl w:ilvl="0" w:tplc="2AA2E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61660225">
    <w:abstractNumId w:val="2"/>
  </w:num>
  <w:num w:numId="2" w16cid:durableId="541793090">
    <w:abstractNumId w:val="0"/>
  </w:num>
  <w:num w:numId="3" w16cid:durableId="805204326">
    <w:abstractNumId w:val="5"/>
  </w:num>
  <w:num w:numId="4" w16cid:durableId="424881217">
    <w:abstractNumId w:val="4"/>
  </w:num>
  <w:num w:numId="5" w16cid:durableId="159124338">
    <w:abstractNumId w:val="1"/>
  </w:num>
  <w:num w:numId="6" w16cid:durableId="125784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78"/>
    <w:rsid w:val="00013FFB"/>
    <w:rsid w:val="00037201"/>
    <w:rsid w:val="00063159"/>
    <w:rsid w:val="00074B07"/>
    <w:rsid w:val="00086E44"/>
    <w:rsid w:val="000B22D4"/>
    <w:rsid w:val="000B4CDC"/>
    <w:rsid w:val="00125BD9"/>
    <w:rsid w:val="00162E3A"/>
    <w:rsid w:val="00174904"/>
    <w:rsid w:val="00196718"/>
    <w:rsid w:val="00206810"/>
    <w:rsid w:val="002464AE"/>
    <w:rsid w:val="002525A1"/>
    <w:rsid w:val="0026615B"/>
    <w:rsid w:val="002708D8"/>
    <w:rsid w:val="002C239F"/>
    <w:rsid w:val="002C331A"/>
    <w:rsid w:val="00302B61"/>
    <w:rsid w:val="00305B03"/>
    <w:rsid w:val="0030724D"/>
    <w:rsid w:val="00312B17"/>
    <w:rsid w:val="003C2F58"/>
    <w:rsid w:val="003E441E"/>
    <w:rsid w:val="003F7B7F"/>
    <w:rsid w:val="0040197A"/>
    <w:rsid w:val="00404177"/>
    <w:rsid w:val="004056B5"/>
    <w:rsid w:val="004730C8"/>
    <w:rsid w:val="00524C85"/>
    <w:rsid w:val="00561383"/>
    <w:rsid w:val="00567EFC"/>
    <w:rsid w:val="005D124A"/>
    <w:rsid w:val="005E5586"/>
    <w:rsid w:val="005F5C20"/>
    <w:rsid w:val="00614DE8"/>
    <w:rsid w:val="00647E1F"/>
    <w:rsid w:val="00661215"/>
    <w:rsid w:val="00662702"/>
    <w:rsid w:val="00683371"/>
    <w:rsid w:val="00684FF7"/>
    <w:rsid w:val="006A290D"/>
    <w:rsid w:val="006E73F4"/>
    <w:rsid w:val="00726880"/>
    <w:rsid w:val="00753A80"/>
    <w:rsid w:val="00756145"/>
    <w:rsid w:val="007608A7"/>
    <w:rsid w:val="007B3E70"/>
    <w:rsid w:val="007C4D2D"/>
    <w:rsid w:val="00802D2D"/>
    <w:rsid w:val="0082251E"/>
    <w:rsid w:val="008642E9"/>
    <w:rsid w:val="008702F4"/>
    <w:rsid w:val="00897596"/>
    <w:rsid w:val="008A79FF"/>
    <w:rsid w:val="008C17A4"/>
    <w:rsid w:val="009054DB"/>
    <w:rsid w:val="009069EE"/>
    <w:rsid w:val="00910302"/>
    <w:rsid w:val="0099424B"/>
    <w:rsid w:val="009C1191"/>
    <w:rsid w:val="009E3280"/>
    <w:rsid w:val="00A069FD"/>
    <w:rsid w:val="00A15CD2"/>
    <w:rsid w:val="00A34E26"/>
    <w:rsid w:val="00A51037"/>
    <w:rsid w:val="00A55DD6"/>
    <w:rsid w:val="00A562BC"/>
    <w:rsid w:val="00A64600"/>
    <w:rsid w:val="00A67A13"/>
    <w:rsid w:val="00A729A2"/>
    <w:rsid w:val="00A92BA1"/>
    <w:rsid w:val="00AA5116"/>
    <w:rsid w:val="00AB015F"/>
    <w:rsid w:val="00AE1BD4"/>
    <w:rsid w:val="00B02F4D"/>
    <w:rsid w:val="00B70178"/>
    <w:rsid w:val="00B969F2"/>
    <w:rsid w:val="00C8613F"/>
    <w:rsid w:val="00CA5495"/>
    <w:rsid w:val="00CA57F2"/>
    <w:rsid w:val="00CC765C"/>
    <w:rsid w:val="00CD1EF7"/>
    <w:rsid w:val="00CD32BC"/>
    <w:rsid w:val="00CD583A"/>
    <w:rsid w:val="00D036C4"/>
    <w:rsid w:val="00D63ED8"/>
    <w:rsid w:val="00D84CE8"/>
    <w:rsid w:val="00DA542B"/>
    <w:rsid w:val="00DB031F"/>
    <w:rsid w:val="00DC3CAF"/>
    <w:rsid w:val="00DF2D67"/>
    <w:rsid w:val="00E21A0A"/>
    <w:rsid w:val="00E4492B"/>
    <w:rsid w:val="00EA1D32"/>
    <w:rsid w:val="00EC2082"/>
    <w:rsid w:val="00ED0EC5"/>
    <w:rsid w:val="00F1742E"/>
    <w:rsid w:val="00F23EB3"/>
    <w:rsid w:val="00F6099B"/>
    <w:rsid w:val="00FB3D98"/>
    <w:rsid w:val="00FB52DA"/>
    <w:rsid w:val="00FC5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A5328"/>
  <w15:chartTrackingRefBased/>
  <w15:docId w15:val="{D84C3010-8D7C-4858-BB99-E7873002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24A"/>
    <w:pPr>
      <w:spacing w:after="0" w:line="240" w:lineRule="auto"/>
    </w:pPr>
    <w:rPr>
      <w:rFonts w:ascii="Times New Roman" w:eastAsia="Times New Roman" w:hAnsi="Times New Roman" w:cs="Times New Roman"/>
      <w:kern w:val="0"/>
      <w:szCs w:val="20"/>
      <w:lang w:val="es-ES"/>
      <w14:ligatures w14:val="none"/>
    </w:rPr>
  </w:style>
  <w:style w:type="paragraph" w:styleId="Heading1">
    <w:name w:val="heading 1"/>
    <w:basedOn w:val="Normal"/>
    <w:next w:val="Normal"/>
    <w:link w:val="Heading1Char"/>
    <w:uiPriority w:val="9"/>
    <w:qFormat/>
    <w:rsid w:val="00B70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0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0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0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0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01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1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1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1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0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0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0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0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0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178"/>
    <w:rPr>
      <w:rFonts w:eastAsiaTheme="majorEastAsia" w:cstheme="majorBidi"/>
      <w:color w:val="272727" w:themeColor="text1" w:themeTint="D8"/>
    </w:rPr>
  </w:style>
  <w:style w:type="paragraph" w:styleId="Title">
    <w:name w:val="Title"/>
    <w:basedOn w:val="Normal"/>
    <w:next w:val="Normal"/>
    <w:link w:val="TitleChar"/>
    <w:uiPriority w:val="10"/>
    <w:qFormat/>
    <w:rsid w:val="00B701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178"/>
    <w:pPr>
      <w:spacing w:before="160"/>
      <w:jc w:val="center"/>
    </w:pPr>
    <w:rPr>
      <w:i/>
      <w:iCs/>
      <w:color w:val="404040" w:themeColor="text1" w:themeTint="BF"/>
    </w:rPr>
  </w:style>
  <w:style w:type="character" w:customStyle="1" w:styleId="QuoteChar">
    <w:name w:val="Quote Char"/>
    <w:basedOn w:val="DefaultParagraphFont"/>
    <w:link w:val="Quote"/>
    <w:uiPriority w:val="29"/>
    <w:rsid w:val="00B70178"/>
    <w:rPr>
      <w:i/>
      <w:iCs/>
      <w:color w:val="404040" w:themeColor="text1" w:themeTint="BF"/>
    </w:rPr>
  </w:style>
  <w:style w:type="paragraph" w:styleId="ListParagraph">
    <w:name w:val="List Paragraph"/>
    <w:basedOn w:val="Normal"/>
    <w:uiPriority w:val="1"/>
    <w:qFormat/>
    <w:rsid w:val="00B70178"/>
    <w:pPr>
      <w:ind w:left="720"/>
      <w:contextualSpacing/>
    </w:pPr>
  </w:style>
  <w:style w:type="character" w:styleId="IntenseEmphasis">
    <w:name w:val="Intense Emphasis"/>
    <w:basedOn w:val="DefaultParagraphFont"/>
    <w:uiPriority w:val="21"/>
    <w:qFormat/>
    <w:rsid w:val="00B70178"/>
    <w:rPr>
      <w:i/>
      <w:iCs/>
      <w:color w:val="0F4761" w:themeColor="accent1" w:themeShade="BF"/>
    </w:rPr>
  </w:style>
  <w:style w:type="paragraph" w:styleId="IntenseQuote">
    <w:name w:val="Intense Quote"/>
    <w:basedOn w:val="Normal"/>
    <w:next w:val="Normal"/>
    <w:link w:val="IntenseQuoteChar"/>
    <w:uiPriority w:val="30"/>
    <w:qFormat/>
    <w:rsid w:val="00B70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0178"/>
    <w:rPr>
      <w:i/>
      <w:iCs/>
      <w:color w:val="0F4761" w:themeColor="accent1" w:themeShade="BF"/>
    </w:rPr>
  </w:style>
  <w:style w:type="character" w:styleId="IntenseReference">
    <w:name w:val="Intense Reference"/>
    <w:basedOn w:val="DefaultParagraphFont"/>
    <w:uiPriority w:val="32"/>
    <w:qFormat/>
    <w:rsid w:val="00B70178"/>
    <w:rPr>
      <w:b/>
      <w:bCs/>
      <w:smallCaps/>
      <w:color w:val="0F4761" w:themeColor="accent1" w:themeShade="BF"/>
      <w:spacing w:val="5"/>
    </w:rPr>
  </w:style>
  <w:style w:type="paragraph" w:styleId="BodyText">
    <w:name w:val="Body Text"/>
    <w:basedOn w:val="Normal"/>
    <w:link w:val="BodyTextChar"/>
    <w:uiPriority w:val="99"/>
    <w:unhideWhenUsed/>
    <w:rsid w:val="00B70178"/>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B70178"/>
    <w:rPr>
      <w:rFonts w:ascii="Calibri" w:eastAsia="Calibri" w:hAnsi="Calibri" w:cs="Calibri"/>
      <w:kern w:val="0"/>
      <w:sz w:val="22"/>
      <w:szCs w:val="22"/>
      <w:lang w:val="es-US"/>
      <w14:ligatures w14:val="none"/>
    </w:rPr>
  </w:style>
  <w:style w:type="paragraph" w:styleId="Header">
    <w:name w:val="header"/>
    <w:basedOn w:val="Normal"/>
    <w:link w:val="HeaderChar"/>
    <w:uiPriority w:val="99"/>
    <w:unhideWhenUsed/>
    <w:rsid w:val="00A069FD"/>
    <w:pPr>
      <w:tabs>
        <w:tab w:val="center" w:pos="4680"/>
        <w:tab w:val="right" w:pos="9360"/>
      </w:tabs>
    </w:pPr>
  </w:style>
  <w:style w:type="character" w:customStyle="1" w:styleId="HeaderChar">
    <w:name w:val="Header Char"/>
    <w:basedOn w:val="DefaultParagraphFont"/>
    <w:link w:val="Header"/>
    <w:uiPriority w:val="99"/>
    <w:rsid w:val="00A069FD"/>
    <w:rPr>
      <w:rFonts w:ascii="Times New Roman" w:eastAsia="Times New Roman" w:hAnsi="Times New Roman" w:cs="Times New Roman"/>
      <w:kern w:val="0"/>
      <w:szCs w:val="20"/>
      <w:lang w:val="es-US"/>
      <w14:ligatures w14:val="none"/>
    </w:rPr>
  </w:style>
  <w:style w:type="paragraph" w:styleId="Footer">
    <w:name w:val="footer"/>
    <w:basedOn w:val="Normal"/>
    <w:link w:val="FooterChar"/>
    <w:uiPriority w:val="99"/>
    <w:unhideWhenUsed/>
    <w:rsid w:val="00A069FD"/>
    <w:pPr>
      <w:tabs>
        <w:tab w:val="center" w:pos="4680"/>
        <w:tab w:val="right" w:pos="9360"/>
      </w:tabs>
    </w:pPr>
  </w:style>
  <w:style w:type="character" w:customStyle="1" w:styleId="FooterChar">
    <w:name w:val="Footer Char"/>
    <w:basedOn w:val="DefaultParagraphFont"/>
    <w:link w:val="Footer"/>
    <w:uiPriority w:val="99"/>
    <w:rsid w:val="00A069FD"/>
    <w:rPr>
      <w:rFonts w:ascii="Times New Roman" w:eastAsia="Times New Roman" w:hAnsi="Times New Roman" w:cs="Times New Roman"/>
      <w:kern w:val="0"/>
      <w:szCs w:val="20"/>
      <w:lang w:val="es-US"/>
      <w14:ligatures w14:val="none"/>
    </w:rPr>
  </w:style>
  <w:style w:type="paragraph" w:styleId="NormalWeb">
    <w:name w:val="Normal (Web)"/>
    <w:basedOn w:val="Normal"/>
    <w:uiPriority w:val="99"/>
    <w:unhideWhenUsed/>
    <w:rsid w:val="00A92BA1"/>
    <w:pPr>
      <w:spacing w:before="100" w:beforeAutospacing="1" w:after="100" w:afterAutospacing="1"/>
    </w:pPr>
    <w:rPr>
      <w:szCs w:val="24"/>
      <w:lang w:val="en-US"/>
    </w:rPr>
  </w:style>
  <w:style w:type="character" w:customStyle="1" w:styleId="apple-converted-space">
    <w:name w:val="apple-converted-space"/>
    <w:basedOn w:val="DefaultParagraphFont"/>
    <w:rsid w:val="00A92BA1"/>
  </w:style>
  <w:style w:type="character" w:styleId="Strong">
    <w:name w:val="Strong"/>
    <w:uiPriority w:val="22"/>
    <w:qFormat/>
    <w:rsid w:val="00A92B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8EB0A-8B9C-42A5-9AE9-AD22E30F6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1969</Words>
  <Characters>11229</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Diaz</dc:creator>
  <cp:keywords/>
  <dc:description/>
  <cp:lastModifiedBy>Camyl Moreno Pantojas</cp:lastModifiedBy>
  <cp:revision>2</cp:revision>
  <dcterms:created xsi:type="dcterms:W3CDTF">2026-06-23T14:50:00Z</dcterms:created>
  <dcterms:modified xsi:type="dcterms:W3CDTF">2026-06-23T14:50:00Z</dcterms:modified>
</cp:coreProperties>
</file>