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813B9" w14:textId="77777777" w:rsidR="00D56CBA" w:rsidRPr="00490AA2" w:rsidRDefault="00D56CBA" w:rsidP="00D56CBA">
      <w:pPr>
        <w:tabs>
          <w:tab w:val="right" w:pos="709"/>
        </w:tabs>
        <w:spacing w:line="360" w:lineRule="auto"/>
        <w:jc w:val="center"/>
        <w:rPr>
          <w:rFonts w:ascii="Book Antiqua" w:hAnsi="Book Antiqua"/>
          <w:b/>
          <w:sz w:val="28"/>
          <w:szCs w:val="28"/>
        </w:rPr>
      </w:pPr>
      <w:r w:rsidRPr="00490AA2">
        <w:rPr>
          <w:rFonts w:ascii="Book Antiqua" w:hAnsi="Book Antiqua"/>
          <w:b/>
          <w:sz w:val="28"/>
          <w:szCs w:val="28"/>
        </w:rPr>
        <w:t>GOBIERNO DE PUERTO RICO</w:t>
      </w:r>
    </w:p>
    <w:p w14:paraId="2BE95C14" w14:textId="77777777" w:rsidR="00D56CBA" w:rsidRPr="00490AA2" w:rsidRDefault="00D56CBA" w:rsidP="00D56CBA">
      <w:pPr>
        <w:suppressLineNumbers/>
        <w:tabs>
          <w:tab w:val="left" w:pos="7560"/>
        </w:tabs>
        <w:jc w:val="both"/>
        <w:rPr>
          <w:rFonts w:ascii="Book Antiqua" w:hAnsi="Book Antiqua"/>
        </w:rPr>
      </w:pPr>
      <w:r w:rsidRPr="00490AA2">
        <w:rPr>
          <w:rFonts w:ascii="Book Antiqua" w:hAnsi="Book Antiqua"/>
        </w:rPr>
        <w:t>20</w:t>
      </w:r>
      <w:r w:rsidRPr="00490AA2">
        <w:rPr>
          <w:rFonts w:ascii="Book Antiqua" w:hAnsi="Book Antiqua"/>
          <w:vertAlign w:val="superscript"/>
        </w:rPr>
        <w:t>ma.</w:t>
      </w:r>
      <w:r w:rsidRPr="00490AA2">
        <w:rPr>
          <w:rFonts w:ascii="Book Antiqua" w:hAnsi="Book Antiqua"/>
        </w:rPr>
        <w:t xml:space="preserve"> Asamblea</w:t>
      </w:r>
      <w:r w:rsidRPr="00490AA2">
        <w:rPr>
          <w:rFonts w:ascii="Book Antiqua" w:hAnsi="Book Antiqua"/>
        </w:rPr>
        <w:tab/>
        <w:t xml:space="preserve">    </w:t>
      </w:r>
      <w:r>
        <w:rPr>
          <w:rFonts w:ascii="Book Antiqua" w:hAnsi="Book Antiqua"/>
        </w:rPr>
        <w:t>3</w:t>
      </w:r>
      <w:r>
        <w:rPr>
          <w:rFonts w:ascii="Book Antiqua" w:hAnsi="Book Antiqua"/>
          <w:vertAlign w:val="superscript"/>
        </w:rPr>
        <w:t>era.</w:t>
      </w:r>
      <w:r w:rsidRPr="00490AA2">
        <w:rPr>
          <w:rFonts w:ascii="Book Antiqua" w:hAnsi="Book Antiqua"/>
        </w:rPr>
        <w:t xml:space="preserve">   Sesión </w:t>
      </w:r>
    </w:p>
    <w:p w14:paraId="327E23C3" w14:textId="77777777" w:rsidR="00D56CBA" w:rsidRDefault="00D56CBA" w:rsidP="00D56CBA">
      <w:pPr>
        <w:rPr>
          <w:rFonts w:ascii="Book Antiqua" w:hAnsi="Book Antiqua"/>
          <w:b/>
        </w:rPr>
      </w:pPr>
      <w:r w:rsidRPr="00490AA2">
        <w:rPr>
          <w:rFonts w:ascii="Book Antiqua" w:hAnsi="Book Antiqua"/>
        </w:rPr>
        <w:t xml:space="preserve">       Legislativa</w:t>
      </w:r>
      <w:r w:rsidRPr="00490AA2">
        <w:rPr>
          <w:rFonts w:ascii="Book Antiqua" w:hAnsi="Book Antiqua"/>
        </w:rPr>
        <w:tab/>
      </w:r>
      <w:r w:rsidRPr="00490AA2">
        <w:rPr>
          <w:rFonts w:ascii="Book Antiqua" w:hAnsi="Book Antiqua"/>
        </w:rPr>
        <w:tab/>
      </w:r>
      <w:r w:rsidRPr="00490AA2">
        <w:rPr>
          <w:rFonts w:ascii="Book Antiqua" w:hAnsi="Book Antiqua"/>
        </w:rPr>
        <w:tab/>
      </w:r>
      <w:r w:rsidRPr="00490AA2">
        <w:rPr>
          <w:rFonts w:ascii="Book Antiqua" w:hAnsi="Book Antiqua"/>
        </w:rPr>
        <w:tab/>
      </w:r>
      <w:r w:rsidRPr="00490AA2">
        <w:rPr>
          <w:rFonts w:ascii="Book Antiqua" w:hAnsi="Book Antiqua"/>
        </w:rPr>
        <w:tab/>
      </w:r>
      <w:r w:rsidRPr="00490AA2">
        <w:rPr>
          <w:rFonts w:ascii="Book Antiqua" w:hAnsi="Book Antiqua"/>
        </w:rPr>
        <w:tab/>
      </w:r>
      <w:r w:rsidRPr="00490AA2">
        <w:rPr>
          <w:rFonts w:ascii="Book Antiqua" w:hAnsi="Book Antiqua"/>
        </w:rPr>
        <w:tab/>
      </w:r>
      <w:r w:rsidRPr="00490AA2">
        <w:rPr>
          <w:rFonts w:ascii="Book Antiqua" w:hAnsi="Book Antiqua"/>
        </w:rPr>
        <w:tab/>
      </w:r>
      <w:r w:rsidRPr="00490AA2">
        <w:rPr>
          <w:rFonts w:ascii="Book Antiqua" w:hAnsi="Book Antiqua"/>
        </w:rPr>
        <w:tab/>
        <w:t xml:space="preserve">      Ordinaria</w:t>
      </w:r>
    </w:p>
    <w:p w14:paraId="2C2EC808" w14:textId="77777777" w:rsidR="00D56CBA" w:rsidRPr="009B1858" w:rsidRDefault="00D56CBA" w:rsidP="00D56CBA">
      <w:pPr>
        <w:rPr>
          <w:rFonts w:ascii="Book Antiqua" w:hAnsi="Book Antiqua"/>
          <w:b/>
        </w:rPr>
      </w:pPr>
    </w:p>
    <w:p w14:paraId="19BCACBB" w14:textId="77777777" w:rsidR="00D56CBA" w:rsidRPr="00490AA2" w:rsidRDefault="00D56CBA" w:rsidP="00D56CBA">
      <w:pPr>
        <w:spacing w:line="360" w:lineRule="auto"/>
        <w:jc w:val="center"/>
        <w:rPr>
          <w:rFonts w:ascii="Book Antiqua" w:hAnsi="Book Antiqua"/>
          <w:b/>
          <w:sz w:val="36"/>
          <w:szCs w:val="36"/>
        </w:rPr>
      </w:pPr>
      <w:r w:rsidRPr="00490AA2">
        <w:rPr>
          <w:rFonts w:ascii="Book Antiqua" w:hAnsi="Book Antiqua"/>
          <w:b/>
          <w:sz w:val="36"/>
          <w:szCs w:val="36"/>
        </w:rPr>
        <w:t>CÁMARA DE REPRESENTANTES</w:t>
      </w:r>
    </w:p>
    <w:p w14:paraId="763B42E5" w14:textId="7AB93BFB" w:rsidR="00D56CBA" w:rsidRPr="00490AA2" w:rsidRDefault="00D56CBA" w:rsidP="00D56CBA">
      <w:pPr>
        <w:spacing w:line="360" w:lineRule="auto"/>
        <w:jc w:val="center"/>
        <w:rPr>
          <w:rFonts w:ascii="Book Antiqua" w:hAnsi="Book Antiqua"/>
          <w:b/>
          <w:sz w:val="52"/>
          <w:szCs w:val="52"/>
        </w:rPr>
      </w:pPr>
      <w:r w:rsidRPr="00490AA2">
        <w:rPr>
          <w:rFonts w:ascii="Book Antiqua" w:hAnsi="Book Antiqua"/>
          <w:b/>
          <w:sz w:val="52"/>
          <w:szCs w:val="52"/>
        </w:rPr>
        <w:t>P. de</w:t>
      </w:r>
      <w:r>
        <w:rPr>
          <w:rFonts w:ascii="Book Antiqua" w:hAnsi="Book Antiqua"/>
          <w:b/>
          <w:sz w:val="52"/>
          <w:szCs w:val="52"/>
        </w:rPr>
        <w:t>l S.</w:t>
      </w:r>
      <w:r w:rsidRPr="00490AA2">
        <w:rPr>
          <w:rFonts w:ascii="Book Antiqua" w:hAnsi="Book Antiqua"/>
          <w:b/>
          <w:sz w:val="52"/>
          <w:szCs w:val="52"/>
        </w:rPr>
        <w:t xml:space="preserve"> </w:t>
      </w:r>
      <w:r>
        <w:rPr>
          <w:rFonts w:ascii="Book Antiqua" w:hAnsi="Book Antiqua"/>
          <w:b/>
          <w:sz w:val="52"/>
          <w:szCs w:val="52"/>
        </w:rPr>
        <w:t>1022</w:t>
      </w:r>
    </w:p>
    <w:p w14:paraId="5A823789" w14:textId="77777777" w:rsidR="00D56CBA" w:rsidRPr="00490AA2" w:rsidRDefault="00D56CBA" w:rsidP="00D56CBA">
      <w:pPr>
        <w:contextualSpacing/>
        <w:jc w:val="center"/>
        <w:rPr>
          <w:rFonts w:ascii="Book Antiqua" w:hAnsi="Book Antiqua"/>
          <w:b/>
          <w:sz w:val="28"/>
          <w:szCs w:val="28"/>
        </w:rPr>
      </w:pPr>
      <w:r w:rsidRPr="00490AA2">
        <w:rPr>
          <w:rFonts w:ascii="Book Antiqua" w:hAnsi="Book Antiqua"/>
          <w:b/>
          <w:sz w:val="28"/>
          <w:szCs w:val="28"/>
        </w:rPr>
        <w:t>INFORME POSITIVO</w:t>
      </w:r>
    </w:p>
    <w:p w14:paraId="509975C9" w14:textId="77777777" w:rsidR="00D56CBA" w:rsidRDefault="00D56CBA" w:rsidP="00D56CBA">
      <w:pPr>
        <w:contextualSpacing/>
        <w:jc w:val="center"/>
        <w:rPr>
          <w:rFonts w:ascii="Book Antiqua" w:hAnsi="Book Antiqua"/>
        </w:rPr>
      </w:pPr>
    </w:p>
    <w:p w14:paraId="2A4872E4" w14:textId="7FD22AC0" w:rsidR="00D56CBA" w:rsidRPr="00490AA2" w:rsidRDefault="00D35894" w:rsidP="00D56CBA">
      <w:pPr>
        <w:contextualSpacing/>
        <w:jc w:val="center"/>
        <w:rPr>
          <w:rFonts w:ascii="Book Antiqua" w:hAnsi="Book Antiqua"/>
        </w:rPr>
      </w:pPr>
      <w:r>
        <w:rPr>
          <w:rFonts w:ascii="Book Antiqua" w:hAnsi="Book Antiqua"/>
        </w:rPr>
        <w:t>11</w:t>
      </w:r>
      <w:r w:rsidR="00D56CBA">
        <w:rPr>
          <w:rFonts w:ascii="Book Antiqua" w:hAnsi="Book Antiqua"/>
        </w:rPr>
        <w:t xml:space="preserve"> de junio </w:t>
      </w:r>
      <w:r w:rsidR="00D56CBA" w:rsidRPr="00490AA2">
        <w:rPr>
          <w:rFonts w:ascii="Book Antiqua" w:hAnsi="Book Antiqua"/>
        </w:rPr>
        <w:t>de 202</w:t>
      </w:r>
      <w:r w:rsidR="00D56CBA">
        <w:rPr>
          <w:rFonts w:ascii="Book Antiqua" w:hAnsi="Book Antiqua"/>
        </w:rPr>
        <w:t>6</w:t>
      </w:r>
    </w:p>
    <w:p w14:paraId="386C6A9F" w14:textId="77777777" w:rsidR="00D56CBA" w:rsidRPr="00A578C9" w:rsidRDefault="00D56CBA" w:rsidP="00D56CBA">
      <w:pPr>
        <w:rPr>
          <w:rFonts w:ascii="Book Antiqua" w:hAnsi="Book Antiqua"/>
        </w:rPr>
      </w:pPr>
      <w:r w:rsidRPr="00A578C9">
        <w:rPr>
          <w:rFonts w:ascii="Times New Roman" w:hAnsi="Times New Roman" w:cs="Times New Roman"/>
        </w:rPr>
        <w:t>  </w:t>
      </w:r>
      <w:r w:rsidRPr="00A578C9">
        <w:rPr>
          <w:rFonts w:ascii="Book Antiqua" w:hAnsi="Book Antiqua"/>
        </w:rPr>
        <w:t> </w:t>
      </w:r>
    </w:p>
    <w:p w14:paraId="32432EC7" w14:textId="77777777" w:rsidR="00D56CBA" w:rsidRPr="00A578C9" w:rsidRDefault="00D56CBA" w:rsidP="00D56CBA">
      <w:pPr>
        <w:rPr>
          <w:rFonts w:ascii="Book Antiqua" w:hAnsi="Book Antiqua"/>
        </w:rPr>
      </w:pPr>
      <w:r w:rsidRPr="00A578C9">
        <w:rPr>
          <w:rFonts w:ascii="Book Antiqua" w:hAnsi="Book Antiqua"/>
          <w:b/>
          <w:bCs/>
        </w:rPr>
        <w:t>A LA CÁMARA DE REPRESENTANTES DE PUERTO RICO:</w:t>
      </w:r>
      <w:r w:rsidRPr="00A578C9">
        <w:rPr>
          <w:rFonts w:ascii="Times New Roman" w:hAnsi="Times New Roman" w:cs="Times New Roman"/>
        </w:rPr>
        <w:t>  </w:t>
      </w:r>
      <w:r w:rsidRPr="00A578C9">
        <w:rPr>
          <w:rFonts w:ascii="Book Antiqua" w:hAnsi="Book Antiqua"/>
        </w:rPr>
        <w:t> </w:t>
      </w:r>
    </w:p>
    <w:p w14:paraId="56665A0A" w14:textId="16B8404F" w:rsidR="00D56CBA" w:rsidRDefault="00D56CBA" w:rsidP="00D56CBA">
      <w:pPr>
        <w:ind w:firstLine="708"/>
        <w:jc w:val="both"/>
        <w:rPr>
          <w:rFonts w:ascii="Book Antiqua" w:hAnsi="Book Antiqua" w:cs="Times New Roman"/>
        </w:rPr>
      </w:pPr>
      <w:r w:rsidRPr="00181352">
        <w:rPr>
          <w:rFonts w:ascii="Book Antiqua" w:hAnsi="Book Antiqua" w:cs="Times New Roman"/>
        </w:rPr>
        <w:t xml:space="preserve">La Comisión de Gobierno, previo estudio y evaluación, tiene a bien someter a este Honorable Cuerpo el Informe Positivo sobre el Proyecto del Senado </w:t>
      </w:r>
      <w:r>
        <w:rPr>
          <w:rFonts w:ascii="Book Antiqua" w:hAnsi="Book Antiqua" w:cs="Times New Roman"/>
        </w:rPr>
        <w:t>1022</w:t>
      </w:r>
      <w:r w:rsidRPr="00181352">
        <w:rPr>
          <w:rFonts w:ascii="Book Antiqua" w:hAnsi="Book Antiqua" w:cs="Times New Roman"/>
        </w:rPr>
        <w:t>,</w:t>
      </w:r>
      <w:r>
        <w:rPr>
          <w:rFonts w:ascii="Book Antiqua" w:hAnsi="Book Antiqua" w:cs="Times New Roman"/>
        </w:rPr>
        <w:t xml:space="preserve"> sin </w:t>
      </w:r>
      <w:r w:rsidRPr="00181352">
        <w:rPr>
          <w:rFonts w:ascii="Book Antiqua" w:hAnsi="Book Antiqua" w:cs="Times New Roman"/>
        </w:rPr>
        <w:t>enmiendas.</w:t>
      </w:r>
    </w:p>
    <w:p w14:paraId="2F9911FE" w14:textId="77777777" w:rsidR="00D56CBA" w:rsidRDefault="00D56CBA" w:rsidP="00D56CBA">
      <w:pPr>
        <w:ind w:firstLine="708"/>
        <w:jc w:val="both"/>
        <w:rPr>
          <w:rFonts w:ascii="Book Antiqua" w:hAnsi="Book Antiqua" w:cs="Times New Roman"/>
        </w:rPr>
      </w:pPr>
    </w:p>
    <w:p w14:paraId="1E540761" w14:textId="77777777" w:rsidR="00D56CBA" w:rsidRPr="00A578C9" w:rsidRDefault="00D56CBA" w:rsidP="00D56CBA">
      <w:pPr>
        <w:jc w:val="center"/>
        <w:rPr>
          <w:rFonts w:ascii="Book Antiqua" w:hAnsi="Book Antiqua"/>
        </w:rPr>
      </w:pPr>
      <w:r w:rsidRPr="00A578C9">
        <w:rPr>
          <w:rFonts w:ascii="Book Antiqua" w:hAnsi="Book Antiqua"/>
          <w:b/>
          <w:bCs/>
        </w:rPr>
        <w:t>ALCANCE DE LA MEDIDA</w:t>
      </w:r>
    </w:p>
    <w:p w14:paraId="472D8515" w14:textId="316DBDF2" w:rsidR="00497757" w:rsidRPr="00497757" w:rsidRDefault="00497757" w:rsidP="00497757">
      <w:pPr>
        <w:ind w:firstLine="708"/>
        <w:jc w:val="both"/>
        <w:rPr>
          <w:rFonts w:ascii="Book Antiqua" w:hAnsi="Book Antiqua"/>
        </w:rPr>
      </w:pPr>
      <w:r w:rsidRPr="00497757">
        <w:rPr>
          <w:rFonts w:ascii="Book Antiqua" w:hAnsi="Book Antiqua"/>
        </w:rPr>
        <w:t>El Proyecto del Senado 1022 propone declarar el 5 de mayo de cada año como el “Día del Niño Dotado en Puerto Rico”, con el fin de sensibilizar sobre la existencia y aportaciones de la niñez dotada, fortalecer su identificación temprana, promover el desarrollo de programas educativos diferenciados y propiciar la colaboración entre agencias gubernamentales, instituciones educativas, organizaciones sin fines de lucro y familias para apoyar su formación integral.</w:t>
      </w:r>
    </w:p>
    <w:p w14:paraId="3857508B" w14:textId="77777777" w:rsidR="00497757" w:rsidRPr="00497757" w:rsidRDefault="00497757" w:rsidP="00497757">
      <w:pPr>
        <w:ind w:firstLine="708"/>
        <w:jc w:val="both"/>
        <w:rPr>
          <w:rFonts w:ascii="Book Antiqua" w:hAnsi="Book Antiqua"/>
        </w:rPr>
      </w:pPr>
      <w:r w:rsidRPr="00497757">
        <w:rPr>
          <w:rFonts w:ascii="Book Antiqua" w:hAnsi="Book Antiqua"/>
        </w:rPr>
        <w:t>De igual forma, dispone que el Departamento de Educación, en coordinación con el Departamento de la Familia y el Departamento de Recreación y Deportes, fomente actividades educativas, culturales, sociales y recreativas dirigidas a promover la concienciación sobre las necesidades y aportaciones de esta población estudiantil. Asimismo, establece la emisión de una proclama anual por parte del Gobernador o Gobernadora de Puerto Rico y dispone su vigencia inmediata tras su aprobación.</w:t>
      </w:r>
    </w:p>
    <w:p w14:paraId="14CB3E9B" w14:textId="5A1CC7F3" w:rsidR="00D56CBA" w:rsidRPr="00C40B8F" w:rsidRDefault="00D56CBA" w:rsidP="00497757">
      <w:pPr>
        <w:jc w:val="both"/>
        <w:rPr>
          <w:rFonts w:ascii="Book Antiqua" w:hAnsi="Book Antiqua"/>
        </w:rPr>
      </w:pPr>
    </w:p>
    <w:p w14:paraId="542D8C96" w14:textId="77777777" w:rsidR="00D56CBA" w:rsidRPr="00032AF5" w:rsidRDefault="00D56CBA" w:rsidP="00D56CBA">
      <w:pPr>
        <w:jc w:val="center"/>
        <w:rPr>
          <w:rFonts w:ascii="Book Antiqua" w:hAnsi="Book Antiqua"/>
          <w:b/>
          <w:bCs/>
        </w:rPr>
      </w:pPr>
      <w:r w:rsidRPr="00032AF5">
        <w:rPr>
          <w:rFonts w:ascii="Book Antiqua" w:hAnsi="Book Antiqua"/>
          <w:b/>
          <w:bCs/>
        </w:rPr>
        <w:lastRenderedPageBreak/>
        <w:t>AN</w:t>
      </w:r>
      <w:r>
        <w:rPr>
          <w:rFonts w:ascii="Book Antiqua" w:hAnsi="Book Antiqua"/>
          <w:b/>
          <w:bCs/>
        </w:rPr>
        <w:t>Á</w:t>
      </w:r>
      <w:r w:rsidRPr="00032AF5">
        <w:rPr>
          <w:rFonts w:ascii="Book Antiqua" w:hAnsi="Book Antiqua"/>
          <w:b/>
          <w:bCs/>
        </w:rPr>
        <w:t>LISIS DE LA MEDIDA</w:t>
      </w:r>
    </w:p>
    <w:p w14:paraId="7A38AE0C" w14:textId="6A78ABB7" w:rsidR="003433A3" w:rsidRPr="003433A3" w:rsidRDefault="003433A3" w:rsidP="003433A3">
      <w:pPr>
        <w:ind w:firstLine="708"/>
        <w:jc w:val="both"/>
        <w:rPr>
          <w:rFonts w:ascii="Book Antiqua" w:hAnsi="Book Antiqua" w:cs="Times New Roman"/>
        </w:rPr>
      </w:pPr>
      <w:r w:rsidRPr="003433A3">
        <w:rPr>
          <w:rFonts w:ascii="Book Antiqua" w:hAnsi="Book Antiqua" w:cs="Times New Roman"/>
        </w:rPr>
        <w:t xml:space="preserve">La Exposición de Motivos del Proyecto del Senado 1022 destaca que existe una población de </w:t>
      </w:r>
      <w:proofErr w:type="gramStart"/>
      <w:r w:rsidRPr="003433A3">
        <w:rPr>
          <w:rFonts w:ascii="Book Antiqua" w:hAnsi="Book Antiqua" w:cs="Times New Roman"/>
        </w:rPr>
        <w:t>niños y niñas</w:t>
      </w:r>
      <w:proofErr w:type="gramEnd"/>
      <w:r w:rsidRPr="003433A3">
        <w:rPr>
          <w:rFonts w:ascii="Book Antiqua" w:hAnsi="Book Antiqua" w:cs="Times New Roman"/>
        </w:rPr>
        <w:t xml:space="preserve"> cuyas capacidades cognitivas, creativas, artísticas, psicomotoras o de liderazgo se manifiestan a niveles significativamente superiores al promedio. Según se expone en la medida, estos menores poseen un potencial excepcional que, cuando es identificado y estimulado adecuadamente, puede representar una valiosa aportación al desarrollo social, científico, cultural y económico de Puerto Rico.</w:t>
      </w:r>
    </w:p>
    <w:p w14:paraId="6B7A0D93" w14:textId="77777777" w:rsidR="003433A3" w:rsidRPr="003433A3" w:rsidRDefault="003433A3" w:rsidP="003433A3">
      <w:pPr>
        <w:ind w:firstLine="708"/>
        <w:jc w:val="both"/>
        <w:rPr>
          <w:rFonts w:ascii="Book Antiqua" w:hAnsi="Book Antiqua" w:cs="Times New Roman"/>
        </w:rPr>
      </w:pPr>
      <w:r w:rsidRPr="003433A3">
        <w:rPr>
          <w:rFonts w:ascii="Book Antiqua" w:hAnsi="Book Antiqua" w:cs="Times New Roman"/>
        </w:rPr>
        <w:t>La medida reconoce, además, que la identificación temprana y el apoyo educativo apropiado constituyen elementos fundamentales para el desarrollo integral de esta población. De igual forma, señala que la falta de mecanismos adecuados para identificar y atender las necesidades particulares de estos estudiantes puede limitar el aprovechamiento de sus capacidades y afectar su desarrollo académico y personal.</w:t>
      </w:r>
    </w:p>
    <w:p w14:paraId="4467AD20" w14:textId="77777777" w:rsidR="003433A3" w:rsidRPr="003433A3" w:rsidRDefault="003433A3" w:rsidP="003433A3">
      <w:pPr>
        <w:ind w:firstLine="708"/>
        <w:jc w:val="both"/>
        <w:rPr>
          <w:rFonts w:ascii="Book Antiqua" w:hAnsi="Book Antiqua" w:cs="Times New Roman"/>
        </w:rPr>
      </w:pPr>
      <w:r w:rsidRPr="003433A3">
        <w:rPr>
          <w:rFonts w:ascii="Book Antiqua" w:hAnsi="Book Antiqua" w:cs="Times New Roman"/>
        </w:rPr>
        <w:t>A tales fines, la legislación propone establecer una fecha conmemorativa oficial dirigida a promover la conciencia pública sobre la existencia y aportaciones de la niñez dotada, fomentar su identificación temprana y fortalecer los esfuerzos colaborativos entre las agencias gubernamentales, las instituciones educativas, las organizaciones sin fines de lucro y las familias para apoyar su formación integral.</w:t>
      </w:r>
    </w:p>
    <w:p w14:paraId="044E441F" w14:textId="39943003" w:rsidR="00D56CBA" w:rsidRPr="00D17FE8" w:rsidRDefault="003433A3" w:rsidP="003433A3">
      <w:pPr>
        <w:ind w:firstLine="708"/>
        <w:jc w:val="both"/>
        <w:rPr>
          <w:rFonts w:ascii="Book Antiqua" w:hAnsi="Book Antiqua" w:cs="Times New Roman"/>
        </w:rPr>
      </w:pPr>
      <w:r w:rsidRPr="003433A3">
        <w:rPr>
          <w:rFonts w:ascii="Book Antiqua" w:hAnsi="Book Antiqua" w:cs="Times New Roman"/>
        </w:rPr>
        <w:t>Esta Comisión considera meritorio el propósito de reconocer y visibilizar las capacidades excepcionales de la niñez dotada, así como promover iniciativas dirigidas a fortalecer su desarrollo académico, creativo y personal. De igual forma, estima que la medida contribuye a fomentar una mayor conciencia pública sobre la importancia de identificar y apoyar tempranamente a estos estudiantes, de forma compatible con los principios de equidad educativa y desarrollo integral de la niñez.</w:t>
      </w:r>
    </w:p>
    <w:p w14:paraId="49981A00" w14:textId="77777777" w:rsidR="00D56CBA" w:rsidRPr="008F7C47" w:rsidRDefault="00D56CBA" w:rsidP="00D56CBA">
      <w:pPr>
        <w:jc w:val="center"/>
        <w:rPr>
          <w:rFonts w:ascii="Book Antiqua" w:hAnsi="Book Antiqua"/>
          <w:b/>
          <w:bCs/>
        </w:rPr>
      </w:pPr>
      <w:r w:rsidRPr="008F7C47">
        <w:rPr>
          <w:rFonts w:ascii="Book Antiqua" w:hAnsi="Book Antiqua"/>
          <w:b/>
          <w:bCs/>
        </w:rPr>
        <w:t>ALCANCE DEL INFORME</w:t>
      </w:r>
    </w:p>
    <w:p w14:paraId="3CFF55ED" w14:textId="757E85FE" w:rsidR="003433A3" w:rsidRPr="003433A3" w:rsidRDefault="003433A3" w:rsidP="003433A3">
      <w:pPr>
        <w:ind w:firstLine="708"/>
        <w:jc w:val="both"/>
        <w:rPr>
          <w:rFonts w:ascii="Book Antiqua" w:hAnsi="Book Antiqua"/>
        </w:rPr>
      </w:pPr>
      <w:r w:rsidRPr="003433A3">
        <w:rPr>
          <w:rFonts w:ascii="Book Antiqua" w:hAnsi="Book Antiqua"/>
        </w:rPr>
        <w:t>Como parte del trámite legislativo, esta Comisión evaluó el texto de la medida y examinó los memoriales explicativos y comentarios que obran en el expediente legislativo del Senado de Puerto Rico relacionados con el Proyecto del Senado 1022.</w:t>
      </w:r>
    </w:p>
    <w:p w14:paraId="2A903BB7" w14:textId="77777777" w:rsidR="003433A3" w:rsidRPr="003433A3" w:rsidRDefault="003433A3" w:rsidP="003433A3">
      <w:pPr>
        <w:ind w:firstLine="708"/>
        <w:jc w:val="both"/>
        <w:rPr>
          <w:rFonts w:ascii="Book Antiqua" w:hAnsi="Book Antiqua"/>
        </w:rPr>
      </w:pPr>
      <w:r w:rsidRPr="003433A3">
        <w:rPr>
          <w:rFonts w:ascii="Book Antiqua" w:hAnsi="Book Antiqua"/>
        </w:rPr>
        <w:t>Las entidades consultadas favorecieron la aprobación de la legislación propuesta. Entre ellas, el Departamento de Recreación y Deportes expresó su respaldo a la medida y destacó que las capacidades excepcionales de la niñez también pueden manifestarse en áreas psicomotoras y de liderazgo deportivo, por lo que reconoció la importancia de promover iniciativas dirigidas a identificar y desarrollar adecuadamente dichos talentos.</w:t>
      </w:r>
    </w:p>
    <w:p w14:paraId="7A4FB46B" w14:textId="77777777" w:rsidR="003433A3" w:rsidRPr="003433A3" w:rsidRDefault="003433A3" w:rsidP="003433A3">
      <w:pPr>
        <w:ind w:firstLine="708"/>
        <w:jc w:val="both"/>
        <w:rPr>
          <w:rFonts w:ascii="Book Antiqua" w:hAnsi="Book Antiqua"/>
        </w:rPr>
      </w:pPr>
      <w:r w:rsidRPr="003433A3">
        <w:rPr>
          <w:rFonts w:ascii="Book Antiqua" w:hAnsi="Book Antiqua"/>
        </w:rPr>
        <w:lastRenderedPageBreak/>
        <w:t>De igual forma, el Departamento de Estado apoyó la medida al entender que la misma constituye una iniciativa legislativa dirigida a reconocer y respaldar a la niñez dotada en Puerto Rico. Según expresó la agencia, la propuesta contribuye a destacar el valor de estos menores como recurso para el desarrollo social, cultural, científico y económico del País, a la vez que promueve una visión educativa consistente con los principios de equidad y desarrollo integral.</w:t>
      </w:r>
    </w:p>
    <w:p w14:paraId="5EC95E03" w14:textId="77777777" w:rsidR="003433A3" w:rsidRPr="003433A3" w:rsidRDefault="003433A3" w:rsidP="003433A3">
      <w:pPr>
        <w:ind w:firstLine="708"/>
        <w:jc w:val="both"/>
        <w:rPr>
          <w:rFonts w:ascii="Book Antiqua" w:hAnsi="Book Antiqua"/>
        </w:rPr>
      </w:pPr>
      <w:r w:rsidRPr="003433A3">
        <w:rPr>
          <w:rFonts w:ascii="Book Antiqua" w:hAnsi="Book Antiqua"/>
        </w:rPr>
        <w:t>Por su parte, el Departamento de la Familia favoreció la medida y destacó la importancia de continuar fortaleciendo los mecanismos de identificación, reconocimiento y apoyo dirigidos a esta población. La agencia recomendó promover activamente la participación de los estudiantes dotados en iniciativas gubernamentales y desarrollar mecanismos de reconocimiento que visibilicen sus logros y aportaciones. La Comisión observa que dichas recomendaciones fueron incorporadas al texto aprobado por el Senado.</w:t>
      </w:r>
    </w:p>
    <w:p w14:paraId="6E287DB7" w14:textId="77777777" w:rsidR="003433A3" w:rsidRPr="003433A3" w:rsidRDefault="003433A3" w:rsidP="003433A3">
      <w:pPr>
        <w:ind w:firstLine="708"/>
        <w:jc w:val="both"/>
        <w:rPr>
          <w:rFonts w:ascii="Book Antiqua" w:hAnsi="Book Antiqua"/>
        </w:rPr>
      </w:pPr>
      <w:r w:rsidRPr="003433A3">
        <w:rPr>
          <w:rFonts w:ascii="Book Antiqua" w:hAnsi="Book Antiqua"/>
        </w:rPr>
        <w:t>Asimismo, la Comisión examinó la ponencia presentada por el Instituto de Investigación y Desarrollo para Estudiantes Dotados (IIDED), entidad especializada en la atención de esta población estudiantil. El Instituto respaldó la medida y resaltó la importancia de fortalecer los esfuerzos de identificación temprana, aceleración académica, enriquecimiento curricular y apoyo socioemocional para estudiantes dotados. De igual forma, destacó que el reconocimiento oficial de esta población constituye una oportunidad para promover una mayor conciencia pública sobre sus necesidades particulares y sobre el potencial de aportación que estos estudiantes representan para el futuro de Puerto Rico.</w:t>
      </w:r>
    </w:p>
    <w:p w14:paraId="14FE7B1B" w14:textId="1DD2009C" w:rsidR="003433A3" w:rsidRDefault="003433A3" w:rsidP="003433A3">
      <w:pPr>
        <w:ind w:firstLine="708"/>
        <w:jc w:val="both"/>
        <w:rPr>
          <w:rFonts w:ascii="Book Antiqua" w:hAnsi="Book Antiqua"/>
        </w:rPr>
      </w:pPr>
      <w:r w:rsidRPr="003433A3">
        <w:rPr>
          <w:rFonts w:ascii="Book Antiqua" w:hAnsi="Book Antiqua"/>
        </w:rPr>
        <w:t>De la evaluación realizada surge un consenso favorable en torno al propósito de la medida y a la importancia de promover el reconocimiento, la identificación temprana y el desarrollo integral de la niñez dotada en Puerto Rico. La Comisión observa, además, que las recomendaciones sustantivas formuladas por las entidades consultadas durante el trámite legislativo en el Senado fueron evaluadas y atendidas mediante las enmiendas incorporadas al texto finalmente aprobado por dicho Cuerpo, razón por la cual entiende que la medida se encuentra adecuadamente estructurada para adelantar los objetivos de política pública que persigue.</w:t>
      </w:r>
    </w:p>
    <w:p w14:paraId="32ECA18A" w14:textId="54C7EDE6" w:rsidR="003433A3" w:rsidRPr="003433A3" w:rsidRDefault="003433A3" w:rsidP="003433A3">
      <w:pPr>
        <w:ind w:firstLine="708"/>
        <w:jc w:val="center"/>
        <w:rPr>
          <w:rFonts w:ascii="Book Antiqua" w:hAnsi="Book Antiqua"/>
          <w:b/>
          <w:bCs/>
        </w:rPr>
      </w:pPr>
      <w:r w:rsidRPr="003433A3">
        <w:rPr>
          <w:rFonts w:ascii="Book Antiqua" w:hAnsi="Book Antiqua"/>
          <w:b/>
          <w:bCs/>
        </w:rPr>
        <w:t>IMPACTO FISCAL</w:t>
      </w:r>
    </w:p>
    <w:p w14:paraId="3AFDEBB9" w14:textId="77777777" w:rsidR="003433A3" w:rsidRPr="003433A3" w:rsidRDefault="003433A3" w:rsidP="003433A3">
      <w:pPr>
        <w:ind w:firstLine="708"/>
        <w:jc w:val="both"/>
        <w:rPr>
          <w:rFonts w:ascii="Book Antiqua" w:hAnsi="Book Antiqua"/>
        </w:rPr>
      </w:pPr>
      <w:r w:rsidRPr="003433A3">
        <w:rPr>
          <w:rFonts w:ascii="Book Antiqua" w:hAnsi="Book Antiqua"/>
        </w:rPr>
        <w:t xml:space="preserve">La Comisión concluye que el Proyecto del Senado 1022 no tiene un impacto fiscal significativo para el Gobierno de Puerto Rico. La medida se limita a establecer una fecha </w:t>
      </w:r>
      <w:r w:rsidRPr="003433A3">
        <w:rPr>
          <w:rFonts w:ascii="Book Antiqua" w:hAnsi="Book Antiqua"/>
        </w:rPr>
        <w:lastRenderedPageBreak/>
        <w:t>conmemorativa y a promover actividades educativas, culturales, recreativas y de orientación dentro de los recursos ordinarios de las agencias concernidas.</w:t>
      </w:r>
    </w:p>
    <w:p w14:paraId="3A48E1B6" w14:textId="77777777" w:rsidR="003433A3" w:rsidRPr="003433A3" w:rsidRDefault="003433A3" w:rsidP="003433A3">
      <w:pPr>
        <w:ind w:firstLine="708"/>
        <w:jc w:val="both"/>
        <w:rPr>
          <w:rFonts w:ascii="Book Antiqua" w:hAnsi="Book Antiqua"/>
        </w:rPr>
      </w:pPr>
      <w:r w:rsidRPr="003433A3">
        <w:rPr>
          <w:rFonts w:ascii="Book Antiqua" w:hAnsi="Book Antiqua"/>
        </w:rPr>
        <w:t>Asimismo, la legislación no crea programas permanentes, plazas, estructuras administrativas adicionales ni asignaciones presupuestarias específicas. Por el contrario, las actividades contempladas podrán realizarse mediante los recursos y mecanismos administrativos actualmente disponibles para las agencias concernidas.</w:t>
      </w:r>
    </w:p>
    <w:p w14:paraId="1907E43A" w14:textId="58EE9B48" w:rsidR="003433A3" w:rsidRPr="003433A3" w:rsidRDefault="003433A3" w:rsidP="003433A3">
      <w:pPr>
        <w:ind w:firstLine="708"/>
        <w:jc w:val="both"/>
        <w:rPr>
          <w:rFonts w:ascii="Book Antiqua" w:hAnsi="Book Antiqua"/>
        </w:rPr>
      </w:pPr>
      <w:r w:rsidRPr="003433A3">
        <w:rPr>
          <w:rFonts w:ascii="Book Antiqua" w:hAnsi="Book Antiqua"/>
        </w:rPr>
        <w:t>Por consiguiente, esta Comisión concluye que la medida no representa una carga fiscal adicional para el erario.</w:t>
      </w:r>
    </w:p>
    <w:p w14:paraId="5ECB4821" w14:textId="77777777" w:rsidR="003433A3" w:rsidRPr="003433A3" w:rsidRDefault="003433A3" w:rsidP="003433A3">
      <w:pPr>
        <w:ind w:firstLine="708"/>
        <w:jc w:val="center"/>
        <w:rPr>
          <w:rFonts w:ascii="Book Antiqua" w:hAnsi="Book Antiqua"/>
          <w:b/>
          <w:bCs/>
        </w:rPr>
      </w:pPr>
      <w:r w:rsidRPr="003433A3">
        <w:rPr>
          <w:rFonts w:ascii="Book Antiqua" w:hAnsi="Book Antiqua"/>
          <w:b/>
          <w:bCs/>
        </w:rPr>
        <w:t>CONCLUSIÓN</w:t>
      </w:r>
    </w:p>
    <w:p w14:paraId="379B09A2" w14:textId="77777777" w:rsidR="003433A3" w:rsidRPr="003433A3" w:rsidRDefault="003433A3" w:rsidP="003433A3">
      <w:pPr>
        <w:ind w:firstLine="708"/>
        <w:jc w:val="both"/>
        <w:rPr>
          <w:rFonts w:ascii="Book Antiqua" w:hAnsi="Book Antiqua"/>
        </w:rPr>
      </w:pPr>
      <w:r w:rsidRPr="003433A3">
        <w:rPr>
          <w:rFonts w:ascii="Book Antiqua" w:hAnsi="Book Antiqua"/>
        </w:rPr>
        <w:t>El Proyecto del Senado 1022 establece una política pública de carácter conmemorativo y educativo dirigida a reconocer la existencia, las aportaciones y el potencial de la niñez dotada en Puerto Rico.</w:t>
      </w:r>
    </w:p>
    <w:p w14:paraId="51CD580E" w14:textId="77777777" w:rsidR="003433A3" w:rsidRPr="003433A3" w:rsidRDefault="003433A3" w:rsidP="003433A3">
      <w:pPr>
        <w:ind w:firstLine="708"/>
        <w:jc w:val="both"/>
        <w:rPr>
          <w:rFonts w:ascii="Book Antiqua" w:hAnsi="Book Antiqua"/>
        </w:rPr>
      </w:pPr>
      <w:r w:rsidRPr="003433A3">
        <w:rPr>
          <w:rFonts w:ascii="Book Antiqua" w:hAnsi="Book Antiqua"/>
        </w:rPr>
        <w:t>La Comisión concluye que la medida constituye un mecanismo adecuado para fomentar la concienciación pública sobre las necesidades particulares de esta población, promover su identificación temprana y fortalecer los esfuerzos dirigidos a apoyar su desarrollo integral mediante la colaboración entre el Gobierno, las instituciones educativas, las organizaciones comunitarias y las familias.</w:t>
      </w:r>
    </w:p>
    <w:p w14:paraId="4DB7E082" w14:textId="77777777" w:rsidR="003433A3" w:rsidRPr="003433A3" w:rsidRDefault="003433A3" w:rsidP="003433A3">
      <w:pPr>
        <w:ind w:firstLine="708"/>
        <w:jc w:val="both"/>
        <w:rPr>
          <w:rFonts w:ascii="Book Antiqua" w:hAnsi="Book Antiqua"/>
        </w:rPr>
      </w:pPr>
      <w:r w:rsidRPr="003433A3">
        <w:rPr>
          <w:rFonts w:ascii="Book Antiqua" w:hAnsi="Book Antiqua"/>
        </w:rPr>
        <w:t>Asimismo, el expediente legislativo demuestra un respaldo favorable por parte de las entidades que evaluaron la medida, las cuales coincidieron en la importancia de reconocer y visibilizar las capacidades excepcionales de estos estudiantes y de continuar fortaleciendo los mecanismos que permitan atender adecuadamente sus necesidades educativas y de desarrollo.</w:t>
      </w:r>
    </w:p>
    <w:p w14:paraId="222CC9BF" w14:textId="77777777" w:rsidR="003433A3" w:rsidRPr="003433A3" w:rsidRDefault="003433A3" w:rsidP="003433A3">
      <w:pPr>
        <w:ind w:firstLine="708"/>
        <w:jc w:val="both"/>
        <w:rPr>
          <w:rFonts w:ascii="Book Antiqua" w:hAnsi="Book Antiqua"/>
        </w:rPr>
      </w:pPr>
      <w:r w:rsidRPr="003433A3">
        <w:rPr>
          <w:rFonts w:ascii="Book Antiqua" w:hAnsi="Book Antiqua"/>
        </w:rPr>
        <w:t>Por todo lo cual, esta Comisión rinde Informe Positivo y recomienda la aprobación del Proyecto del Senado 1022, sin enmiendas.</w:t>
      </w:r>
    </w:p>
    <w:p w14:paraId="79F0266B" w14:textId="77777777" w:rsidR="00D56CBA" w:rsidRDefault="00D56CBA" w:rsidP="00D56CBA">
      <w:pPr>
        <w:rPr>
          <w:rFonts w:ascii="Book Antiqua" w:hAnsi="Book Antiqua"/>
        </w:rPr>
      </w:pPr>
    </w:p>
    <w:p w14:paraId="0CFEBD3A" w14:textId="77777777" w:rsidR="00D56CBA" w:rsidRPr="00A578C9" w:rsidRDefault="00D56CBA" w:rsidP="00D56CBA">
      <w:pPr>
        <w:rPr>
          <w:rFonts w:ascii="Book Antiqua" w:hAnsi="Book Antiqua"/>
        </w:rPr>
      </w:pPr>
      <w:r w:rsidRPr="00A578C9">
        <w:rPr>
          <w:rFonts w:ascii="Book Antiqua" w:hAnsi="Book Antiqua"/>
        </w:rPr>
        <w:t>Respetuosamente sometido,</w:t>
      </w:r>
      <w:r w:rsidRPr="00A578C9">
        <w:rPr>
          <w:rFonts w:ascii="Times New Roman" w:hAnsi="Times New Roman" w:cs="Times New Roman"/>
        </w:rPr>
        <w:t>  </w:t>
      </w:r>
      <w:r w:rsidRPr="00A578C9">
        <w:rPr>
          <w:rFonts w:ascii="Book Antiqua" w:hAnsi="Book Antiqua"/>
        </w:rPr>
        <w:t> </w:t>
      </w:r>
    </w:p>
    <w:p w14:paraId="23AE1258" w14:textId="77777777" w:rsidR="00D56CBA" w:rsidRPr="00A578C9" w:rsidRDefault="00D56CBA" w:rsidP="00D56CBA">
      <w:pPr>
        <w:rPr>
          <w:rFonts w:ascii="Book Antiqua" w:hAnsi="Book Antiqua"/>
        </w:rPr>
      </w:pPr>
      <w:r w:rsidRPr="00A578C9">
        <w:rPr>
          <w:rFonts w:ascii="Book Antiqua" w:hAnsi="Book Antiqua"/>
        </w:rPr>
        <w:t> </w:t>
      </w:r>
    </w:p>
    <w:p w14:paraId="68027D41" w14:textId="77777777" w:rsidR="00D56CBA" w:rsidRPr="00A578C9" w:rsidRDefault="00D56CBA" w:rsidP="00D56CBA">
      <w:pPr>
        <w:spacing w:line="240" w:lineRule="auto"/>
        <w:rPr>
          <w:rFonts w:ascii="Book Antiqua" w:hAnsi="Book Antiqua"/>
        </w:rPr>
      </w:pPr>
      <w:r w:rsidRPr="00A578C9">
        <w:rPr>
          <w:rFonts w:ascii="Book Antiqua" w:hAnsi="Book Antiqua"/>
          <w:b/>
          <w:bCs/>
        </w:rPr>
        <w:t>Hon. Víctor L. Parés-Otero</w:t>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Times New Roman" w:hAnsi="Times New Roman" w:cs="Times New Roman"/>
        </w:rPr>
        <w:t>  </w:t>
      </w:r>
      <w:r w:rsidRPr="00A578C9">
        <w:rPr>
          <w:rFonts w:ascii="Book Antiqua" w:hAnsi="Book Antiqua"/>
        </w:rPr>
        <w:t> </w:t>
      </w:r>
    </w:p>
    <w:p w14:paraId="428C04CC" w14:textId="77777777" w:rsidR="00D56CBA" w:rsidRPr="00A578C9" w:rsidRDefault="00D56CBA" w:rsidP="00D56CBA">
      <w:pPr>
        <w:spacing w:line="240" w:lineRule="auto"/>
        <w:rPr>
          <w:rFonts w:ascii="Book Antiqua" w:hAnsi="Book Antiqua"/>
        </w:rPr>
      </w:pPr>
      <w:r w:rsidRPr="00A578C9">
        <w:rPr>
          <w:rFonts w:ascii="Book Antiqua" w:hAnsi="Book Antiqua"/>
        </w:rPr>
        <w:t>Presidente</w:t>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Times New Roman" w:hAnsi="Times New Roman" w:cs="Times New Roman"/>
        </w:rPr>
        <w:t>  </w:t>
      </w:r>
      <w:r w:rsidRPr="00A578C9">
        <w:rPr>
          <w:rFonts w:ascii="Book Antiqua" w:hAnsi="Book Antiqua"/>
        </w:rPr>
        <w:t> </w:t>
      </w:r>
    </w:p>
    <w:p w14:paraId="10A0EC51" w14:textId="77777777" w:rsidR="00D56CBA" w:rsidRPr="00A578C9" w:rsidRDefault="00D56CBA" w:rsidP="00D56CBA">
      <w:pPr>
        <w:spacing w:line="240" w:lineRule="auto"/>
        <w:rPr>
          <w:rFonts w:ascii="Book Antiqua" w:hAnsi="Book Antiqua"/>
        </w:rPr>
      </w:pPr>
      <w:r w:rsidRPr="00A578C9">
        <w:rPr>
          <w:rFonts w:ascii="Book Antiqua" w:hAnsi="Book Antiqua"/>
        </w:rPr>
        <w:t>Comisión de Gobierno</w:t>
      </w:r>
      <w:r w:rsidRPr="00A578C9">
        <w:rPr>
          <w:rFonts w:ascii="Times New Roman" w:hAnsi="Times New Roman" w:cs="Times New Roman"/>
        </w:rPr>
        <w:t>  </w:t>
      </w:r>
      <w:r w:rsidRPr="00A578C9">
        <w:rPr>
          <w:rFonts w:ascii="Book Antiqua" w:hAnsi="Book Antiqua"/>
        </w:rPr>
        <w:t> </w:t>
      </w:r>
    </w:p>
    <w:p w14:paraId="0896899D" w14:textId="77777777" w:rsidR="00D56CBA" w:rsidRPr="003D39DE" w:rsidRDefault="00D56CBA" w:rsidP="00D56CBA">
      <w:pPr>
        <w:spacing w:line="240" w:lineRule="auto"/>
        <w:rPr>
          <w:rFonts w:ascii="Book Antiqua" w:hAnsi="Book Antiqua"/>
        </w:rPr>
      </w:pPr>
      <w:r w:rsidRPr="00A578C9">
        <w:rPr>
          <w:rFonts w:ascii="Book Antiqua" w:hAnsi="Book Antiqua"/>
        </w:rPr>
        <w:lastRenderedPageBreak/>
        <w:t>Cámara de Representantes</w:t>
      </w:r>
      <w:r w:rsidRPr="00A578C9">
        <w:rPr>
          <w:rFonts w:ascii="Times New Roman" w:hAnsi="Times New Roman" w:cs="Times New Roman"/>
        </w:rPr>
        <w:t>  </w:t>
      </w:r>
      <w:r w:rsidRPr="00A578C9">
        <w:rPr>
          <w:rFonts w:ascii="Book Antiqua" w:hAnsi="Book Antiqua"/>
        </w:rPr>
        <w:t> </w:t>
      </w:r>
    </w:p>
    <w:p w14:paraId="122A09A1" w14:textId="77777777" w:rsidR="00D56CBA" w:rsidRDefault="00D56CBA" w:rsidP="00D56CBA"/>
    <w:p w14:paraId="27871A6E" w14:textId="77777777" w:rsidR="00D56CBA" w:rsidRDefault="00D56CBA"/>
    <w:sectPr w:rsidR="00D56CBA" w:rsidSect="00D56CBA">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9BF2D" w14:textId="77777777" w:rsidR="00E31345" w:rsidRDefault="00E31345" w:rsidP="00497757">
      <w:pPr>
        <w:spacing w:after="0" w:line="240" w:lineRule="auto"/>
      </w:pPr>
      <w:r>
        <w:separator/>
      </w:r>
    </w:p>
  </w:endnote>
  <w:endnote w:type="continuationSeparator" w:id="0">
    <w:p w14:paraId="1C08AC41" w14:textId="77777777" w:rsidR="00E31345" w:rsidRDefault="00E31345" w:rsidP="00497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8766366"/>
      <w:docPartObj>
        <w:docPartGallery w:val="Page Numbers (Bottom of Page)"/>
        <w:docPartUnique/>
      </w:docPartObj>
    </w:sdtPr>
    <w:sdtEndPr/>
    <w:sdtContent>
      <w:p w14:paraId="21DBDD99" w14:textId="77777777" w:rsidR="00D56CBA" w:rsidRDefault="00D56CBA">
        <w:pPr>
          <w:pStyle w:val="Footer"/>
          <w:jc w:val="center"/>
        </w:pPr>
        <w:r>
          <w:fldChar w:fldCharType="begin"/>
        </w:r>
        <w:r>
          <w:instrText>PAGE   \* MERGEFORMAT</w:instrText>
        </w:r>
        <w:r>
          <w:fldChar w:fldCharType="separate"/>
        </w:r>
        <w:r>
          <w:rPr>
            <w:lang w:val="es-ES"/>
          </w:rPr>
          <w:t>2</w:t>
        </w:r>
        <w:r>
          <w:fldChar w:fldCharType="end"/>
        </w:r>
      </w:p>
    </w:sdtContent>
  </w:sdt>
  <w:p w14:paraId="0AD10AA8" w14:textId="77777777" w:rsidR="00D56CBA" w:rsidRDefault="00D56C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CE99A" w14:textId="77777777" w:rsidR="00E31345" w:rsidRDefault="00E31345" w:rsidP="00497757">
      <w:pPr>
        <w:spacing w:after="0" w:line="240" w:lineRule="auto"/>
      </w:pPr>
      <w:r>
        <w:separator/>
      </w:r>
    </w:p>
  </w:footnote>
  <w:footnote w:type="continuationSeparator" w:id="0">
    <w:p w14:paraId="6FAC6032" w14:textId="77777777" w:rsidR="00E31345" w:rsidRDefault="00E31345" w:rsidP="004977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024CD" w14:textId="77777777" w:rsidR="00D56CBA" w:rsidRDefault="00D56CBA">
    <w:pPr>
      <w:pStyle w:val="Header"/>
      <w:rPr>
        <w:rFonts w:ascii="Book Antiqua" w:hAnsi="Book Antiqua"/>
        <w:sz w:val="20"/>
        <w:szCs w:val="20"/>
      </w:rPr>
    </w:pPr>
    <w:r>
      <w:rPr>
        <w:rFonts w:ascii="Book Antiqua" w:hAnsi="Book Antiqua"/>
        <w:sz w:val="20"/>
        <w:szCs w:val="20"/>
      </w:rPr>
      <w:t>Informe Positivo</w:t>
    </w:r>
  </w:p>
  <w:p w14:paraId="51B39573" w14:textId="4C5DE573" w:rsidR="00497757" w:rsidRDefault="00497757">
    <w:pPr>
      <w:pStyle w:val="Header"/>
      <w:rPr>
        <w:rFonts w:ascii="Book Antiqua" w:hAnsi="Book Antiqua"/>
        <w:sz w:val="20"/>
        <w:szCs w:val="20"/>
      </w:rPr>
    </w:pPr>
    <w:r>
      <w:rPr>
        <w:rFonts w:ascii="Book Antiqua" w:hAnsi="Book Antiqua"/>
        <w:sz w:val="20"/>
        <w:szCs w:val="20"/>
      </w:rPr>
      <w:t>Comisión de Gobierno</w:t>
    </w:r>
  </w:p>
  <w:p w14:paraId="7350B8F7" w14:textId="13D1D109" w:rsidR="00D56CBA" w:rsidRPr="002F23A4" w:rsidRDefault="00D56CBA">
    <w:pPr>
      <w:pStyle w:val="Header"/>
      <w:rPr>
        <w:rFonts w:ascii="Book Antiqua" w:hAnsi="Book Antiqua"/>
        <w:sz w:val="20"/>
        <w:szCs w:val="20"/>
      </w:rPr>
    </w:pPr>
    <w:r>
      <w:rPr>
        <w:rFonts w:ascii="Book Antiqua" w:hAnsi="Book Antiqua"/>
        <w:sz w:val="20"/>
        <w:szCs w:val="20"/>
      </w:rPr>
      <w:t xml:space="preserve">Proyecto del Senado </w:t>
    </w:r>
    <w:r w:rsidR="00497757">
      <w:rPr>
        <w:rFonts w:ascii="Book Antiqua" w:hAnsi="Book Antiqua"/>
        <w:sz w:val="20"/>
        <w:szCs w:val="20"/>
      </w:rPr>
      <w:t>1022</w:t>
    </w:r>
  </w:p>
  <w:p w14:paraId="7AD4DC87" w14:textId="77777777" w:rsidR="00D56CBA" w:rsidRDefault="00D56C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9D0106"/>
    <w:multiLevelType w:val="multilevel"/>
    <w:tmpl w:val="BF0E2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5221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CBA"/>
    <w:rsid w:val="00061666"/>
    <w:rsid w:val="003433A3"/>
    <w:rsid w:val="00497757"/>
    <w:rsid w:val="004C1CF9"/>
    <w:rsid w:val="009B6712"/>
    <w:rsid w:val="00D35894"/>
    <w:rsid w:val="00D56CBA"/>
    <w:rsid w:val="00E3134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59391"/>
  <w15:chartTrackingRefBased/>
  <w15:docId w15:val="{8E5059B7-86FE-4C2E-846A-C57FB84B3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CBA"/>
  </w:style>
  <w:style w:type="paragraph" w:styleId="Heading1">
    <w:name w:val="heading 1"/>
    <w:basedOn w:val="Normal"/>
    <w:next w:val="Normal"/>
    <w:link w:val="Heading1Char"/>
    <w:uiPriority w:val="9"/>
    <w:qFormat/>
    <w:rsid w:val="00D56C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6C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6C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6C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6C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6C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6C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6C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6C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6C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6C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6C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6C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6C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6C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6C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6C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6CBA"/>
    <w:rPr>
      <w:rFonts w:eastAsiaTheme="majorEastAsia" w:cstheme="majorBidi"/>
      <w:color w:val="272727" w:themeColor="text1" w:themeTint="D8"/>
    </w:rPr>
  </w:style>
  <w:style w:type="paragraph" w:styleId="Title">
    <w:name w:val="Title"/>
    <w:basedOn w:val="Normal"/>
    <w:next w:val="Normal"/>
    <w:link w:val="TitleChar"/>
    <w:uiPriority w:val="10"/>
    <w:qFormat/>
    <w:rsid w:val="00D56C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6C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6C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6C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6CBA"/>
    <w:pPr>
      <w:spacing w:before="160"/>
      <w:jc w:val="center"/>
    </w:pPr>
    <w:rPr>
      <w:i/>
      <w:iCs/>
      <w:color w:val="404040" w:themeColor="text1" w:themeTint="BF"/>
    </w:rPr>
  </w:style>
  <w:style w:type="character" w:customStyle="1" w:styleId="QuoteChar">
    <w:name w:val="Quote Char"/>
    <w:basedOn w:val="DefaultParagraphFont"/>
    <w:link w:val="Quote"/>
    <w:uiPriority w:val="29"/>
    <w:rsid w:val="00D56CBA"/>
    <w:rPr>
      <w:i/>
      <w:iCs/>
      <w:color w:val="404040" w:themeColor="text1" w:themeTint="BF"/>
    </w:rPr>
  </w:style>
  <w:style w:type="paragraph" w:styleId="ListParagraph">
    <w:name w:val="List Paragraph"/>
    <w:basedOn w:val="Normal"/>
    <w:uiPriority w:val="34"/>
    <w:qFormat/>
    <w:rsid w:val="00D56CBA"/>
    <w:pPr>
      <w:ind w:left="720"/>
      <w:contextualSpacing/>
    </w:pPr>
  </w:style>
  <w:style w:type="character" w:styleId="IntenseEmphasis">
    <w:name w:val="Intense Emphasis"/>
    <w:basedOn w:val="DefaultParagraphFont"/>
    <w:uiPriority w:val="21"/>
    <w:qFormat/>
    <w:rsid w:val="00D56CBA"/>
    <w:rPr>
      <w:i/>
      <w:iCs/>
      <w:color w:val="0F4761" w:themeColor="accent1" w:themeShade="BF"/>
    </w:rPr>
  </w:style>
  <w:style w:type="paragraph" w:styleId="IntenseQuote">
    <w:name w:val="Intense Quote"/>
    <w:basedOn w:val="Normal"/>
    <w:next w:val="Normal"/>
    <w:link w:val="IntenseQuoteChar"/>
    <w:uiPriority w:val="30"/>
    <w:qFormat/>
    <w:rsid w:val="00D56C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6CBA"/>
    <w:rPr>
      <w:i/>
      <w:iCs/>
      <w:color w:val="0F4761" w:themeColor="accent1" w:themeShade="BF"/>
    </w:rPr>
  </w:style>
  <w:style w:type="character" w:styleId="IntenseReference">
    <w:name w:val="Intense Reference"/>
    <w:basedOn w:val="DefaultParagraphFont"/>
    <w:uiPriority w:val="32"/>
    <w:qFormat/>
    <w:rsid w:val="00D56CBA"/>
    <w:rPr>
      <w:b/>
      <w:bCs/>
      <w:smallCaps/>
      <w:color w:val="0F4761" w:themeColor="accent1" w:themeShade="BF"/>
      <w:spacing w:val="5"/>
    </w:rPr>
  </w:style>
  <w:style w:type="paragraph" w:styleId="Header">
    <w:name w:val="header"/>
    <w:basedOn w:val="Normal"/>
    <w:link w:val="HeaderChar"/>
    <w:uiPriority w:val="99"/>
    <w:unhideWhenUsed/>
    <w:rsid w:val="00D56C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6CBA"/>
  </w:style>
  <w:style w:type="paragraph" w:styleId="Footer">
    <w:name w:val="footer"/>
    <w:basedOn w:val="Normal"/>
    <w:link w:val="FooterChar"/>
    <w:uiPriority w:val="99"/>
    <w:unhideWhenUsed/>
    <w:rsid w:val="00D56C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6C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1222</Words>
  <Characters>6967</Characters>
  <Application>Microsoft Office Word</Application>
  <DocSecurity>4</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2026-06-11T17:04:00Z</dcterms:created>
  <dcterms:modified xsi:type="dcterms:W3CDTF">2026-06-11T17:04:00Z</dcterms:modified>
</cp:coreProperties>
</file>