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6CC91" w14:textId="263A1974" w:rsidR="00D80020" w:rsidRDefault="00D80020" w:rsidP="003F655C">
      <w:pPr>
        <w:jc w:val="center"/>
        <w:rPr>
          <w:rFonts w:ascii="Book Antiqua" w:hAnsi="Book Antiqua"/>
          <w:sz w:val="36"/>
          <w:lang w:val="es-ES"/>
        </w:rPr>
      </w:pPr>
      <w:proofErr w:type="spellStart"/>
      <w:r>
        <w:rPr>
          <w:rFonts w:ascii="Book Antiqua" w:hAnsi="Book Antiqua"/>
          <w:sz w:val="36"/>
          <w:lang w:val="es-ES"/>
        </w:rPr>
        <w:t>Entirillado</w:t>
      </w:r>
      <w:proofErr w:type="spellEnd"/>
      <w:r>
        <w:rPr>
          <w:rFonts w:ascii="Book Antiqua" w:hAnsi="Book Antiqua"/>
          <w:sz w:val="36"/>
          <w:lang w:val="es-ES"/>
        </w:rPr>
        <w:t xml:space="preserve"> electrónico</w:t>
      </w:r>
    </w:p>
    <w:p w14:paraId="2C06C265" w14:textId="733C71CD" w:rsidR="008C4672" w:rsidRPr="00BF78DE" w:rsidRDefault="003F655C" w:rsidP="003F655C">
      <w:pPr>
        <w:jc w:val="center"/>
        <w:rPr>
          <w:rFonts w:ascii="Book Antiqua" w:hAnsi="Book Antiqua"/>
          <w:sz w:val="36"/>
          <w:lang w:val="es-ES"/>
        </w:rPr>
      </w:pPr>
      <w:r w:rsidRPr="00BF78DE">
        <w:rPr>
          <w:rFonts w:ascii="Book Antiqua" w:hAnsi="Book Antiqua"/>
          <w:sz w:val="36"/>
          <w:lang w:val="es-ES"/>
        </w:rPr>
        <w:t>GOBIERNO DE PUERTO RICO</w:t>
      </w:r>
    </w:p>
    <w:p w14:paraId="1A5C702A" w14:textId="16856457" w:rsidR="003F655C" w:rsidRPr="00BF78DE" w:rsidRDefault="009A2BBE" w:rsidP="009A2BBE">
      <w:pPr>
        <w:tabs>
          <w:tab w:val="left" w:pos="8508"/>
        </w:tabs>
        <w:rPr>
          <w:rFonts w:ascii="Book Antiqua" w:hAnsi="Book Antiqua"/>
          <w:sz w:val="36"/>
          <w:lang w:val="es-ES"/>
        </w:rPr>
      </w:pPr>
      <w:r w:rsidRPr="00BF78DE">
        <w:rPr>
          <w:rFonts w:ascii="Book Antiqua" w:hAnsi="Book Antiqua"/>
          <w:sz w:val="36"/>
          <w:lang w:val="es-ES"/>
        </w:rPr>
        <w:tab/>
      </w:r>
    </w:p>
    <w:p w14:paraId="6747BC12" w14:textId="45ED3A91" w:rsidR="003F655C" w:rsidRPr="00BF78DE" w:rsidRDefault="002B508B" w:rsidP="003F655C">
      <w:pPr>
        <w:pStyle w:val="Title2"/>
        <w:rPr>
          <w:rFonts w:ascii="Book Antiqua" w:hAnsi="Book Antiqua"/>
          <w:lang w:val="es-ES"/>
        </w:rPr>
      </w:pPr>
      <w:r w:rsidRPr="00BF78DE">
        <w:rPr>
          <w:rFonts w:ascii="Book Antiqua" w:hAnsi="Book Antiqua"/>
          <w:lang w:val="es-ES"/>
        </w:rPr>
        <w:t>20</w:t>
      </w:r>
      <w:r w:rsidRPr="00BF78DE">
        <w:rPr>
          <w:rFonts w:ascii="Book Antiqua" w:hAnsi="Book Antiqua"/>
          <w:vertAlign w:val="superscript"/>
          <w:lang w:val="es-ES"/>
        </w:rPr>
        <w:t>m</w:t>
      </w:r>
      <w:r w:rsidR="003F655C" w:rsidRPr="00BF78DE">
        <w:rPr>
          <w:rFonts w:ascii="Book Antiqua" w:hAnsi="Book Antiqua"/>
          <w:vertAlign w:val="superscript"/>
          <w:lang w:val="es-ES"/>
        </w:rPr>
        <w:t>a</w:t>
      </w:r>
      <w:r w:rsidR="00B632EA" w:rsidRPr="00BF78DE">
        <w:rPr>
          <w:rFonts w:ascii="Book Antiqua" w:hAnsi="Book Antiqua"/>
          <w:vertAlign w:val="superscript"/>
          <w:lang w:val="es-ES"/>
        </w:rPr>
        <w:t>.</w:t>
      </w:r>
      <w:r w:rsidR="003F655C" w:rsidRPr="00BF78DE">
        <w:rPr>
          <w:rFonts w:ascii="Book Antiqua" w:hAnsi="Book Antiqua"/>
          <w:lang w:val="es-ES"/>
        </w:rPr>
        <w:tab/>
        <w:t>Asamblea</w:t>
      </w:r>
      <w:r w:rsidR="003F655C" w:rsidRPr="00BF78DE">
        <w:rPr>
          <w:rFonts w:ascii="Book Antiqua" w:hAnsi="Book Antiqua"/>
          <w:lang w:val="es-ES"/>
        </w:rPr>
        <w:tab/>
      </w:r>
      <w:r w:rsidR="00774916">
        <w:rPr>
          <w:rFonts w:ascii="Book Antiqua" w:hAnsi="Book Antiqua"/>
          <w:lang w:val="es-ES"/>
        </w:rPr>
        <w:t>3</w:t>
      </w:r>
      <w:r w:rsidR="00774916">
        <w:rPr>
          <w:rFonts w:ascii="Book Antiqua" w:hAnsi="Book Antiqua"/>
          <w:vertAlign w:val="superscript"/>
          <w:lang w:val="es-ES"/>
        </w:rPr>
        <w:t>r</w:t>
      </w:r>
      <w:r w:rsidR="003F655C" w:rsidRPr="00BF78DE">
        <w:rPr>
          <w:rFonts w:ascii="Book Antiqua" w:hAnsi="Book Antiqua"/>
          <w:vertAlign w:val="superscript"/>
          <w:lang w:val="es-ES"/>
        </w:rPr>
        <w:t>a.</w:t>
      </w:r>
      <w:r w:rsidR="003F655C" w:rsidRPr="00BF78DE">
        <w:rPr>
          <w:rFonts w:ascii="Book Antiqua" w:hAnsi="Book Antiqua"/>
          <w:lang w:val="es-ES"/>
        </w:rPr>
        <w:tab/>
        <w:t>Sesión</w:t>
      </w:r>
    </w:p>
    <w:p w14:paraId="4606DCF3" w14:textId="77777777" w:rsidR="003F655C" w:rsidRPr="00BF78DE" w:rsidRDefault="003F655C" w:rsidP="003F655C">
      <w:pPr>
        <w:pStyle w:val="Title2"/>
        <w:rPr>
          <w:rFonts w:ascii="Book Antiqua" w:hAnsi="Book Antiqua"/>
          <w:lang w:val="es-ES"/>
        </w:rPr>
      </w:pPr>
      <w:r w:rsidRPr="00BF78DE">
        <w:rPr>
          <w:rFonts w:ascii="Book Antiqua" w:hAnsi="Book Antiqua"/>
          <w:lang w:val="es-ES"/>
        </w:rPr>
        <w:tab/>
        <w:t>Legislativa</w:t>
      </w:r>
      <w:r w:rsidRPr="00BF78DE">
        <w:rPr>
          <w:rFonts w:ascii="Book Antiqua" w:hAnsi="Book Antiqua"/>
          <w:lang w:val="es-ES"/>
        </w:rPr>
        <w:tab/>
      </w:r>
      <w:r w:rsidRPr="00BF78DE">
        <w:rPr>
          <w:rFonts w:ascii="Book Antiqua" w:hAnsi="Book Antiqua"/>
          <w:lang w:val="es-ES"/>
        </w:rPr>
        <w:tab/>
        <w:t>Ordinaria</w:t>
      </w:r>
    </w:p>
    <w:p w14:paraId="10572B06" w14:textId="77777777" w:rsidR="003F655C" w:rsidRPr="00CB49D5" w:rsidRDefault="003F655C" w:rsidP="003F655C">
      <w:pPr>
        <w:rPr>
          <w:sz w:val="32"/>
          <w:szCs w:val="32"/>
          <w:lang w:val="es-ES"/>
        </w:rPr>
      </w:pPr>
    </w:p>
    <w:p w14:paraId="7B1A495C" w14:textId="77777777" w:rsidR="003F655C" w:rsidRPr="00BF78DE" w:rsidRDefault="003F655C" w:rsidP="003F655C">
      <w:pPr>
        <w:jc w:val="center"/>
        <w:rPr>
          <w:rFonts w:ascii="Book Antiqua" w:hAnsi="Book Antiqua"/>
          <w:b/>
          <w:sz w:val="36"/>
          <w:lang w:val="es-ES"/>
        </w:rPr>
      </w:pPr>
      <w:r w:rsidRPr="00BF78DE">
        <w:rPr>
          <w:rFonts w:ascii="Book Antiqua" w:hAnsi="Book Antiqua"/>
          <w:b/>
          <w:sz w:val="36"/>
          <w:lang w:val="es-ES"/>
        </w:rPr>
        <w:t>SENADO DE PUERTO RICO</w:t>
      </w:r>
    </w:p>
    <w:p w14:paraId="3A7D59DD" w14:textId="5A7E01FC" w:rsidR="003F655C" w:rsidRPr="00BF78DE" w:rsidRDefault="003F655C" w:rsidP="003F655C">
      <w:pPr>
        <w:spacing w:before="240"/>
        <w:jc w:val="center"/>
        <w:rPr>
          <w:rFonts w:ascii="Book Antiqua" w:hAnsi="Book Antiqua"/>
          <w:b/>
          <w:sz w:val="52"/>
          <w:lang w:val="es-ES"/>
        </w:rPr>
      </w:pPr>
      <w:r w:rsidRPr="00BF78DE">
        <w:rPr>
          <w:rFonts w:ascii="Book Antiqua" w:hAnsi="Book Antiqua"/>
          <w:b/>
          <w:sz w:val="52"/>
          <w:lang w:val="es-ES"/>
        </w:rPr>
        <w:t xml:space="preserve">P. del S. </w:t>
      </w:r>
      <w:r w:rsidR="00216987">
        <w:rPr>
          <w:rFonts w:ascii="Book Antiqua" w:hAnsi="Book Antiqua"/>
          <w:b/>
          <w:sz w:val="52"/>
          <w:lang w:val="es-ES"/>
        </w:rPr>
        <w:t>1016</w:t>
      </w:r>
    </w:p>
    <w:p w14:paraId="75ED4E78" w14:textId="51CEE144" w:rsidR="003F655C" w:rsidRPr="00BF78DE" w:rsidRDefault="00216987" w:rsidP="003F655C">
      <w:pPr>
        <w:spacing w:before="120"/>
        <w:jc w:val="center"/>
        <w:rPr>
          <w:rFonts w:ascii="Book Antiqua" w:hAnsi="Book Antiqua"/>
          <w:lang w:val="es-ES"/>
        </w:rPr>
      </w:pPr>
      <w:r>
        <w:rPr>
          <w:rFonts w:ascii="Book Antiqua" w:hAnsi="Book Antiqua"/>
          <w:lang w:val="es-ES"/>
        </w:rPr>
        <w:t>29</w:t>
      </w:r>
      <w:r w:rsidR="002B508B" w:rsidRPr="00BF78DE">
        <w:rPr>
          <w:rFonts w:ascii="Book Antiqua" w:hAnsi="Book Antiqua"/>
          <w:lang w:val="es-ES"/>
        </w:rPr>
        <w:t xml:space="preserve"> </w:t>
      </w:r>
      <w:r w:rsidR="00304394" w:rsidRPr="00BF78DE">
        <w:rPr>
          <w:rFonts w:ascii="Book Antiqua" w:hAnsi="Book Antiqua"/>
          <w:lang w:val="es-ES"/>
        </w:rPr>
        <w:t xml:space="preserve">de </w:t>
      </w:r>
      <w:r w:rsidR="00C807FA" w:rsidRPr="00BF78DE">
        <w:rPr>
          <w:rFonts w:ascii="Book Antiqua" w:hAnsi="Book Antiqua"/>
          <w:lang w:val="es-ES"/>
        </w:rPr>
        <w:t>enero</w:t>
      </w:r>
      <w:r w:rsidR="002B508B" w:rsidRPr="00BF78DE">
        <w:rPr>
          <w:rFonts w:ascii="Book Antiqua" w:hAnsi="Book Antiqua"/>
          <w:lang w:val="es-ES"/>
        </w:rPr>
        <w:t xml:space="preserve"> </w:t>
      </w:r>
      <w:r w:rsidR="003F655C" w:rsidRPr="00BF78DE">
        <w:rPr>
          <w:rFonts w:ascii="Book Antiqua" w:hAnsi="Book Antiqua"/>
          <w:lang w:val="es-ES"/>
        </w:rPr>
        <w:t>de 20</w:t>
      </w:r>
      <w:r w:rsidR="002B508B" w:rsidRPr="00BF78DE">
        <w:rPr>
          <w:rFonts w:ascii="Book Antiqua" w:hAnsi="Book Antiqua"/>
          <w:lang w:val="es-ES"/>
        </w:rPr>
        <w:t>2</w:t>
      </w:r>
      <w:r w:rsidR="00C807FA" w:rsidRPr="00BF78DE">
        <w:rPr>
          <w:rFonts w:ascii="Book Antiqua" w:hAnsi="Book Antiqua"/>
          <w:lang w:val="es-ES"/>
        </w:rPr>
        <w:t>6</w:t>
      </w:r>
    </w:p>
    <w:p w14:paraId="2BE853F8" w14:textId="68B8DCBE" w:rsidR="003F655C" w:rsidRDefault="003F655C" w:rsidP="003F655C">
      <w:pPr>
        <w:spacing w:before="120"/>
        <w:jc w:val="center"/>
        <w:rPr>
          <w:rFonts w:ascii="Book Antiqua" w:hAnsi="Book Antiqua"/>
          <w:i/>
          <w:lang w:val="es-ES"/>
        </w:rPr>
      </w:pPr>
      <w:r w:rsidRPr="00BF78DE">
        <w:rPr>
          <w:rFonts w:ascii="Book Antiqua" w:hAnsi="Book Antiqua"/>
          <w:lang w:val="es-ES"/>
        </w:rPr>
        <w:t xml:space="preserve">Presentado por el </w:t>
      </w:r>
      <w:r w:rsidR="00412666" w:rsidRPr="00BF78DE">
        <w:rPr>
          <w:rFonts w:ascii="Book Antiqua" w:hAnsi="Book Antiqua"/>
          <w:lang w:val="es-ES"/>
        </w:rPr>
        <w:t>se</w:t>
      </w:r>
      <w:r w:rsidR="00412666">
        <w:rPr>
          <w:rFonts w:ascii="Book Antiqua" w:hAnsi="Book Antiqua"/>
          <w:lang w:val="es-ES"/>
        </w:rPr>
        <w:t>ñ</w:t>
      </w:r>
      <w:r w:rsidR="00412666" w:rsidRPr="00BF78DE">
        <w:rPr>
          <w:rFonts w:ascii="Book Antiqua" w:hAnsi="Book Antiqua"/>
          <w:lang w:val="es-ES"/>
        </w:rPr>
        <w:t>or</w:t>
      </w:r>
      <w:r w:rsidRPr="00BF78DE">
        <w:rPr>
          <w:rFonts w:ascii="Book Antiqua" w:hAnsi="Book Antiqua"/>
          <w:lang w:val="es-ES"/>
        </w:rPr>
        <w:t xml:space="preserve"> </w:t>
      </w:r>
      <w:r w:rsidR="00DA2410" w:rsidRPr="00BF78DE">
        <w:rPr>
          <w:rFonts w:ascii="Book Antiqua" w:hAnsi="Book Antiqua"/>
          <w:i/>
          <w:lang w:val="es-ES"/>
        </w:rPr>
        <w:t>Rivera Schatz</w:t>
      </w:r>
    </w:p>
    <w:p w14:paraId="79DD21C0" w14:textId="561697BE" w:rsidR="00FF5AF7" w:rsidRDefault="00FF5AF7" w:rsidP="00FF5AF7">
      <w:pPr>
        <w:spacing w:before="120"/>
        <w:jc w:val="center"/>
        <w:rPr>
          <w:rFonts w:ascii="Book Antiqua" w:hAnsi="Book Antiqua"/>
          <w:szCs w:val="24"/>
          <w:lang w:val="es-ES_tradnl"/>
        </w:rPr>
      </w:pPr>
      <w:r w:rsidRPr="00FF5AF7">
        <w:rPr>
          <w:rFonts w:ascii="Book Antiqua" w:hAnsi="Book Antiqua"/>
          <w:i/>
          <w:szCs w:val="24"/>
          <w:lang w:val="es-ES_tradnl"/>
        </w:rPr>
        <w:t>Coautores el señor Colón La Santa; la señora Pérez Soto; los señores Reyes Berríos, Sánchez Álvarez y Santos Ortiz</w:t>
      </w:r>
    </w:p>
    <w:p w14:paraId="0AEA2D09" w14:textId="1F369839" w:rsidR="003F655C" w:rsidRPr="00BF78DE" w:rsidRDefault="003F655C" w:rsidP="003F655C">
      <w:pPr>
        <w:spacing w:before="120"/>
        <w:jc w:val="center"/>
        <w:rPr>
          <w:rFonts w:ascii="Book Antiqua" w:hAnsi="Book Antiqua"/>
          <w:i/>
          <w:lang w:val="es-ES"/>
        </w:rPr>
      </w:pPr>
      <w:r w:rsidRPr="00BF78DE">
        <w:rPr>
          <w:rFonts w:ascii="Book Antiqua" w:hAnsi="Book Antiqua"/>
          <w:i/>
          <w:lang w:val="es-ES"/>
        </w:rPr>
        <w:t xml:space="preserve">Referido </w:t>
      </w:r>
      <w:r w:rsidR="00151F82">
        <w:rPr>
          <w:rFonts w:ascii="Book Antiqua" w:hAnsi="Book Antiqua"/>
          <w:i/>
          <w:lang w:val="es-ES"/>
        </w:rPr>
        <w:t>a</w:t>
      </w:r>
      <w:r w:rsidR="00B632EA" w:rsidRPr="00BF78DE">
        <w:rPr>
          <w:rFonts w:ascii="Book Antiqua" w:hAnsi="Book Antiqua"/>
          <w:i/>
          <w:lang w:val="es-ES"/>
        </w:rPr>
        <w:t xml:space="preserve"> </w:t>
      </w:r>
      <w:r w:rsidR="00E87250">
        <w:rPr>
          <w:rFonts w:ascii="Book Antiqua" w:hAnsi="Book Antiqua"/>
          <w:i/>
          <w:lang w:val="es-ES"/>
        </w:rPr>
        <w:t>la Comisión de lo Jurídico</w:t>
      </w:r>
    </w:p>
    <w:p w14:paraId="54CE60E0" w14:textId="77777777" w:rsidR="003F655C" w:rsidRPr="00BF78DE" w:rsidRDefault="003F655C" w:rsidP="003F655C">
      <w:pPr>
        <w:jc w:val="both"/>
        <w:rPr>
          <w:rFonts w:ascii="Book Antiqua" w:hAnsi="Book Antiqua"/>
          <w:i/>
          <w:lang w:val="es-ES"/>
        </w:rPr>
      </w:pPr>
    </w:p>
    <w:p w14:paraId="0C674A78" w14:textId="77777777" w:rsidR="003F655C" w:rsidRPr="00BF78DE" w:rsidRDefault="003F655C" w:rsidP="003F655C">
      <w:pPr>
        <w:jc w:val="center"/>
        <w:rPr>
          <w:rFonts w:ascii="Book Antiqua" w:hAnsi="Book Antiqua"/>
          <w:b/>
          <w:lang w:val="es-ES"/>
        </w:rPr>
      </w:pPr>
      <w:r w:rsidRPr="00BF78DE">
        <w:rPr>
          <w:rFonts w:ascii="Book Antiqua" w:hAnsi="Book Antiqua"/>
          <w:b/>
          <w:lang w:val="es-ES"/>
        </w:rPr>
        <w:t>LEY</w:t>
      </w:r>
    </w:p>
    <w:p w14:paraId="71A08FF1" w14:textId="77777777" w:rsidR="003F655C" w:rsidRPr="00E87250" w:rsidRDefault="003F655C" w:rsidP="003F655C">
      <w:pPr>
        <w:jc w:val="both"/>
        <w:rPr>
          <w:rFonts w:ascii="Book Antiqua" w:hAnsi="Book Antiqua"/>
          <w:sz w:val="12"/>
          <w:szCs w:val="12"/>
          <w:lang w:val="es-ES"/>
        </w:rPr>
      </w:pPr>
    </w:p>
    <w:p w14:paraId="37BF1327" w14:textId="0B9CE8B1" w:rsidR="003F655C" w:rsidRDefault="003F655C" w:rsidP="00192D84">
      <w:pPr>
        <w:ind w:left="540" w:hanging="540"/>
        <w:jc w:val="both"/>
        <w:rPr>
          <w:rFonts w:ascii="Book Antiqua" w:hAnsi="Book Antiqua"/>
          <w:lang w:val="es-ES"/>
        </w:rPr>
      </w:pPr>
      <w:r w:rsidRPr="00192D84">
        <w:rPr>
          <w:rFonts w:ascii="Book Antiqua" w:hAnsi="Book Antiqua"/>
          <w:lang w:val="es-ES"/>
        </w:rPr>
        <w:t>Par</w:t>
      </w:r>
      <w:r w:rsidR="00DA2410" w:rsidRPr="00192D84">
        <w:rPr>
          <w:rFonts w:ascii="Book Antiqua" w:hAnsi="Book Antiqua"/>
          <w:lang w:val="es-ES"/>
        </w:rPr>
        <w:t xml:space="preserve">a enmendar </w:t>
      </w:r>
      <w:r w:rsidR="00920031" w:rsidRPr="00192D84">
        <w:rPr>
          <w:rFonts w:ascii="Book Antiqua" w:hAnsi="Book Antiqua"/>
          <w:lang w:val="es-ES"/>
        </w:rPr>
        <w:t>el Artículo 1343 de la Ley</w:t>
      </w:r>
      <w:r w:rsidR="00C06671" w:rsidRPr="00192D84">
        <w:rPr>
          <w:rFonts w:ascii="Book Antiqua" w:hAnsi="Book Antiqua"/>
          <w:lang w:val="es-ES"/>
        </w:rPr>
        <w:t xml:space="preserve"> </w:t>
      </w:r>
      <w:r w:rsidR="00AC7BBB">
        <w:rPr>
          <w:rFonts w:ascii="Book Antiqua" w:hAnsi="Book Antiqua"/>
          <w:i/>
          <w:iCs/>
          <w:u w:val="single"/>
          <w:lang w:val="es-ES"/>
        </w:rPr>
        <w:t>Núm.</w:t>
      </w:r>
      <w:r w:rsidR="00AC7BBB" w:rsidRPr="00AC7BBB">
        <w:rPr>
          <w:rFonts w:ascii="Book Antiqua" w:hAnsi="Book Antiqua"/>
          <w:lang w:val="es-ES"/>
        </w:rPr>
        <w:t xml:space="preserve"> </w:t>
      </w:r>
      <w:r w:rsidR="00B76C77" w:rsidRPr="00192D84">
        <w:rPr>
          <w:rFonts w:ascii="Book Antiqua" w:hAnsi="Book Antiqua"/>
          <w:lang w:val="es-ES"/>
        </w:rPr>
        <w:t>55-2020,</w:t>
      </w:r>
      <w:r w:rsidR="00920031" w:rsidRPr="00192D84">
        <w:rPr>
          <w:rFonts w:ascii="Book Antiqua" w:hAnsi="Book Antiqua"/>
          <w:lang w:val="es-ES"/>
        </w:rPr>
        <w:t xml:space="preserve"> según enmendada, conocida como “Código Civil de Puerto Rico”, </w:t>
      </w:r>
      <w:r w:rsidR="003B56D6" w:rsidRPr="00192D84">
        <w:rPr>
          <w:rFonts w:ascii="Book Antiqua" w:hAnsi="Book Antiqua"/>
          <w:lang w:val="es-ES"/>
        </w:rPr>
        <w:t xml:space="preserve">a </w:t>
      </w:r>
      <w:r w:rsidR="00A74CFC" w:rsidRPr="00192D84">
        <w:rPr>
          <w:rFonts w:ascii="Book Antiqua" w:hAnsi="Book Antiqua"/>
          <w:lang w:val="es-ES"/>
        </w:rPr>
        <w:t xml:space="preserve">fin </w:t>
      </w:r>
      <w:r w:rsidR="003B56D6" w:rsidRPr="00192D84">
        <w:rPr>
          <w:rFonts w:ascii="Book Antiqua" w:hAnsi="Book Antiqua"/>
          <w:lang w:val="es-ES"/>
        </w:rPr>
        <w:t xml:space="preserve">de disponer que el requisito de constar </w:t>
      </w:r>
      <w:r w:rsidR="00FA66BB" w:rsidRPr="002938EA">
        <w:rPr>
          <w:rFonts w:ascii="Book Antiqua" w:hAnsi="Book Antiqua"/>
          <w:lang w:val="es-ES"/>
        </w:rPr>
        <w:t>por escrito</w:t>
      </w:r>
      <w:r w:rsidR="00FA66BB">
        <w:rPr>
          <w:rFonts w:ascii="Book Antiqua" w:hAnsi="Book Antiqua"/>
          <w:lang w:val="es-ES"/>
        </w:rPr>
        <w:t xml:space="preserve"> </w:t>
      </w:r>
      <w:r w:rsidR="003B56D6" w:rsidRPr="00192D84">
        <w:rPr>
          <w:rFonts w:ascii="Book Antiqua" w:hAnsi="Book Antiqua"/>
          <w:lang w:val="es-ES"/>
        </w:rPr>
        <w:t>aplicará únicamente a los contratos de arrendamiento</w:t>
      </w:r>
      <w:r w:rsidR="00F33183" w:rsidRPr="00192D84">
        <w:rPr>
          <w:rFonts w:ascii="Book Antiqua" w:hAnsi="Book Antiqua"/>
          <w:lang w:val="es-ES"/>
        </w:rPr>
        <w:t xml:space="preserve"> sobre bienes inmuebles</w:t>
      </w:r>
      <w:r w:rsidR="003B56D6" w:rsidRPr="00192D84">
        <w:rPr>
          <w:rFonts w:ascii="Book Antiqua" w:hAnsi="Book Antiqua"/>
          <w:lang w:val="es-ES"/>
        </w:rPr>
        <w:t xml:space="preserve"> cuyo término exceda de seis (6) años</w:t>
      </w:r>
      <w:r w:rsidR="00DA2410" w:rsidRPr="00192D84">
        <w:rPr>
          <w:rFonts w:ascii="Book Antiqua" w:hAnsi="Book Antiqua"/>
          <w:lang w:val="es-ES"/>
        </w:rPr>
        <w:t xml:space="preserve">.  </w:t>
      </w:r>
    </w:p>
    <w:p w14:paraId="360F5ABA" w14:textId="77777777" w:rsidR="00192D84" w:rsidRPr="00192D84" w:rsidRDefault="00192D84" w:rsidP="05E1B61E">
      <w:pPr>
        <w:ind w:left="360" w:hanging="360"/>
        <w:jc w:val="both"/>
        <w:rPr>
          <w:rFonts w:ascii="Book Antiqua" w:hAnsi="Book Antiqua"/>
          <w:lang w:val="es-ES"/>
        </w:rPr>
      </w:pPr>
    </w:p>
    <w:p w14:paraId="7E77559A" w14:textId="377C8933" w:rsidR="00C11F19" w:rsidRDefault="003F655C" w:rsidP="00192D84">
      <w:pPr>
        <w:spacing w:before="120" w:after="240"/>
        <w:jc w:val="center"/>
        <w:rPr>
          <w:rFonts w:ascii="Book Antiqua" w:hAnsi="Book Antiqua"/>
          <w:b/>
          <w:lang w:val="es-ES"/>
        </w:rPr>
      </w:pPr>
      <w:r w:rsidRPr="00BF78DE">
        <w:rPr>
          <w:rFonts w:ascii="Book Antiqua" w:hAnsi="Book Antiqua"/>
          <w:b/>
          <w:lang w:val="es-ES"/>
        </w:rPr>
        <w:t>EXPOSICIÓN DE MOTIVOS</w:t>
      </w:r>
    </w:p>
    <w:p w14:paraId="145296CE" w14:textId="34F4C99A" w:rsidR="00724497" w:rsidRPr="00BF78DE"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t xml:space="preserve">El ordenamiento jurídico puertorriqueño reconoce la importancia del contrato de arrendamiento como una de las principales figuras de acceso a la vivienda, al uso </w:t>
      </w:r>
      <w:r w:rsidR="00100045" w:rsidRPr="00BF78DE">
        <w:rPr>
          <w:rFonts w:ascii="Book Antiqua" w:hAnsi="Book Antiqua"/>
          <w:bCs/>
          <w:lang w:val="es-ES"/>
        </w:rPr>
        <w:t xml:space="preserve">y disfrute </w:t>
      </w:r>
      <w:r w:rsidRPr="00BF78DE">
        <w:rPr>
          <w:rFonts w:ascii="Book Antiqua" w:hAnsi="Book Antiqua"/>
          <w:bCs/>
          <w:lang w:val="es-ES"/>
        </w:rPr>
        <w:t xml:space="preserve">de bienes inmuebles y al desarrollo de actividades económicas. Por ello, el Código Civil de Puerto Rico incorpora principios de </w:t>
      </w:r>
      <w:r w:rsidR="00100045" w:rsidRPr="00BF78DE">
        <w:rPr>
          <w:rFonts w:ascii="Book Antiqua" w:hAnsi="Book Antiqua"/>
          <w:bCs/>
          <w:lang w:val="es-ES"/>
        </w:rPr>
        <w:t>propiedad</w:t>
      </w:r>
      <w:r w:rsidRPr="00BF78DE">
        <w:rPr>
          <w:rFonts w:ascii="Book Antiqua" w:hAnsi="Book Antiqua"/>
          <w:bCs/>
          <w:lang w:val="es-ES"/>
        </w:rPr>
        <w:t xml:space="preserve"> privada, seguridad jurídica y publicidad registral que buscan garantizar relaciones contractuales claras y previsibles entre las partes.</w:t>
      </w:r>
    </w:p>
    <w:p w14:paraId="3F7019FA" w14:textId="4317ED3E" w:rsidR="00724497" w:rsidRPr="00BF78DE"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t xml:space="preserve">No obstante, los Artículos 1342 y 1343 del Código Civil </w:t>
      </w:r>
      <w:r w:rsidR="00100045" w:rsidRPr="00BF78DE">
        <w:rPr>
          <w:rFonts w:ascii="Book Antiqua" w:hAnsi="Book Antiqua"/>
          <w:bCs/>
          <w:lang w:val="es-ES"/>
        </w:rPr>
        <w:t xml:space="preserve">de Puerto Rico </w:t>
      </w:r>
      <w:r w:rsidRPr="00BF78DE">
        <w:rPr>
          <w:rFonts w:ascii="Book Antiqua" w:hAnsi="Book Antiqua"/>
          <w:bCs/>
          <w:lang w:val="es-ES"/>
        </w:rPr>
        <w:t>contienen, en su redacción actual, un conflicto normativo que ha provocado confusión tanto entre arrendadores, arrendatarios y profesionales del Derecho, como en los procesos de calificación e inscripción en el Registro de la Propiedad.</w:t>
      </w:r>
    </w:p>
    <w:p w14:paraId="4AA16E0D" w14:textId="393B0247" w:rsidR="00724497" w:rsidRPr="00BF78DE"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lastRenderedPageBreak/>
        <w:t>El Artículo 1342, relativo a la libertad de forma, establece que “el contrato de arrendamiento no requiere, para su validez, formalidad especial alguna, salvo cuando el objeto es un bien inmueble y se pretende inscribir en el Registro de la Propiedad para que tenga eficacia ante tercero”. Esta disposición reconoce expresamente que la validez del arrendamiento no está supeditada a un requisito formal, en armonía con los principios de autonomía de la voluntad y libertad contractual</w:t>
      </w:r>
      <w:r w:rsidR="00D27587" w:rsidRPr="00BF78DE">
        <w:rPr>
          <w:rFonts w:ascii="Book Antiqua" w:hAnsi="Book Antiqua"/>
          <w:bCs/>
          <w:lang w:val="es-ES"/>
        </w:rPr>
        <w:t xml:space="preserve"> que han regido en Puerto Rico</w:t>
      </w:r>
      <w:r w:rsidR="00BF78DE" w:rsidRPr="00BF78DE">
        <w:rPr>
          <w:rFonts w:ascii="Book Antiqua" w:hAnsi="Book Antiqua"/>
          <w:bCs/>
          <w:lang w:val="es-ES"/>
        </w:rPr>
        <w:t xml:space="preserve"> desde tiempos inmemorables</w:t>
      </w:r>
      <w:r w:rsidRPr="00BF78DE">
        <w:rPr>
          <w:rFonts w:ascii="Book Antiqua" w:hAnsi="Book Antiqua"/>
          <w:bCs/>
          <w:lang w:val="es-ES"/>
        </w:rPr>
        <w:t>.</w:t>
      </w:r>
    </w:p>
    <w:p w14:paraId="2E07C795" w14:textId="50258584" w:rsidR="00724497"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t>Sin embargo, el Artículo 1343 dispone inmediatamente lo contrario al señalar que “cuando el arrendamiento es convenido por un término no mayor de seis (6) años, debe constar por escrito”. Esta frase, tal como está redactada, introduce una obligación formal precisamente para los contratos de menor duración, lo que resulta contrario a la regla general de libertad de forma y contrario a la práctica jurídica de que los arrendamientos más breves requieren menos solemnidades.</w:t>
      </w:r>
    </w:p>
    <w:p w14:paraId="45FD85FF" w14:textId="52F6AFDA" w:rsidR="00724497" w:rsidRPr="00BF78DE"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t>Este choque interno provoca una contradicción conceptual:</w:t>
      </w:r>
      <w:r w:rsidR="00B821CC">
        <w:rPr>
          <w:rFonts w:ascii="Book Antiqua" w:hAnsi="Book Antiqua"/>
          <w:bCs/>
          <w:lang w:val="es-ES"/>
        </w:rPr>
        <w:t xml:space="preserve"> </w:t>
      </w:r>
      <w:r w:rsidR="00D321D4">
        <w:rPr>
          <w:rFonts w:ascii="Book Antiqua" w:hAnsi="Book Antiqua"/>
          <w:bCs/>
          <w:lang w:val="es-ES"/>
        </w:rPr>
        <w:t>e</w:t>
      </w:r>
      <w:r w:rsidRPr="00BF78DE">
        <w:rPr>
          <w:rFonts w:ascii="Book Antiqua" w:hAnsi="Book Antiqua"/>
          <w:bCs/>
          <w:lang w:val="es-ES"/>
        </w:rPr>
        <w:t>l Código afirma que el arrendamiento no requiere formalidad alguna</w:t>
      </w:r>
      <w:r w:rsidR="00D321D4">
        <w:rPr>
          <w:rFonts w:ascii="Book Antiqua" w:hAnsi="Book Antiqua"/>
          <w:bCs/>
          <w:lang w:val="es-ES"/>
        </w:rPr>
        <w:t>, p</w:t>
      </w:r>
      <w:r w:rsidRPr="00BF78DE">
        <w:rPr>
          <w:rFonts w:ascii="Book Antiqua" w:hAnsi="Book Antiqua"/>
          <w:bCs/>
          <w:lang w:val="es-ES"/>
        </w:rPr>
        <w:t>ero acto seguido exige que los arrendamientos de menos de seis años deban constar por escrito.</w:t>
      </w:r>
    </w:p>
    <w:p w14:paraId="6E10570C" w14:textId="1CF8CE49" w:rsidR="00724497" w:rsidRDefault="00724497" w:rsidP="00CB49D5">
      <w:pPr>
        <w:spacing w:before="160" w:after="160" w:line="360" w:lineRule="auto"/>
        <w:ind w:firstLine="547"/>
        <w:jc w:val="both"/>
        <w:rPr>
          <w:rFonts w:ascii="Book Antiqua" w:hAnsi="Book Antiqua"/>
          <w:bCs/>
          <w:lang w:val="es-ES"/>
        </w:rPr>
      </w:pPr>
      <w:r w:rsidRPr="00BF78DE">
        <w:rPr>
          <w:rFonts w:ascii="Book Antiqua" w:hAnsi="Book Antiqua"/>
          <w:bCs/>
          <w:lang w:val="es-ES"/>
        </w:rPr>
        <w:t xml:space="preserve">Tal redacción es contraria al esquema histórico de nuestro Derecho </w:t>
      </w:r>
      <w:r w:rsidR="002A63B9">
        <w:rPr>
          <w:rFonts w:ascii="Book Antiqua" w:hAnsi="Book Antiqua"/>
          <w:bCs/>
          <w:lang w:val="es-ES"/>
        </w:rPr>
        <w:t>C</w:t>
      </w:r>
      <w:r w:rsidRPr="00BF78DE">
        <w:rPr>
          <w:rFonts w:ascii="Book Antiqua" w:hAnsi="Book Antiqua"/>
          <w:bCs/>
          <w:lang w:val="es-ES"/>
        </w:rPr>
        <w:t xml:space="preserve">ivil. El Artículo 5 de la </w:t>
      </w:r>
      <w:r w:rsidR="00C451D2" w:rsidRPr="00BF78DE">
        <w:rPr>
          <w:rFonts w:ascii="Book Antiqua" w:hAnsi="Book Antiqua"/>
          <w:bCs/>
          <w:lang w:val="es-ES"/>
        </w:rPr>
        <w:t>Le</w:t>
      </w:r>
      <w:r w:rsidR="0063698B">
        <w:rPr>
          <w:rFonts w:ascii="Book Antiqua" w:hAnsi="Book Antiqua"/>
          <w:bCs/>
          <w:lang w:val="es-ES"/>
        </w:rPr>
        <w:t>y</w:t>
      </w:r>
      <w:r w:rsidR="000F74EC">
        <w:rPr>
          <w:rFonts w:ascii="Book Antiqua" w:hAnsi="Book Antiqua"/>
          <w:bCs/>
          <w:lang w:val="es-ES"/>
        </w:rPr>
        <w:t xml:space="preserve"> </w:t>
      </w:r>
      <w:r w:rsidR="000F74EC">
        <w:rPr>
          <w:rFonts w:ascii="Book Antiqua" w:hAnsi="Book Antiqua"/>
          <w:bCs/>
          <w:i/>
          <w:iCs/>
          <w:u w:val="single"/>
          <w:lang w:val="es-ES"/>
        </w:rPr>
        <w:t>Núm.</w:t>
      </w:r>
      <w:r w:rsidR="00C451D2" w:rsidRPr="00BF78DE">
        <w:rPr>
          <w:rFonts w:ascii="Book Antiqua" w:hAnsi="Book Antiqua"/>
          <w:bCs/>
          <w:lang w:val="es-ES"/>
        </w:rPr>
        <w:t xml:space="preserve"> 210-2015</w:t>
      </w:r>
      <w:r w:rsidR="00C451D2">
        <w:rPr>
          <w:rFonts w:ascii="Book Antiqua" w:hAnsi="Book Antiqua"/>
          <w:bCs/>
          <w:lang w:val="es-ES"/>
        </w:rPr>
        <w:t xml:space="preserve">, según enmendada, conocida como </w:t>
      </w:r>
      <w:r w:rsidRPr="00BF78DE">
        <w:rPr>
          <w:rFonts w:ascii="Book Antiqua" w:hAnsi="Book Antiqua"/>
          <w:bCs/>
          <w:lang w:val="es-ES"/>
        </w:rPr>
        <w:t xml:space="preserve">“Ley del Registro de la Propiedad Inmobiliaria del Estado Libre Asociado de Puerto Rico”, dispone que los arrendamientos por seis (6) años o más son los </w:t>
      </w:r>
      <w:r w:rsidRPr="00192D84">
        <w:rPr>
          <w:rFonts w:ascii="Book Antiqua" w:hAnsi="Book Antiqua"/>
          <w:bCs/>
          <w:lang w:val="es-ES"/>
        </w:rPr>
        <w:t xml:space="preserve">que pueden inscribirse en el Registro de la Propiedad, salvo pacto en contrario. La </w:t>
      </w:r>
      <w:r w:rsidR="00412666" w:rsidRPr="00192D84">
        <w:rPr>
          <w:rFonts w:ascii="Book Antiqua" w:hAnsi="Book Antiqua"/>
          <w:bCs/>
          <w:lang w:val="es-ES"/>
        </w:rPr>
        <w:t xml:space="preserve">referida </w:t>
      </w:r>
      <w:r w:rsidRPr="00192D84">
        <w:rPr>
          <w:rFonts w:ascii="Book Antiqua" w:hAnsi="Book Antiqua"/>
          <w:bCs/>
          <w:lang w:val="es-ES"/>
        </w:rPr>
        <w:t>Ley</w:t>
      </w:r>
      <w:r w:rsidR="00C06671" w:rsidRPr="00192D84">
        <w:rPr>
          <w:rFonts w:ascii="Book Antiqua" w:hAnsi="Book Antiqua"/>
          <w:bCs/>
          <w:lang w:val="es-ES"/>
        </w:rPr>
        <w:t xml:space="preserve"> </w:t>
      </w:r>
      <w:r w:rsidR="000F74EC">
        <w:rPr>
          <w:rFonts w:ascii="Book Antiqua" w:hAnsi="Book Antiqua"/>
          <w:bCs/>
          <w:i/>
          <w:iCs/>
          <w:u w:val="single"/>
          <w:lang w:val="es-ES"/>
        </w:rPr>
        <w:t>Núm.</w:t>
      </w:r>
      <w:r w:rsidR="000F74EC" w:rsidRPr="000F74EC">
        <w:rPr>
          <w:rFonts w:ascii="Book Antiqua" w:hAnsi="Book Antiqua"/>
          <w:bCs/>
          <w:lang w:val="es-ES"/>
        </w:rPr>
        <w:t xml:space="preserve"> </w:t>
      </w:r>
      <w:r w:rsidR="00580E07" w:rsidRPr="00192D84">
        <w:rPr>
          <w:rFonts w:ascii="Book Antiqua" w:hAnsi="Book Antiqua"/>
          <w:bCs/>
          <w:lang w:val="es-ES"/>
        </w:rPr>
        <w:t>210-2015</w:t>
      </w:r>
      <w:r w:rsidRPr="00192D84">
        <w:rPr>
          <w:rFonts w:ascii="Book Antiqua" w:hAnsi="Book Antiqua"/>
          <w:bCs/>
          <w:lang w:val="es-ES"/>
        </w:rPr>
        <w:t xml:space="preserve">, por tanto, establece que la duración relevante para fines registrales es la que </w:t>
      </w:r>
      <w:r w:rsidRPr="003744BA">
        <w:rPr>
          <w:rFonts w:ascii="Book Antiqua" w:hAnsi="Book Antiqua"/>
          <w:bCs/>
          <w:lang w:val="es-ES"/>
        </w:rPr>
        <w:t>iguala</w:t>
      </w:r>
      <w:r w:rsidRPr="00192D84">
        <w:rPr>
          <w:rFonts w:ascii="Book Antiqua" w:hAnsi="Book Antiqua"/>
          <w:bCs/>
          <w:lang w:val="es-ES"/>
        </w:rPr>
        <w:t xml:space="preserve"> o excede los seis años.</w:t>
      </w:r>
      <w:r w:rsidR="00776350" w:rsidRPr="00192D84">
        <w:rPr>
          <w:rFonts w:ascii="Book Antiqua" w:hAnsi="Book Antiqua"/>
          <w:bCs/>
          <w:lang w:val="es-ES"/>
        </w:rPr>
        <w:t xml:space="preserve"> </w:t>
      </w:r>
      <w:r w:rsidRPr="00192D84">
        <w:rPr>
          <w:rFonts w:ascii="Book Antiqua" w:hAnsi="Book Antiqua"/>
          <w:bCs/>
          <w:lang w:val="es-ES"/>
        </w:rPr>
        <w:t xml:space="preserve">Esta norma registral responde a un principio tradicional del Derecho </w:t>
      </w:r>
      <w:r w:rsidR="0063698B">
        <w:rPr>
          <w:rFonts w:ascii="Book Antiqua" w:hAnsi="Book Antiqua"/>
          <w:bCs/>
          <w:lang w:val="es-ES"/>
        </w:rPr>
        <w:t>H</w:t>
      </w:r>
      <w:r w:rsidRPr="00192D84">
        <w:rPr>
          <w:rFonts w:ascii="Book Antiqua" w:hAnsi="Book Antiqua"/>
          <w:bCs/>
          <w:lang w:val="es-ES"/>
        </w:rPr>
        <w:t>ipotecario</w:t>
      </w:r>
      <w:r w:rsidR="0078406D" w:rsidRPr="00192D84">
        <w:rPr>
          <w:rFonts w:ascii="Book Antiqua" w:hAnsi="Book Antiqua"/>
          <w:bCs/>
          <w:lang w:val="es-ES"/>
        </w:rPr>
        <w:t xml:space="preserve"> de</w:t>
      </w:r>
      <w:r w:rsidR="00192D84" w:rsidRPr="00192D84">
        <w:rPr>
          <w:rFonts w:ascii="Book Antiqua" w:hAnsi="Book Antiqua"/>
          <w:bCs/>
          <w:lang w:val="es-ES"/>
        </w:rPr>
        <w:t xml:space="preserve"> q</w:t>
      </w:r>
      <w:r w:rsidR="0078406D" w:rsidRPr="00192D84">
        <w:rPr>
          <w:rFonts w:ascii="Book Antiqua" w:hAnsi="Book Antiqua"/>
          <w:bCs/>
          <w:lang w:val="es-ES"/>
        </w:rPr>
        <w:t>ue</w:t>
      </w:r>
      <w:r w:rsidRPr="00192D84">
        <w:rPr>
          <w:rFonts w:ascii="Book Antiqua" w:hAnsi="Book Antiqua"/>
          <w:bCs/>
          <w:lang w:val="es-ES"/>
        </w:rPr>
        <w:t xml:space="preserve"> solo los arrendamientos de larga duración, por su efecto frente a terceros y su potencial impacto sobre el tracto y la titularidad, </w:t>
      </w:r>
      <w:r w:rsidR="00412666" w:rsidRPr="00192D84">
        <w:rPr>
          <w:rFonts w:ascii="Book Antiqua" w:hAnsi="Book Antiqua"/>
          <w:bCs/>
          <w:lang w:val="es-ES"/>
        </w:rPr>
        <w:t>tienen que constar por</w:t>
      </w:r>
      <w:r w:rsidRPr="00192D84">
        <w:rPr>
          <w:rFonts w:ascii="Book Antiqua" w:hAnsi="Book Antiqua"/>
          <w:bCs/>
          <w:lang w:val="es-ES"/>
        </w:rPr>
        <w:t xml:space="preserve"> escrito para acceder al Registro.</w:t>
      </w:r>
    </w:p>
    <w:p w14:paraId="6D8822A4" w14:textId="344BD084" w:rsidR="00D71054" w:rsidRPr="004B2C26" w:rsidRDefault="00D71054" w:rsidP="00D71054">
      <w:pPr>
        <w:spacing w:before="160" w:after="160" w:line="360" w:lineRule="auto"/>
        <w:ind w:firstLine="547"/>
        <w:jc w:val="both"/>
        <w:rPr>
          <w:rFonts w:ascii="Book Antiqua" w:hAnsi="Book Antiqua"/>
          <w:bCs/>
          <w:i/>
          <w:iCs/>
          <w:u w:val="single"/>
          <w:lang w:val="es-ES"/>
        </w:rPr>
      </w:pPr>
      <w:r>
        <w:rPr>
          <w:rFonts w:ascii="Book Antiqua" w:hAnsi="Book Antiqua"/>
          <w:bCs/>
          <w:i/>
          <w:iCs/>
          <w:u w:val="single"/>
          <w:lang w:val="es-ES"/>
        </w:rPr>
        <w:lastRenderedPageBreak/>
        <w:t>Cónsono con lo anterior, el Artículo 1245</w:t>
      </w:r>
      <w:r w:rsidR="00946CAF">
        <w:rPr>
          <w:rFonts w:ascii="Book Antiqua" w:hAnsi="Book Antiqua"/>
          <w:bCs/>
          <w:i/>
          <w:iCs/>
          <w:u w:val="single"/>
          <w:lang w:val="es-ES"/>
        </w:rPr>
        <w:t xml:space="preserve"> del Código Civil</w:t>
      </w:r>
      <w:r>
        <w:rPr>
          <w:rFonts w:ascii="Book Antiqua" w:hAnsi="Book Antiqua"/>
          <w:bCs/>
          <w:i/>
          <w:iCs/>
          <w:u w:val="single"/>
          <w:lang w:val="es-ES"/>
        </w:rPr>
        <w:t xml:space="preserve"> requiere que debe constar en instrumento público o privado, para efectos probatorios, </w:t>
      </w:r>
      <w:r w:rsidRPr="001676F8">
        <w:rPr>
          <w:rFonts w:ascii="Book Antiqua" w:hAnsi="Book Antiqua"/>
          <w:bCs/>
          <w:i/>
          <w:iCs/>
          <w:u w:val="single"/>
          <w:lang w:val="es-ES"/>
        </w:rPr>
        <w:t>el arrendamiento de inmuebles por seis (6) años o más</w:t>
      </w:r>
      <w:r>
        <w:rPr>
          <w:rFonts w:ascii="Book Antiqua" w:hAnsi="Book Antiqua"/>
          <w:bCs/>
          <w:i/>
          <w:iCs/>
          <w:u w:val="single"/>
          <w:lang w:val="es-ES"/>
        </w:rPr>
        <w:t>.</w:t>
      </w:r>
    </w:p>
    <w:p w14:paraId="03E852A9" w14:textId="7A9C6BA8" w:rsidR="00724497" w:rsidRPr="00BF78DE" w:rsidRDefault="00724497" w:rsidP="00CB49D5">
      <w:pPr>
        <w:spacing w:before="160" w:after="160" w:line="360" w:lineRule="auto"/>
        <w:ind w:firstLine="547"/>
        <w:jc w:val="both"/>
        <w:rPr>
          <w:rFonts w:ascii="Book Antiqua" w:hAnsi="Book Antiqua"/>
          <w:bCs/>
          <w:lang w:val="es-ES"/>
        </w:rPr>
      </w:pPr>
      <w:r w:rsidRPr="00192D84">
        <w:rPr>
          <w:rFonts w:ascii="Book Antiqua" w:hAnsi="Book Antiqua"/>
          <w:bCs/>
          <w:lang w:val="es-ES"/>
        </w:rPr>
        <w:t xml:space="preserve">Por ello, la redacción actual del Artículo 1343 </w:t>
      </w:r>
      <w:r w:rsidR="00776350" w:rsidRPr="00192D84">
        <w:rPr>
          <w:rFonts w:ascii="Book Antiqua" w:hAnsi="Book Antiqua"/>
          <w:bCs/>
          <w:lang w:val="es-ES"/>
        </w:rPr>
        <w:t xml:space="preserve">del Código Civil </w:t>
      </w:r>
      <w:r w:rsidRPr="00192D84">
        <w:rPr>
          <w:rFonts w:ascii="Book Antiqua" w:hAnsi="Book Antiqua"/>
          <w:bCs/>
          <w:lang w:val="es-ES"/>
        </w:rPr>
        <w:t xml:space="preserve">genera inseguridad jurídica </w:t>
      </w:r>
      <w:r w:rsidR="0078406D" w:rsidRPr="00192D84">
        <w:rPr>
          <w:rFonts w:ascii="Book Antiqua" w:hAnsi="Book Antiqua"/>
          <w:bCs/>
          <w:lang w:val="es-ES"/>
        </w:rPr>
        <w:t xml:space="preserve">y </w:t>
      </w:r>
      <w:r w:rsidRPr="00192D84">
        <w:rPr>
          <w:rFonts w:ascii="Book Antiqua" w:hAnsi="Book Antiqua"/>
          <w:bCs/>
          <w:lang w:val="es-ES"/>
        </w:rPr>
        <w:t xml:space="preserve">rompe con la armonía histórica entre el Derecho </w:t>
      </w:r>
      <w:r w:rsidR="0063698B">
        <w:rPr>
          <w:rFonts w:ascii="Book Antiqua" w:hAnsi="Book Antiqua"/>
          <w:bCs/>
          <w:lang w:val="es-ES"/>
        </w:rPr>
        <w:t>C</w:t>
      </w:r>
      <w:r w:rsidRPr="00192D84">
        <w:rPr>
          <w:rFonts w:ascii="Book Antiqua" w:hAnsi="Book Antiqua"/>
          <w:bCs/>
          <w:lang w:val="es-ES"/>
        </w:rPr>
        <w:t xml:space="preserve">ivil y el Derecho </w:t>
      </w:r>
      <w:r w:rsidR="0063698B">
        <w:rPr>
          <w:rFonts w:ascii="Book Antiqua" w:hAnsi="Book Antiqua"/>
          <w:bCs/>
          <w:lang w:val="es-ES"/>
        </w:rPr>
        <w:t>R</w:t>
      </w:r>
      <w:r w:rsidRPr="00192D84">
        <w:rPr>
          <w:rFonts w:ascii="Book Antiqua" w:hAnsi="Book Antiqua"/>
          <w:bCs/>
          <w:lang w:val="es-ES"/>
        </w:rPr>
        <w:t>egistral. Esta imprecisión, a su vez, provoca interpretaciones contradictorias en la práctica notarial y en los tribunales, afectando la correcta formación de la voluntad</w:t>
      </w:r>
      <w:r w:rsidRPr="00BF78DE">
        <w:rPr>
          <w:rFonts w:ascii="Book Antiqua" w:hAnsi="Book Antiqua"/>
          <w:bCs/>
          <w:lang w:val="es-ES"/>
        </w:rPr>
        <w:t xml:space="preserve"> contractual y la publicidad registral que garantiza certeza en el tráfico jurídico inmobiliario.</w:t>
      </w:r>
    </w:p>
    <w:p w14:paraId="02B7D512" w14:textId="0C358B5C" w:rsidR="00724497" w:rsidRPr="00192D84" w:rsidRDefault="00724497" w:rsidP="00CB49D5">
      <w:pPr>
        <w:spacing w:before="160" w:after="160" w:line="360" w:lineRule="auto"/>
        <w:ind w:firstLine="547"/>
        <w:jc w:val="both"/>
        <w:rPr>
          <w:rFonts w:ascii="Book Antiqua" w:hAnsi="Book Antiqua"/>
          <w:bCs/>
          <w:lang w:val="es-ES"/>
        </w:rPr>
      </w:pPr>
      <w:r w:rsidRPr="00192D84">
        <w:rPr>
          <w:rFonts w:ascii="Book Antiqua" w:hAnsi="Book Antiqua"/>
          <w:bCs/>
          <w:lang w:val="es-ES"/>
        </w:rPr>
        <w:t xml:space="preserve">Con el fin de corregir esta inconsistencia, </w:t>
      </w:r>
      <w:r w:rsidR="003358CF" w:rsidRPr="00192D84">
        <w:rPr>
          <w:rFonts w:ascii="Book Antiqua" w:hAnsi="Book Antiqua"/>
          <w:bCs/>
          <w:lang w:val="es-ES"/>
        </w:rPr>
        <w:t>esta Ley</w:t>
      </w:r>
      <w:r w:rsidRPr="00192D84">
        <w:rPr>
          <w:rFonts w:ascii="Book Antiqua" w:hAnsi="Book Antiqua"/>
          <w:bCs/>
          <w:lang w:val="es-ES"/>
        </w:rPr>
        <w:t xml:space="preserve"> </w:t>
      </w:r>
      <w:r w:rsidR="003358CF" w:rsidRPr="00192D84">
        <w:rPr>
          <w:rFonts w:ascii="Book Antiqua" w:hAnsi="Book Antiqua"/>
          <w:bCs/>
          <w:lang w:val="es-ES"/>
        </w:rPr>
        <w:t>enmienda</w:t>
      </w:r>
      <w:r w:rsidRPr="00192D84">
        <w:rPr>
          <w:rFonts w:ascii="Book Antiqua" w:hAnsi="Book Antiqua"/>
          <w:bCs/>
          <w:lang w:val="es-ES"/>
        </w:rPr>
        <w:t xml:space="preserve"> el Artículo 1343 del Código Civil para aclarar que los contratos de arrendamiento</w:t>
      </w:r>
      <w:r w:rsidR="00C06671" w:rsidRPr="00192D84">
        <w:rPr>
          <w:rFonts w:ascii="Book Antiqua" w:hAnsi="Book Antiqua"/>
          <w:bCs/>
          <w:lang w:val="es-ES"/>
        </w:rPr>
        <w:t xml:space="preserve"> sobre bienes inmuebles</w:t>
      </w:r>
      <w:r w:rsidRPr="00192D84">
        <w:rPr>
          <w:rFonts w:ascii="Book Antiqua" w:hAnsi="Book Antiqua"/>
          <w:bCs/>
          <w:lang w:val="es-ES"/>
        </w:rPr>
        <w:t xml:space="preserve"> que deben constar </w:t>
      </w:r>
      <w:r w:rsidR="005B7FF2" w:rsidRPr="00C12A3B">
        <w:rPr>
          <w:rFonts w:ascii="Book Antiqua" w:hAnsi="Book Antiqua"/>
          <w:bCs/>
          <w:strike/>
          <w:lang w:val="es-ES"/>
        </w:rPr>
        <w:t>en documento público</w:t>
      </w:r>
      <w:r w:rsidRPr="00192D84">
        <w:rPr>
          <w:rFonts w:ascii="Book Antiqua" w:hAnsi="Book Antiqua"/>
          <w:bCs/>
          <w:lang w:val="es-ES"/>
        </w:rPr>
        <w:t xml:space="preserve"> </w:t>
      </w:r>
      <w:r w:rsidR="00C12A3B">
        <w:rPr>
          <w:rFonts w:ascii="Book Antiqua" w:hAnsi="Book Antiqua"/>
          <w:bCs/>
          <w:i/>
          <w:iCs/>
          <w:u w:val="single"/>
          <w:lang w:val="es-ES"/>
        </w:rPr>
        <w:t>por escrito</w:t>
      </w:r>
      <w:r w:rsidR="0023470C" w:rsidRPr="0023470C">
        <w:rPr>
          <w:rFonts w:ascii="Book Antiqua" w:hAnsi="Book Antiqua"/>
          <w:bCs/>
          <w:lang w:val="es-ES"/>
        </w:rPr>
        <w:t xml:space="preserve"> </w:t>
      </w:r>
      <w:r w:rsidRPr="00192D84">
        <w:rPr>
          <w:rFonts w:ascii="Book Antiqua" w:hAnsi="Book Antiqua"/>
          <w:bCs/>
          <w:lang w:val="es-ES"/>
        </w:rPr>
        <w:t>son aquellos convenidos por un término mayor de seis (6) años</w:t>
      </w:r>
      <w:r w:rsidRPr="000E67BC">
        <w:rPr>
          <w:rFonts w:ascii="Book Antiqua" w:hAnsi="Book Antiqua"/>
          <w:bCs/>
          <w:strike/>
          <w:lang w:val="es-ES"/>
        </w:rPr>
        <w:t>, en plena concordancia</w:t>
      </w:r>
      <w:r w:rsidR="000E67BC">
        <w:rPr>
          <w:rFonts w:ascii="Book Antiqua" w:hAnsi="Book Antiqua"/>
          <w:bCs/>
          <w:i/>
          <w:iCs/>
          <w:u w:val="single"/>
          <w:lang w:val="es-ES"/>
        </w:rPr>
        <w:t>. Esto es consistente</w:t>
      </w:r>
      <w:r w:rsidR="00150614">
        <w:rPr>
          <w:rFonts w:ascii="Book Antiqua" w:hAnsi="Book Antiqua"/>
          <w:bCs/>
          <w:i/>
          <w:iCs/>
          <w:u w:val="single"/>
          <w:lang w:val="es-ES"/>
        </w:rPr>
        <w:t xml:space="preserve"> con l</w:t>
      </w:r>
      <w:r w:rsidR="00F84D2A">
        <w:rPr>
          <w:rFonts w:ascii="Book Antiqua" w:hAnsi="Book Antiqua"/>
          <w:bCs/>
          <w:i/>
          <w:iCs/>
          <w:u w:val="single"/>
          <w:lang w:val="es-ES"/>
        </w:rPr>
        <w:t>os</w:t>
      </w:r>
      <w:r w:rsidR="00150614">
        <w:rPr>
          <w:rFonts w:ascii="Book Antiqua" w:hAnsi="Book Antiqua"/>
          <w:bCs/>
          <w:i/>
          <w:iCs/>
          <w:u w:val="single"/>
          <w:lang w:val="es-ES"/>
        </w:rPr>
        <w:t xml:space="preserve"> Artículo</w:t>
      </w:r>
      <w:r w:rsidR="00F84D2A">
        <w:rPr>
          <w:rFonts w:ascii="Book Antiqua" w:hAnsi="Book Antiqua"/>
          <w:bCs/>
          <w:i/>
          <w:iCs/>
          <w:u w:val="single"/>
          <w:lang w:val="es-ES"/>
        </w:rPr>
        <w:t>s 1245 y</w:t>
      </w:r>
      <w:r w:rsidR="00150614">
        <w:rPr>
          <w:rFonts w:ascii="Book Antiqua" w:hAnsi="Book Antiqua"/>
          <w:bCs/>
          <w:i/>
          <w:iCs/>
          <w:u w:val="single"/>
          <w:lang w:val="es-ES"/>
        </w:rPr>
        <w:t xml:space="preserve"> 1342 del Código Civil y</w:t>
      </w:r>
      <w:r w:rsidRPr="00192D84">
        <w:rPr>
          <w:rFonts w:ascii="Book Antiqua" w:hAnsi="Book Antiqua"/>
          <w:bCs/>
          <w:lang w:val="es-ES"/>
        </w:rPr>
        <w:t xml:space="preserve"> con el Artículo 5 de la Ley </w:t>
      </w:r>
      <w:r w:rsidR="0078406D" w:rsidRPr="00192D84">
        <w:rPr>
          <w:rFonts w:ascii="Book Antiqua" w:hAnsi="Book Antiqua"/>
          <w:bCs/>
          <w:lang w:val="es-ES"/>
        </w:rPr>
        <w:t xml:space="preserve">del Registro de la Propiedad Inmobiliaria </w:t>
      </w:r>
      <w:r w:rsidR="0078406D" w:rsidRPr="00A60DFF">
        <w:rPr>
          <w:rFonts w:ascii="Book Antiqua" w:hAnsi="Book Antiqua"/>
          <w:bCs/>
          <w:strike/>
          <w:lang w:val="es-ES"/>
        </w:rPr>
        <w:t>del Estado Libre Asociado de Puerto Rico</w:t>
      </w:r>
      <w:r w:rsidRPr="00192D84">
        <w:rPr>
          <w:rFonts w:ascii="Book Antiqua" w:hAnsi="Book Antiqua"/>
          <w:bCs/>
          <w:lang w:val="es-ES"/>
        </w:rPr>
        <w:t xml:space="preserve">. </w:t>
      </w:r>
      <w:r w:rsidR="00E86326">
        <w:rPr>
          <w:rFonts w:ascii="Book Antiqua" w:hAnsi="Book Antiqua"/>
          <w:bCs/>
          <w:i/>
          <w:iCs/>
          <w:u w:val="single"/>
          <w:lang w:val="es-ES"/>
        </w:rPr>
        <w:t>Aun si no se interesa registrar el arrendamiento del bien inmueble por largo plazo</w:t>
      </w:r>
      <w:r w:rsidR="00316A88">
        <w:rPr>
          <w:rFonts w:ascii="Book Antiqua" w:hAnsi="Book Antiqua"/>
          <w:bCs/>
          <w:i/>
          <w:iCs/>
          <w:u w:val="single"/>
          <w:lang w:val="es-ES"/>
        </w:rPr>
        <w:t>, deberá constar por escrito</w:t>
      </w:r>
      <w:r w:rsidR="00434C80">
        <w:rPr>
          <w:rFonts w:ascii="Book Antiqua" w:hAnsi="Book Antiqua"/>
          <w:bCs/>
          <w:i/>
          <w:iCs/>
          <w:u w:val="single"/>
          <w:lang w:val="es-ES"/>
        </w:rPr>
        <w:t xml:space="preserve"> para fines </w:t>
      </w:r>
      <w:r w:rsidR="00E45380">
        <w:rPr>
          <w:rFonts w:ascii="Book Antiqua" w:hAnsi="Book Antiqua"/>
          <w:bCs/>
          <w:i/>
          <w:iCs/>
          <w:u w:val="single"/>
          <w:lang w:val="es-ES"/>
        </w:rPr>
        <w:t>probatorios, entre otros fines</w:t>
      </w:r>
      <w:r w:rsidR="00316A88">
        <w:rPr>
          <w:rFonts w:ascii="Book Antiqua" w:hAnsi="Book Antiqua"/>
          <w:bCs/>
          <w:i/>
          <w:iCs/>
          <w:u w:val="single"/>
          <w:lang w:val="es-ES"/>
        </w:rPr>
        <w:t>.</w:t>
      </w:r>
      <w:r w:rsidR="00316A88" w:rsidRPr="00316A88">
        <w:rPr>
          <w:rFonts w:ascii="Book Antiqua" w:hAnsi="Book Antiqua"/>
          <w:bCs/>
          <w:lang w:val="es-ES"/>
        </w:rPr>
        <w:t xml:space="preserve"> </w:t>
      </w:r>
      <w:r w:rsidRPr="00192D84">
        <w:rPr>
          <w:rFonts w:ascii="Book Antiqua" w:hAnsi="Book Antiqua"/>
          <w:bCs/>
          <w:lang w:val="es-ES"/>
        </w:rPr>
        <w:t>Esta enmienda restituye la coherencia del Código, reafirma el principio de libertad de forma para los arrendamientos de corta y mediana duración, y fortalece la seguridad jurídica de los arrendamientos de larga duración que requieren publicidad registral.</w:t>
      </w:r>
    </w:p>
    <w:p w14:paraId="6B15DF46" w14:textId="77777777" w:rsidR="00EA26A2" w:rsidRPr="00BF78DE" w:rsidRDefault="00EA26A2" w:rsidP="00CB49D5">
      <w:pPr>
        <w:spacing w:line="504" w:lineRule="auto"/>
        <w:rPr>
          <w:rFonts w:ascii="Book Antiqua" w:hAnsi="Book Antiqua" w:cs="Segoe UI"/>
          <w:color w:val="000000"/>
          <w:szCs w:val="24"/>
          <w:shd w:val="clear" w:color="auto" w:fill="FFFFFF"/>
          <w:lang w:val="es-ES"/>
        </w:rPr>
      </w:pPr>
      <w:r w:rsidRPr="00BF78DE">
        <w:rPr>
          <w:rFonts w:ascii="Book Antiqua" w:hAnsi="Book Antiqua" w:cs="Segoe UI"/>
          <w:b/>
          <w:color w:val="000000"/>
          <w:szCs w:val="24"/>
          <w:shd w:val="clear" w:color="auto" w:fill="FFFFFF"/>
          <w:lang w:val="es-ES"/>
        </w:rPr>
        <w:t>DECRÉTASE POR LA ASAMBLEA LEGISLATIVA DE PUERTO RICO:</w:t>
      </w:r>
    </w:p>
    <w:p w14:paraId="4123680E" w14:textId="77777777" w:rsidR="00EA26A2" w:rsidRPr="00BF78DE" w:rsidRDefault="00EA26A2" w:rsidP="00CB49D5">
      <w:pPr>
        <w:spacing w:line="504" w:lineRule="auto"/>
        <w:jc w:val="both"/>
        <w:rPr>
          <w:rFonts w:ascii="Book Antiqua" w:hAnsi="Book Antiqua"/>
          <w:color w:val="000000"/>
          <w:szCs w:val="24"/>
          <w:lang w:val="es-ES"/>
        </w:rPr>
        <w:sectPr w:rsidR="00EA26A2" w:rsidRPr="00BF78DE">
          <w:headerReference w:type="default" r:id="rId11"/>
          <w:headerReference w:type="first" r:id="rId12"/>
          <w:type w:val="continuous"/>
          <w:pgSz w:w="12240" w:h="15840" w:code="1"/>
          <w:pgMar w:top="1440" w:right="1440" w:bottom="1440" w:left="1440" w:header="720" w:footer="720" w:gutter="0"/>
          <w:cols w:space="720"/>
          <w:titlePg/>
        </w:sectPr>
      </w:pPr>
    </w:p>
    <w:p w14:paraId="3AC8E2AF" w14:textId="15CA94D4" w:rsidR="002601FE" w:rsidRPr="00084500" w:rsidRDefault="002601FE" w:rsidP="00CB49D5">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t>Sección</w:t>
      </w:r>
      <w:r w:rsidR="002456BD" w:rsidRPr="00084500">
        <w:rPr>
          <w:rFonts w:ascii="Book Antiqua" w:hAnsi="Book Antiqua"/>
          <w:color w:val="000000"/>
          <w:szCs w:val="24"/>
          <w:lang w:val="es-ES"/>
        </w:rPr>
        <w:t xml:space="preserve"> </w:t>
      </w:r>
      <w:r w:rsidR="00EA26A2" w:rsidRPr="00084500">
        <w:rPr>
          <w:rFonts w:ascii="Book Antiqua" w:hAnsi="Book Antiqua"/>
          <w:color w:val="000000"/>
          <w:szCs w:val="24"/>
          <w:lang w:val="es-ES"/>
        </w:rPr>
        <w:t xml:space="preserve">1.- </w:t>
      </w:r>
      <w:r w:rsidRPr="00084500">
        <w:rPr>
          <w:rFonts w:ascii="Book Antiqua" w:hAnsi="Book Antiqua"/>
          <w:color w:val="000000"/>
          <w:szCs w:val="24"/>
          <w:lang w:val="es-ES"/>
        </w:rPr>
        <w:t xml:space="preserve">Se enmienda el </w:t>
      </w:r>
      <w:r w:rsidR="00724497" w:rsidRPr="00084500">
        <w:rPr>
          <w:rFonts w:ascii="Book Antiqua" w:hAnsi="Book Antiqua"/>
          <w:color w:val="000000"/>
          <w:szCs w:val="24"/>
          <w:lang w:val="es-ES"/>
        </w:rPr>
        <w:t xml:space="preserve">Artículo 1343 de la Ley </w:t>
      </w:r>
      <w:r w:rsidR="000F74EC">
        <w:rPr>
          <w:rFonts w:ascii="Book Antiqua" w:hAnsi="Book Antiqua"/>
          <w:bCs/>
          <w:i/>
          <w:iCs/>
          <w:u w:val="single"/>
          <w:lang w:val="es-ES"/>
        </w:rPr>
        <w:t>Núm.</w:t>
      </w:r>
      <w:r w:rsidR="000F74EC" w:rsidRPr="000F74EC">
        <w:rPr>
          <w:rFonts w:ascii="Book Antiqua" w:hAnsi="Book Antiqua"/>
          <w:bCs/>
          <w:lang w:val="es-ES"/>
        </w:rPr>
        <w:t xml:space="preserve"> </w:t>
      </w:r>
      <w:r w:rsidR="00F81004" w:rsidRPr="00084500">
        <w:rPr>
          <w:rFonts w:ascii="Book Antiqua" w:hAnsi="Book Antiqua"/>
          <w:color w:val="000000"/>
          <w:szCs w:val="24"/>
          <w:lang w:val="es-ES"/>
        </w:rPr>
        <w:t>55-2020,</w:t>
      </w:r>
      <w:r w:rsidR="00724497" w:rsidRPr="00084500">
        <w:rPr>
          <w:rFonts w:ascii="Book Antiqua" w:hAnsi="Book Antiqua"/>
          <w:color w:val="000000"/>
          <w:szCs w:val="24"/>
          <w:lang w:val="es-ES"/>
        </w:rPr>
        <w:t xml:space="preserve"> según </w:t>
      </w:r>
      <w:r w:rsidR="00F81004" w:rsidRPr="00084500">
        <w:rPr>
          <w:rFonts w:ascii="Book Antiqua" w:hAnsi="Book Antiqua"/>
          <w:color w:val="000000"/>
          <w:szCs w:val="24"/>
          <w:lang w:val="es-ES"/>
        </w:rPr>
        <w:t>enmendada</w:t>
      </w:r>
      <w:r w:rsidR="00724497" w:rsidRPr="00084500">
        <w:rPr>
          <w:rFonts w:ascii="Book Antiqua" w:hAnsi="Book Antiqua"/>
          <w:color w:val="000000"/>
          <w:szCs w:val="24"/>
          <w:lang w:val="es-ES"/>
        </w:rPr>
        <w:t xml:space="preserve">, </w:t>
      </w:r>
      <w:r w:rsidR="00724497" w:rsidRPr="00243545">
        <w:rPr>
          <w:rFonts w:ascii="Book Antiqua" w:hAnsi="Book Antiqua"/>
          <w:strike/>
          <w:color w:val="000000"/>
          <w:szCs w:val="24"/>
          <w:lang w:val="es-ES"/>
        </w:rPr>
        <w:t>conocida como “Código Civil de Puerto Rico</w:t>
      </w:r>
      <w:r w:rsidR="00F81004" w:rsidRPr="00243545">
        <w:rPr>
          <w:rFonts w:ascii="Book Antiqua" w:hAnsi="Book Antiqua"/>
          <w:strike/>
          <w:color w:val="000000"/>
          <w:szCs w:val="24"/>
          <w:lang w:val="es-ES"/>
        </w:rPr>
        <w:t>”</w:t>
      </w:r>
      <w:r w:rsidR="002D44AD" w:rsidRPr="00243545">
        <w:rPr>
          <w:rFonts w:ascii="Book Antiqua" w:hAnsi="Book Antiqua"/>
          <w:strike/>
          <w:color w:val="000000"/>
          <w:szCs w:val="24"/>
          <w:lang w:val="es-ES"/>
        </w:rPr>
        <w:t>,</w:t>
      </w:r>
      <w:r w:rsidR="002D44AD" w:rsidRPr="00084500">
        <w:rPr>
          <w:rFonts w:ascii="Book Antiqua" w:hAnsi="Book Antiqua"/>
          <w:color w:val="000000"/>
          <w:szCs w:val="24"/>
          <w:lang w:val="es-ES"/>
        </w:rPr>
        <w:t xml:space="preserve"> </w:t>
      </w:r>
      <w:r w:rsidRPr="00084500">
        <w:rPr>
          <w:rFonts w:ascii="Book Antiqua" w:hAnsi="Book Antiqua"/>
          <w:color w:val="000000"/>
          <w:szCs w:val="24"/>
          <w:lang w:val="es-ES"/>
        </w:rPr>
        <w:t>para que</w:t>
      </w:r>
      <w:r w:rsidR="00C06671" w:rsidRPr="00084500">
        <w:rPr>
          <w:rFonts w:ascii="Book Antiqua" w:hAnsi="Book Antiqua"/>
          <w:color w:val="000000"/>
          <w:szCs w:val="24"/>
          <w:lang w:val="es-ES"/>
        </w:rPr>
        <w:t xml:space="preserve"> </w:t>
      </w:r>
      <w:r w:rsidRPr="00084500">
        <w:rPr>
          <w:rFonts w:ascii="Book Antiqua" w:hAnsi="Book Antiqua"/>
          <w:color w:val="000000"/>
          <w:szCs w:val="24"/>
          <w:lang w:val="es-ES"/>
        </w:rPr>
        <w:t>lea como sigue:</w:t>
      </w:r>
    </w:p>
    <w:p w14:paraId="3ED627ED" w14:textId="4ED0C686" w:rsidR="002A6FFD" w:rsidRPr="00084500" w:rsidRDefault="002601FE" w:rsidP="00CB49D5">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t>“</w:t>
      </w:r>
      <w:r w:rsidR="002A6FFD" w:rsidRPr="00084500">
        <w:rPr>
          <w:rFonts w:ascii="Book Antiqua" w:hAnsi="Book Antiqua"/>
          <w:color w:val="000000"/>
          <w:szCs w:val="24"/>
          <w:lang w:val="es-ES"/>
        </w:rPr>
        <w:t>Artículo 1343.</w:t>
      </w:r>
      <w:r w:rsidR="00C06671" w:rsidRPr="00084500">
        <w:rPr>
          <w:rFonts w:ascii="Book Antiqua" w:hAnsi="Book Antiqua"/>
          <w:color w:val="000000"/>
          <w:szCs w:val="24"/>
          <w:lang w:val="es-ES"/>
        </w:rPr>
        <w:t>-</w:t>
      </w:r>
      <w:r w:rsidR="002A6FFD" w:rsidRPr="00084500">
        <w:rPr>
          <w:rFonts w:ascii="Book Antiqua" w:hAnsi="Book Antiqua"/>
          <w:color w:val="000000"/>
          <w:szCs w:val="24"/>
          <w:lang w:val="es-ES"/>
        </w:rPr>
        <w:t xml:space="preserve"> Requisito de </w:t>
      </w:r>
      <w:r w:rsidR="002A6FFD" w:rsidRPr="00FF1757">
        <w:rPr>
          <w:rFonts w:ascii="Book Antiqua" w:hAnsi="Book Antiqua"/>
          <w:color w:val="000000"/>
          <w:szCs w:val="24"/>
          <w:lang w:val="es-ES"/>
        </w:rPr>
        <w:t xml:space="preserve">instrumento </w:t>
      </w:r>
      <w:r w:rsidR="00C469B2" w:rsidRPr="00FF1757">
        <w:rPr>
          <w:rFonts w:ascii="Book Antiqua" w:hAnsi="Book Antiqua"/>
          <w:color w:val="000000"/>
          <w:szCs w:val="24"/>
          <w:lang w:val="es-ES"/>
        </w:rPr>
        <w:t>público</w:t>
      </w:r>
      <w:r w:rsidR="00FF1757">
        <w:rPr>
          <w:rFonts w:ascii="Book Antiqua" w:hAnsi="Book Antiqua"/>
          <w:color w:val="000000"/>
          <w:szCs w:val="24"/>
          <w:lang w:val="es-ES"/>
        </w:rPr>
        <w:t xml:space="preserve"> </w:t>
      </w:r>
      <w:r w:rsidR="00FF1757">
        <w:rPr>
          <w:rFonts w:ascii="Book Antiqua" w:hAnsi="Book Antiqua"/>
          <w:i/>
          <w:iCs/>
          <w:color w:val="000000"/>
          <w:szCs w:val="24"/>
          <w:u w:val="single"/>
          <w:lang w:val="es-ES"/>
        </w:rPr>
        <w:t>o privado</w:t>
      </w:r>
      <w:r w:rsidR="002A6FFD" w:rsidRPr="00084500">
        <w:rPr>
          <w:rFonts w:ascii="Book Antiqua" w:hAnsi="Book Antiqua"/>
          <w:color w:val="000000"/>
          <w:szCs w:val="24"/>
          <w:lang w:val="es-ES"/>
        </w:rPr>
        <w:t>.</w:t>
      </w:r>
    </w:p>
    <w:p w14:paraId="2A62F626" w14:textId="12654692" w:rsidR="002B508B" w:rsidRPr="00084500" w:rsidRDefault="002A6FFD" w:rsidP="00CB49D5">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t>Cuando el arrendamiento</w:t>
      </w:r>
      <w:r w:rsidR="005B7FF2" w:rsidRPr="00084500">
        <w:rPr>
          <w:rFonts w:ascii="Book Antiqua" w:hAnsi="Book Antiqua"/>
          <w:color w:val="000000"/>
          <w:szCs w:val="24"/>
          <w:lang w:val="es-ES"/>
        </w:rPr>
        <w:t xml:space="preserve"> de un bien inmueble</w:t>
      </w:r>
      <w:r w:rsidRPr="00084500">
        <w:rPr>
          <w:rFonts w:ascii="Book Antiqua" w:hAnsi="Book Antiqua"/>
          <w:color w:val="000000"/>
          <w:szCs w:val="24"/>
          <w:lang w:val="es-ES"/>
        </w:rPr>
        <w:t xml:space="preserve"> es convenido por un término mayor de seis (6) años, </w:t>
      </w:r>
      <w:r w:rsidR="005B7FF2" w:rsidRPr="00084500">
        <w:rPr>
          <w:rFonts w:ascii="Book Antiqua" w:hAnsi="Book Antiqua"/>
          <w:color w:val="000000"/>
          <w:szCs w:val="24"/>
          <w:lang w:val="es-ES"/>
        </w:rPr>
        <w:t>deberá</w:t>
      </w:r>
      <w:r w:rsidRPr="00084500">
        <w:rPr>
          <w:rFonts w:ascii="Book Antiqua" w:hAnsi="Book Antiqua"/>
          <w:color w:val="000000"/>
          <w:szCs w:val="24"/>
          <w:lang w:val="es-ES"/>
        </w:rPr>
        <w:t xml:space="preserve"> constar</w:t>
      </w:r>
      <w:r w:rsidR="00FA66BB">
        <w:rPr>
          <w:rFonts w:ascii="Book Antiqua" w:hAnsi="Book Antiqua"/>
          <w:color w:val="000000"/>
          <w:szCs w:val="24"/>
          <w:lang w:val="es-ES"/>
        </w:rPr>
        <w:t xml:space="preserve"> </w:t>
      </w:r>
      <w:r w:rsidR="00FA66BB" w:rsidRPr="009337FB">
        <w:rPr>
          <w:rFonts w:ascii="Book Antiqua" w:hAnsi="Book Antiqua"/>
          <w:color w:val="000000"/>
          <w:szCs w:val="24"/>
          <w:lang w:val="es-ES"/>
        </w:rPr>
        <w:t>por escrito</w:t>
      </w:r>
      <w:r w:rsidRPr="00084500">
        <w:rPr>
          <w:rFonts w:ascii="Book Antiqua" w:hAnsi="Book Antiqua"/>
          <w:color w:val="000000"/>
          <w:szCs w:val="24"/>
          <w:lang w:val="es-ES"/>
        </w:rPr>
        <w:t>.</w:t>
      </w:r>
      <w:r w:rsidR="002601FE" w:rsidRPr="00084500">
        <w:rPr>
          <w:rFonts w:ascii="Book Antiqua" w:hAnsi="Book Antiqua"/>
          <w:color w:val="000000"/>
          <w:szCs w:val="24"/>
          <w:lang w:val="es-ES"/>
        </w:rPr>
        <w:t xml:space="preserve">” </w:t>
      </w:r>
    </w:p>
    <w:p w14:paraId="02BE0A44" w14:textId="22190D81" w:rsidR="008241E0" w:rsidRPr="00084500" w:rsidRDefault="002601FE" w:rsidP="00CB49D5">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t>Sección</w:t>
      </w:r>
      <w:r w:rsidR="00DF0BBE" w:rsidRPr="00084500">
        <w:rPr>
          <w:rFonts w:ascii="Book Antiqua" w:hAnsi="Book Antiqua"/>
          <w:color w:val="000000"/>
          <w:szCs w:val="24"/>
          <w:lang w:val="es-ES"/>
        </w:rPr>
        <w:t xml:space="preserve"> </w:t>
      </w:r>
      <w:r w:rsidR="002A6FFD" w:rsidRPr="00084500">
        <w:rPr>
          <w:rFonts w:ascii="Book Antiqua" w:hAnsi="Book Antiqua"/>
          <w:color w:val="000000"/>
          <w:szCs w:val="24"/>
          <w:lang w:val="es-ES"/>
        </w:rPr>
        <w:t>2</w:t>
      </w:r>
      <w:r w:rsidR="00DF0BBE" w:rsidRPr="00084500">
        <w:rPr>
          <w:rFonts w:ascii="Book Antiqua" w:hAnsi="Book Antiqua"/>
          <w:color w:val="000000"/>
          <w:szCs w:val="24"/>
          <w:lang w:val="es-ES"/>
        </w:rPr>
        <w:t xml:space="preserve">.- </w:t>
      </w:r>
      <w:r w:rsidR="008241E0" w:rsidRPr="00084500">
        <w:rPr>
          <w:rFonts w:ascii="Book Antiqua" w:hAnsi="Book Antiqua"/>
          <w:color w:val="000000"/>
          <w:szCs w:val="24"/>
          <w:lang w:val="es-ES"/>
        </w:rPr>
        <w:t>Separabilidad</w:t>
      </w:r>
    </w:p>
    <w:p w14:paraId="0FEAFB16" w14:textId="77777777" w:rsidR="00432856" w:rsidRDefault="008241E0" w:rsidP="00432856">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lastRenderedPageBreak/>
        <w:t xml:space="preserve">Si cualquier cláusula, párrafo, artículo o parte </w:t>
      </w:r>
      <w:r w:rsidR="006C1A42" w:rsidRPr="00084500">
        <w:rPr>
          <w:rFonts w:ascii="Book Antiqua" w:hAnsi="Book Antiqua"/>
          <w:color w:val="000000"/>
          <w:szCs w:val="24"/>
          <w:lang w:val="es-ES"/>
        </w:rPr>
        <w:t>de esta Ley</w:t>
      </w:r>
      <w:r w:rsidRPr="00084500">
        <w:rPr>
          <w:rFonts w:ascii="Book Antiqua" w:hAnsi="Book Antiqua"/>
          <w:color w:val="000000"/>
          <w:szCs w:val="24"/>
          <w:lang w:val="es-ES"/>
        </w:rPr>
        <w:t xml:space="preserve"> fuese declarada inconstitucional por un tribunal competente, la sentencia a tal efecto dictada no afectará ni invalidará el resto de las disposiciones de </w:t>
      </w:r>
      <w:r w:rsidR="006C1A42" w:rsidRPr="00084500">
        <w:rPr>
          <w:rFonts w:ascii="Book Antiqua" w:hAnsi="Book Antiqua"/>
          <w:color w:val="000000"/>
          <w:szCs w:val="24"/>
          <w:lang w:val="es-ES"/>
        </w:rPr>
        <w:t>esta Ley</w:t>
      </w:r>
      <w:r w:rsidRPr="00084500">
        <w:rPr>
          <w:rFonts w:ascii="Book Antiqua" w:hAnsi="Book Antiqua"/>
          <w:color w:val="000000"/>
          <w:szCs w:val="24"/>
          <w:lang w:val="es-ES"/>
        </w:rPr>
        <w:t xml:space="preserve">. El efecto de dicha sentencia quedará limitado a la cláusula, párrafo, artículo o parte de la </w:t>
      </w:r>
      <w:r w:rsidR="0063698B">
        <w:rPr>
          <w:rFonts w:ascii="Book Antiqua" w:hAnsi="Book Antiqua"/>
          <w:color w:val="000000"/>
          <w:szCs w:val="24"/>
          <w:lang w:val="es-ES"/>
        </w:rPr>
        <w:t>L</w:t>
      </w:r>
      <w:r w:rsidRPr="00084500">
        <w:rPr>
          <w:rFonts w:ascii="Book Antiqua" w:hAnsi="Book Antiqua"/>
          <w:color w:val="000000"/>
          <w:szCs w:val="24"/>
          <w:lang w:val="es-ES"/>
        </w:rPr>
        <w:t>ey que hubiere sido declarada inconstitucional</w:t>
      </w:r>
      <w:r w:rsidR="00432856">
        <w:rPr>
          <w:rFonts w:ascii="Book Antiqua" w:hAnsi="Book Antiqua"/>
          <w:color w:val="000000"/>
          <w:szCs w:val="24"/>
          <w:lang w:val="es-ES"/>
        </w:rPr>
        <w:t>.</w:t>
      </w:r>
    </w:p>
    <w:p w14:paraId="3189E021" w14:textId="69B2EAEA" w:rsidR="002B508B" w:rsidRPr="00084500" w:rsidRDefault="008241E0" w:rsidP="00432856">
      <w:pPr>
        <w:spacing w:line="504" w:lineRule="auto"/>
        <w:ind w:firstLine="540"/>
        <w:jc w:val="both"/>
        <w:rPr>
          <w:rFonts w:ascii="Book Antiqua" w:hAnsi="Book Antiqua"/>
          <w:color w:val="000000"/>
          <w:szCs w:val="24"/>
          <w:lang w:val="es-ES"/>
        </w:rPr>
      </w:pPr>
      <w:r w:rsidRPr="00084500">
        <w:rPr>
          <w:rFonts w:ascii="Book Antiqua" w:hAnsi="Book Antiqua"/>
          <w:color w:val="000000"/>
          <w:szCs w:val="24"/>
          <w:lang w:val="es-ES"/>
        </w:rPr>
        <w:t>Sección</w:t>
      </w:r>
      <w:r w:rsidR="006C1A42" w:rsidRPr="00084500">
        <w:rPr>
          <w:rFonts w:ascii="Book Antiqua" w:hAnsi="Book Antiqua"/>
          <w:color w:val="000000"/>
          <w:szCs w:val="24"/>
          <w:lang w:val="es-ES"/>
        </w:rPr>
        <w:t xml:space="preserve"> 3.-</w:t>
      </w:r>
      <w:r w:rsidRPr="00084500">
        <w:rPr>
          <w:rFonts w:ascii="Book Antiqua" w:hAnsi="Book Antiqua"/>
          <w:color w:val="000000"/>
          <w:szCs w:val="24"/>
          <w:lang w:val="es-ES"/>
        </w:rPr>
        <w:t xml:space="preserve"> </w:t>
      </w:r>
      <w:r w:rsidR="002B508B" w:rsidRPr="00084500">
        <w:rPr>
          <w:rFonts w:ascii="Book Antiqua" w:hAnsi="Book Antiqua"/>
          <w:color w:val="000000"/>
          <w:szCs w:val="24"/>
          <w:lang w:val="es-ES"/>
        </w:rPr>
        <w:t xml:space="preserve">Vigencia </w:t>
      </w:r>
    </w:p>
    <w:p w14:paraId="1168210A" w14:textId="77777777" w:rsidR="006D77E8" w:rsidRDefault="00DF0BBE" w:rsidP="00FF5AF7">
      <w:pPr>
        <w:spacing w:line="480" w:lineRule="auto"/>
        <w:ind w:firstLine="540"/>
        <w:jc w:val="both"/>
        <w:rPr>
          <w:rFonts w:ascii="Book Antiqua" w:hAnsi="Book Antiqua"/>
          <w:color w:val="000000"/>
          <w:szCs w:val="24"/>
          <w:lang w:val="es-ES"/>
        </w:rPr>
      </w:pPr>
      <w:r w:rsidRPr="00084500">
        <w:rPr>
          <w:rFonts w:ascii="Book Antiqua" w:hAnsi="Book Antiqua"/>
          <w:color w:val="000000"/>
          <w:szCs w:val="24"/>
          <w:lang w:val="es-ES"/>
        </w:rPr>
        <w:t>Esta Ley comenzará a regir inmediatamente después de su aprobación.</w:t>
      </w:r>
    </w:p>
    <w:p w14:paraId="1C0DC0E2" w14:textId="77777777" w:rsidR="00687E76" w:rsidRDefault="00687E76" w:rsidP="00687E76">
      <w:pPr>
        <w:suppressLineNumbers/>
        <w:ind w:left="3690" w:firstLine="270"/>
        <w:jc w:val="both"/>
        <w:rPr>
          <w:rFonts w:ascii="Book Antiqua" w:hAnsi="Book Antiqua"/>
          <w:szCs w:val="24"/>
          <w:lang w:val="es-ES" w:eastAsia="x-none"/>
        </w:rPr>
      </w:pPr>
    </w:p>
    <w:p w14:paraId="1623D255" w14:textId="77777777" w:rsidR="00687E76" w:rsidRDefault="00687E76" w:rsidP="00687E76">
      <w:pPr>
        <w:suppressLineNumbers/>
        <w:ind w:left="3690" w:firstLine="270"/>
        <w:jc w:val="both"/>
        <w:rPr>
          <w:rFonts w:ascii="Book Antiqua" w:hAnsi="Book Antiqua"/>
          <w:szCs w:val="24"/>
          <w:lang w:val="es-ES" w:eastAsia="x-none"/>
        </w:rPr>
      </w:pPr>
    </w:p>
    <w:p w14:paraId="3D15A52B" w14:textId="77777777" w:rsidR="00687E76" w:rsidRDefault="00687E76" w:rsidP="00687E76">
      <w:pPr>
        <w:suppressLineNumbers/>
        <w:spacing w:line="480" w:lineRule="auto"/>
        <w:ind w:left="3690" w:firstLine="270"/>
        <w:jc w:val="both"/>
        <w:rPr>
          <w:rFonts w:ascii="Book Antiqua" w:hAnsi="Book Antiqua"/>
          <w:color w:val="000000"/>
          <w:szCs w:val="24"/>
          <w:lang w:val="es-ES"/>
        </w:rPr>
      </w:pPr>
    </w:p>
    <w:sectPr w:rsidR="00687E76"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CC424" w14:textId="77777777" w:rsidR="00DB014C" w:rsidRDefault="00DB014C">
      <w:r>
        <w:separator/>
      </w:r>
    </w:p>
  </w:endnote>
  <w:endnote w:type="continuationSeparator" w:id="0">
    <w:p w14:paraId="19492548" w14:textId="77777777" w:rsidR="00DB014C" w:rsidRDefault="00DB0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BA3E9" w14:textId="77777777" w:rsidR="00DB014C" w:rsidRDefault="00DB014C">
      <w:r>
        <w:separator/>
      </w:r>
    </w:p>
  </w:footnote>
  <w:footnote w:type="continuationSeparator" w:id="0">
    <w:p w14:paraId="5DFE8B9B" w14:textId="77777777" w:rsidR="00DB014C" w:rsidRDefault="00DB0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700E" w14:textId="6A646D0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2E1E" w14:textId="77777777" w:rsidR="00192D84" w:rsidRDefault="00192D84" w:rsidP="00192D84">
    <w:pPr>
      <w:keepNext/>
      <w:suppressLineNumbers/>
      <w:tabs>
        <w:tab w:val="center" w:pos="4320"/>
        <w:tab w:val="right" w:pos="8640"/>
      </w:tabs>
      <w:autoSpaceDE w:val="0"/>
      <w:autoSpaceDN w:val="0"/>
      <w:adjustRightInd w:val="0"/>
      <w:jc w:val="center"/>
      <w:rPr>
        <w:rFonts w:ascii="Book Antiqua" w:hAnsi="Book Antiqua"/>
        <w:b/>
        <w:szCs w:val="24"/>
        <w:lang w:val="es-ES"/>
      </w:rPr>
    </w:pPr>
    <w:bookmarkStart w:id="0" w:name="_Hlk36034857"/>
    <w:r>
      <w:rPr>
        <w:rFonts w:ascii="Book Antiqua" w:eastAsia="MS Mincho" w:hAnsi="Book Antiqua" w:cs="Arial"/>
        <w:b/>
        <w:szCs w:val="24"/>
        <w:lang w:val="es-PR"/>
      </w:rPr>
      <w:t>TEXTO APROBADO EN VOTACIÓN FINAL POR EL SENADO</w:t>
    </w:r>
  </w:p>
  <w:p w14:paraId="7FF01255" w14:textId="77777777" w:rsidR="00192D84" w:rsidRDefault="00192D84" w:rsidP="00192D84">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szCs w:val="24"/>
        <w:lang w:val="es-PR"/>
      </w:rPr>
    </w:pPr>
    <w:r>
      <w:rPr>
        <w:rFonts w:ascii="Book Antiqua" w:eastAsia="MS Mincho" w:hAnsi="Book Antiqua" w:cs="Arial"/>
        <w:b/>
        <w:szCs w:val="24"/>
      </w:rPr>
      <w:t>(7 DE MAYO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8496799">
    <w:abstractNumId w:val="1"/>
  </w:num>
  <w:num w:numId="2" w16cid:durableId="1591281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3210B"/>
    <w:rsid w:val="0003457F"/>
    <w:rsid w:val="00062F4B"/>
    <w:rsid w:val="0007022F"/>
    <w:rsid w:val="00084500"/>
    <w:rsid w:val="000A15CC"/>
    <w:rsid w:val="000A741B"/>
    <w:rsid w:val="000D07BC"/>
    <w:rsid w:val="000E67BC"/>
    <w:rsid w:val="000F552C"/>
    <w:rsid w:val="000F6834"/>
    <w:rsid w:val="000F74EC"/>
    <w:rsid w:val="00100045"/>
    <w:rsid w:val="0013483C"/>
    <w:rsid w:val="00140E4C"/>
    <w:rsid w:val="00150614"/>
    <w:rsid w:val="00151F82"/>
    <w:rsid w:val="00166F02"/>
    <w:rsid w:val="001676F8"/>
    <w:rsid w:val="00176340"/>
    <w:rsid w:val="00192D84"/>
    <w:rsid w:val="001B3C26"/>
    <w:rsid w:val="001B6FCD"/>
    <w:rsid w:val="001C4A07"/>
    <w:rsid w:val="001E002C"/>
    <w:rsid w:val="00212DCF"/>
    <w:rsid w:val="002151F3"/>
    <w:rsid w:val="00216987"/>
    <w:rsid w:val="0023354B"/>
    <w:rsid w:val="0023470C"/>
    <w:rsid w:val="00243545"/>
    <w:rsid w:val="002456BD"/>
    <w:rsid w:val="002570AD"/>
    <w:rsid w:val="002570CC"/>
    <w:rsid w:val="002601FE"/>
    <w:rsid w:val="002646BF"/>
    <w:rsid w:val="00275D9E"/>
    <w:rsid w:val="0027636B"/>
    <w:rsid w:val="002938EA"/>
    <w:rsid w:val="00293965"/>
    <w:rsid w:val="002A3E1F"/>
    <w:rsid w:val="002A63B9"/>
    <w:rsid w:val="002A6F9C"/>
    <w:rsid w:val="002A6FFD"/>
    <w:rsid w:val="002B20E0"/>
    <w:rsid w:val="002B508B"/>
    <w:rsid w:val="002B7624"/>
    <w:rsid w:val="002C0416"/>
    <w:rsid w:val="002D041D"/>
    <w:rsid w:val="002D29E8"/>
    <w:rsid w:val="002D44AD"/>
    <w:rsid w:val="002E6D71"/>
    <w:rsid w:val="00304394"/>
    <w:rsid w:val="00306F8C"/>
    <w:rsid w:val="00316A88"/>
    <w:rsid w:val="00321EB7"/>
    <w:rsid w:val="00323544"/>
    <w:rsid w:val="003279AC"/>
    <w:rsid w:val="00331C2F"/>
    <w:rsid w:val="003358CF"/>
    <w:rsid w:val="00354F2D"/>
    <w:rsid w:val="00364B35"/>
    <w:rsid w:val="003723F1"/>
    <w:rsid w:val="003744BA"/>
    <w:rsid w:val="00374A7C"/>
    <w:rsid w:val="003752FE"/>
    <w:rsid w:val="003A3896"/>
    <w:rsid w:val="003A66B8"/>
    <w:rsid w:val="003B56D6"/>
    <w:rsid w:val="003D4E67"/>
    <w:rsid w:val="003D53C0"/>
    <w:rsid w:val="003E18C1"/>
    <w:rsid w:val="003F655C"/>
    <w:rsid w:val="00412666"/>
    <w:rsid w:val="0042470F"/>
    <w:rsid w:val="0042753F"/>
    <w:rsid w:val="00432856"/>
    <w:rsid w:val="00434C80"/>
    <w:rsid w:val="00445BE6"/>
    <w:rsid w:val="004607A3"/>
    <w:rsid w:val="004A6A77"/>
    <w:rsid w:val="004B2C26"/>
    <w:rsid w:val="004B4C5D"/>
    <w:rsid w:val="004F1EE4"/>
    <w:rsid w:val="004F7E29"/>
    <w:rsid w:val="00513014"/>
    <w:rsid w:val="00513C70"/>
    <w:rsid w:val="00521503"/>
    <w:rsid w:val="00534C3F"/>
    <w:rsid w:val="00540FDB"/>
    <w:rsid w:val="00544200"/>
    <w:rsid w:val="00580E07"/>
    <w:rsid w:val="005B7FF2"/>
    <w:rsid w:val="005D1FA0"/>
    <w:rsid w:val="005D59AB"/>
    <w:rsid w:val="0063698B"/>
    <w:rsid w:val="00677B1A"/>
    <w:rsid w:val="00687E76"/>
    <w:rsid w:val="00697EAE"/>
    <w:rsid w:val="006A25D8"/>
    <w:rsid w:val="006B0EED"/>
    <w:rsid w:val="006B559B"/>
    <w:rsid w:val="006C1A42"/>
    <w:rsid w:val="006D77E8"/>
    <w:rsid w:val="006E003E"/>
    <w:rsid w:val="006F4241"/>
    <w:rsid w:val="006F5A6D"/>
    <w:rsid w:val="00724497"/>
    <w:rsid w:val="0073123F"/>
    <w:rsid w:val="007319B5"/>
    <w:rsid w:val="00774916"/>
    <w:rsid w:val="00776350"/>
    <w:rsid w:val="00781818"/>
    <w:rsid w:val="0078406D"/>
    <w:rsid w:val="0079360C"/>
    <w:rsid w:val="007B00BF"/>
    <w:rsid w:val="007B3219"/>
    <w:rsid w:val="007F33B7"/>
    <w:rsid w:val="008147A6"/>
    <w:rsid w:val="00821464"/>
    <w:rsid w:val="008241E0"/>
    <w:rsid w:val="008246C8"/>
    <w:rsid w:val="008252AA"/>
    <w:rsid w:val="00827101"/>
    <w:rsid w:val="008547BE"/>
    <w:rsid w:val="00891D2E"/>
    <w:rsid w:val="008A741F"/>
    <w:rsid w:val="008C4672"/>
    <w:rsid w:val="008E2201"/>
    <w:rsid w:val="008E3E83"/>
    <w:rsid w:val="008E4B89"/>
    <w:rsid w:val="008E6D2B"/>
    <w:rsid w:val="008E6E97"/>
    <w:rsid w:val="008F48FE"/>
    <w:rsid w:val="00902C84"/>
    <w:rsid w:val="00904188"/>
    <w:rsid w:val="00920031"/>
    <w:rsid w:val="0092176F"/>
    <w:rsid w:val="00924A81"/>
    <w:rsid w:val="009337FB"/>
    <w:rsid w:val="00946CAF"/>
    <w:rsid w:val="009470CD"/>
    <w:rsid w:val="00950B2C"/>
    <w:rsid w:val="00980C1C"/>
    <w:rsid w:val="009836E4"/>
    <w:rsid w:val="009A0123"/>
    <w:rsid w:val="009A2BBE"/>
    <w:rsid w:val="009C765B"/>
    <w:rsid w:val="009D6E9A"/>
    <w:rsid w:val="009F5165"/>
    <w:rsid w:val="00A01B22"/>
    <w:rsid w:val="00A509E8"/>
    <w:rsid w:val="00A60AA5"/>
    <w:rsid w:val="00A60DFF"/>
    <w:rsid w:val="00A6103F"/>
    <w:rsid w:val="00A73252"/>
    <w:rsid w:val="00A73452"/>
    <w:rsid w:val="00A74CFC"/>
    <w:rsid w:val="00A750BD"/>
    <w:rsid w:val="00A8294F"/>
    <w:rsid w:val="00A829DF"/>
    <w:rsid w:val="00AB431F"/>
    <w:rsid w:val="00AC7BBB"/>
    <w:rsid w:val="00AE14DA"/>
    <w:rsid w:val="00AF21B5"/>
    <w:rsid w:val="00AF5D87"/>
    <w:rsid w:val="00AF6E31"/>
    <w:rsid w:val="00B14A84"/>
    <w:rsid w:val="00B456A4"/>
    <w:rsid w:val="00B632EA"/>
    <w:rsid w:val="00B67034"/>
    <w:rsid w:val="00B76C77"/>
    <w:rsid w:val="00B821CC"/>
    <w:rsid w:val="00BA117F"/>
    <w:rsid w:val="00BB3170"/>
    <w:rsid w:val="00BB3A07"/>
    <w:rsid w:val="00BB61CA"/>
    <w:rsid w:val="00BB6E0C"/>
    <w:rsid w:val="00BC67FB"/>
    <w:rsid w:val="00BF6758"/>
    <w:rsid w:val="00BF78DE"/>
    <w:rsid w:val="00C01DD2"/>
    <w:rsid w:val="00C06671"/>
    <w:rsid w:val="00C11F19"/>
    <w:rsid w:val="00C12A3B"/>
    <w:rsid w:val="00C15175"/>
    <w:rsid w:val="00C27704"/>
    <w:rsid w:val="00C34893"/>
    <w:rsid w:val="00C433A2"/>
    <w:rsid w:val="00C451D2"/>
    <w:rsid w:val="00C469B2"/>
    <w:rsid w:val="00C652E0"/>
    <w:rsid w:val="00C807FA"/>
    <w:rsid w:val="00C80AD8"/>
    <w:rsid w:val="00CB49D5"/>
    <w:rsid w:val="00CF1DB1"/>
    <w:rsid w:val="00D10E21"/>
    <w:rsid w:val="00D20C77"/>
    <w:rsid w:val="00D27587"/>
    <w:rsid w:val="00D27AD6"/>
    <w:rsid w:val="00D321D4"/>
    <w:rsid w:val="00D51285"/>
    <w:rsid w:val="00D611BE"/>
    <w:rsid w:val="00D61BAF"/>
    <w:rsid w:val="00D657AD"/>
    <w:rsid w:val="00D70320"/>
    <w:rsid w:val="00D71054"/>
    <w:rsid w:val="00D80020"/>
    <w:rsid w:val="00DA2410"/>
    <w:rsid w:val="00DB014C"/>
    <w:rsid w:val="00DD6720"/>
    <w:rsid w:val="00DF0BBE"/>
    <w:rsid w:val="00E32428"/>
    <w:rsid w:val="00E45380"/>
    <w:rsid w:val="00E55203"/>
    <w:rsid w:val="00E56E2D"/>
    <w:rsid w:val="00E86326"/>
    <w:rsid w:val="00E87250"/>
    <w:rsid w:val="00EA26A2"/>
    <w:rsid w:val="00EB34BE"/>
    <w:rsid w:val="00EB3666"/>
    <w:rsid w:val="00ED5709"/>
    <w:rsid w:val="00ED7D9A"/>
    <w:rsid w:val="00EE2CBB"/>
    <w:rsid w:val="00EF3784"/>
    <w:rsid w:val="00F33183"/>
    <w:rsid w:val="00F406B8"/>
    <w:rsid w:val="00F54025"/>
    <w:rsid w:val="00F73427"/>
    <w:rsid w:val="00F81004"/>
    <w:rsid w:val="00F84D2A"/>
    <w:rsid w:val="00F95BF1"/>
    <w:rsid w:val="00FA0A84"/>
    <w:rsid w:val="00FA66BB"/>
    <w:rsid w:val="00FC156B"/>
    <w:rsid w:val="00FF1757"/>
    <w:rsid w:val="00FF5AF7"/>
    <w:rsid w:val="05E1B61E"/>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70AD40"/>
  <w15:chartTrackingRefBased/>
  <w15:docId w15:val="{6D9CADE7-1F08-4D2D-8449-5BE0DD7DE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character" w:customStyle="1" w:styleId="HeaderChar">
    <w:name w:val="Header Char"/>
    <w:basedOn w:val="DefaultParagraphFont"/>
    <w:link w:val="Header"/>
    <w:rsid w:val="00192D8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17e7af-3bbc-4db8-8428-848df389c307">
      <Terms xmlns="http://schemas.microsoft.com/office/infopath/2007/PartnerControls"/>
    </lcf76f155ced4ddcb4097134ff3c332f>
    <TaxCatchAll xmlns="430ff082-7be9-46c9-8b5c-63c967f66c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D756D-9060-4EC8-A501-BCB8FB1E2DDE}">
  <ds:schemaRefs>
    <ds:schemaRef ds:uri="http://schemas.openxmlformats.org/officeDocument/2006/bibliography"/>
  </ds:schemaRefs>
</ds:datastoreItem>
</file>

<file path=customXml/itemProps2.xml><?xml version="1.0" encoding="utf-8"?>
<ds:datastoreItem xmlns:ds="http://schemas.openxmlformats.org/officeDocument/2006/customXml" ds:itemID="{07D9B768-50A6-4104-B9B0-9BB5E8CBC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27296F-BF69-4197-9041-3F988252970B}">
  <ds:schemaRefs>
    <ds:schemaRef ds:uri="http://schemas.microsoft.com/office/2006/metadata/properties"/>
    <ds:schemaRef ds:uri="http://schemas.microsoft.com/office/infopath/2007/PartnerControls"/>
    <ds:schemaRef ds:uri="9c17e7af-3bbc-4db8-8428-848df389c307"/>
    <ds:schemaRef ds:uri="430ff082-7be9-46c9-8b5c-63c967f66c1f"/>
  </ds:schemaRefs>
</ds:datastoreItem>
</file>

<file path=customXml/itemProps4.xml><?xml version="1.0" encoding="utf-8"?>
<ds:datastoreItem xmlns:ds="http://schemas.openxmlformats.org/officeDocument/2006/customXml" ds:itemID="{5961925E-26EE-4DD2-B742-F378A73C31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876</Words>
  <Characters>4994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Camyl Moreno Pantojas</dc:creator>
  <cp:keywords/>
  <cp:lastModifiedBy>Camyl Moreno Pantojas</cp:lastModifiedBy>
  <cp:revision>2</cp:revision>
  <cp:lastPrinted>2026-05-11T18:28:00Z</cp:lastPrinted>
  <dcterms:created xsi:type="dcterms:W3CDTF">2026-05-29T17:28:00Z</dcterms:created>
  <dcterms:modified xsi:type="dcterms:W3CDTF">2026-05-29T17:28:00Z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y fmtid="{D5CDD505-2E9C-101B-9397-08002B2CF9AE}" pid="4" name="_dlc_DocIdItemGuid">
    <vt:lpwstr>43ab9904-a4eb-4e2b-80fa-5408d9ff4a87</vt:lpwstr>
  </property>
  <property fmtid="{D5CDD505-2E9C-101B-9397-08002B2CF9AE}" pid="5" name="Order">
    <vt:r8>159200</vt:r8>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