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ED2911" w:rsidRDefault="005600B5" w:rsidP="005600B5">
      <w:pPr>
        <w:spacing w:after="0" w:line="259" w:lineRule="auto"/>
        <w:jc w:val="center"/>
        <w:rPr>
          <w:rFonts w:ascii="Book Antiqua" w:eastAsia="Calibri" w:hAnsi="Book Antiqua" w:cs="Times New Roman"/>
          <w:color w:val="000000" w:themeColor="text1"/>
          <w:spacing w:val="12"/>
          <w:kern w:val="0"/>
          <w:sz w:val="36"/>
          <w:szCs w:val="22"/>
          <w14:ligatures w14:val="none"/>
        </w:rPr>
      </w:pPr>
      <w:r w:rsidRPr="00ED2911">
        <w:rPr>
          <w:rFonts w:ascii="Book Antiqua" w:eastAsia="Calibri" w:hAnsi="Book Antiqua" w:cs="Times New Roman"/>
          <w:color w:val="000000" w:themeColor="text1"/>
          <w:spacing w:val="12"/>
          <w:kern w:val="0"/>
          <w:sz w:val="36"/>
          <w:szCs w:val="22"/>
          <w14:ligatures w14:val="none"/>
        </w:rPr>
        <w:t>GOBIERNO DE PUERTO RICO</w:t>
      </w:r>
    </w:p>
    <w:p w14:paraId="6409B8ED" w14:textId="77777777" w:rsidR="005600B5" w:rsidRPr="0011027E" w:rsidRDefault="005600B5" w:rsidP="005600B5">
      <w:pPr>
        <w:spacing w:after="0" w:line="259" w:lineRule="auto"/>
        <w:jc w:val="center"/>
        <w:rPr>
          <w:rFonts w:ascii="Book Antiqua" w:eastAsia="Calibri" w:hAnsi="Book Antiqua" w:cs="Times New Roman"/>
          <w:color w:val="000000" w:themeColor="text1"/>
          <w:kern w:val="0"/>
          <w:sz w:val="36"/>
          <w:szCs w:val="22"/>
          <w14:ligatures w14:val="none"/>
        </w:rPr>
      </w:pPr>
    </w:p>
    <w:p w14:paraId="640838C8" w14:textId="1CD9DEB6" w:rsidR="005600B5" w:rsidRPr="0011027E" w:rsidRDefault="005600B5" w:rsidP="005600B5">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11027E">
        <w:rPr>
          <w:rFonts w:ascii="Book Antiqua" w:eastAsia="Times New Roman" w:hAnsi="Book Antiqua" w:cs="Times New Roman"/>
          <w:color w:val="000000" w:themeColor="text1"/>
          <w:kern w:val="0"/>
          <w:szCs w:val="20"/>
          <w14:ligatures w14:val="none"/>
        </w:rPr>
        <w:t>20</w:t>
      </w:r>
      <w:r w:rsidR="008A68C3">
        <w:rPr>
          <w:rFonts w:ascii="Book Antiqua" w:eastAsia="Times New Roman" w:hAnsi="Book Antiqua" w:cs="Times New Roman"/>
          <w:color w:val="000000" w:themeColor="text1"/>
          <w:kern w:val="0"/>
          <w:szCs w:val="20"/>
          <w:vertAlign w:val="superscript"/>
          <w14:ligatures w14:val="none"/>
        </w:rPr>
        <w:t>.</w:t>
      </w:r>
      <w:r w:rsidRPr="0011027E">
        <w:rPr>
          <w:rFonts w:ascii="Book Antiqua" w:eastAsia="Times New Roman" w:hAnsi="Book Antiqua" w:cs="Times New Roman"/>
          <w:color w:val="000000" w:themeColor="text1"/>
          <w:kern w:val="0"/>
          <w:szCs w:val="20"/>
          <w:vertAlign w:val="superscript"/>
          <w14:ligatures w14:val="none"/>
        </w:rPr>
        <w:t>a</w:t>
      </w:r>
      <w:r w:rsidRPr="0011027E">
        <w:rPr>
          <w:rFonts w:ascii="Book Antiqua" w:eastAsia="Times New Roman" w:hAnsi="Book Antiqua" w:cs="Times New Roman"/>
          <w:color w:val="000000" w:themeColor="text1"/>
          <w:kern w:val="0"/>
          <w:szCs w:val="20"/>
          <w14:ligatures w14:val="none"/>
        </w:rPr>
        <w:tab/>
        <w:t>Asamblea</w:t>
      </w:r>
      <w:r w:rsidRPr="0011027E">
        <w:rPr>
          <w:rFonts w:ascii="Book Antiqua" w:eastAsia="Times New Roman" w:hAnsi="Book Antiqua" w:cs="Times New Roman"/>
          <w:color w:val="000000" w:themeColor="text1"/>
          <w:kern w:val="0"/>
          <w:szCs w:val="20"/>
          <w14:ligatures w14:val="none"/>
        </w:rPr>
        <w:tab/>
      </w:r>
      <w:r w:rsidR="00B45017" w:rsidRPr="0011027E">
        <w:rPr>
          <w:rFonts w:ascii="Book Antiqua" w:eastAsia="Times New Roman" w:hAnsi="Book Antiqua" w:cs="Times New Roman"/>
          <w:color w:val="000000" w:themeColor="text1"/>
          <w:kern w:val="0"/>
          <w:szCs w:val="20"/>
          <w14:ligatures w14:val="none"/>
        </w:rPr>
        <w:t>3</w:t>
      </w:r>
      <w:r w:rsidR="008A68C3">
        <w:rPr>
          <w:rFonts w:ascii="Book Antiqua" w:eastAsia="Times New Roman" w:hAnsi="Book Antiqua" w:cs="Times New Roman"/>
          <w:color w:val="000000" w:themeColor="text1"/>
          <w:kern w:val="0"/>
          <w:szCs w:val="20"/>
          <w:vertAlign w:val="superscript"/>
          <w14:ligatures w14:val="none"/>
        </w:rPr>
        <w:t>.</w:t>
      </w:r>
      <w:r w:rsidR="00B45017" w:rsidRPr="0011027E">
        <w:rPr>
          <w:rFonts w:ascii="Book Antiqua" w:eastAsia="Times New Roman" w:hAnsi="Book Antiqua" w:cs="Times New Roman"/>
          <w:color w:val="000000" w:themeColor="text1"/>
          <w:kern w:val="0"/>
          <w:szCs w:val="20"/>
          <w:vertAlign w:val="superscript"/>
          <w14:ligatures w14:val="none"/>
        </w:rPr>
        <w:t>a</w:t>
      </w:r>
      <w:r w:rsidRPr="0011027E">
        <w:rPr>
          <w:rFonts w:ascii="Book Antiqua" w:eastAsia="Times New Roman" w:hAnsi="Book Antiqua" w:cs="Times New Roman"/>
          <w:color w:val="000000" w:themeColor="text1"/>
          <w:kern w:val="0"/>
          <w:szCs w:val="20"/>
          <w14:ligatures w14:val="none"/>
        </w:rPr>
        <w:tab/>
      </w:r>
      <w:r w:rsidR="008A68C3">
        <w:rPr>
          <w:rFonts w:ascii="Book Antiqua" w:eastAsia="Times New Roman" w:hAnsi="Book Antiqua" w:cs="Times New Roman"/>
          <w:color w:val="000000" w:themeColor="text1"/>
          <w:kern w:val="0"/>
          <w:szCs w:val="20"/>
          <w14:ligatures w14:val="none"/>
        </w:rPr>
        <w:t xml:space="preserve">   </w:t>
      </w:r>
      <w:r w:rsidRPr="0011027E">
        <w:rPr>
          <w:rFonts w:ascii="Book Antiqua" w:eastAsia="Times New Roman" w:hAnsi="Book Antiqua" w:cs="Times New Roman"/>
          <w:color w:val="000000" w:themeColor="text1"/>
          <w:kern w:val="0"/>
          <w:szCs w:val="20"/>
          <w14:ligatures w14:val="none"/>
        </w:rPr>
        <w:t>Sesión</w:t>
      </w:r>
    </w:p>
    <w:p w14:paraId="2A7744F2" w14:textId="0B8949CB" w:rsidR="005600B5" w:rsidRPr="0011027E" w:rsidRDefault="005600B5" w:rsidP="005600B5">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11027E">
        <w:rPr>
          <w:rFonts w:ascii="Book Antiqua" w:eastAsia="Times New Roman" w:hAnsi="Book Antiqua" w:cs="Times New Roman"/>
          <w:color w:val="000000" w:themeColor="text1"/>
          <w:kern w:val="0"/>
          <w:szCs w:val="20"/>
          <w14:ligatures w14:val="none"/>
        </w:rPr>
        <w:tab/>
        <w:t>Legislativa</w:t>
      </w:r>
      <w:r w:rsidRPr="0011027E">
        <w:rPr>
          <w:rFonts w:ascii="Book Antiqua" w:eastAsia="Times New Roman" w:hAnsi="Book Antiqua" w:cs="Times New Roman"/>
          <w:color w:val="000000" w:themeColor="text1"/>
          <w:kern w:val="0"/>
          <w:szCs w:val="20"/>
          <w14:ligatures w14:val="none"/>
        </w:rPr>
        <w:tab/>
      </w:r>
      <w:r w:rsidRPr="0011027E">
        <w:rPr>
          <w:rFonts w:ascii="Book Antiqua" w:eastAsia="Times New Roman" w:hAnsi="Book Antiqua" w:cs="Times New Roman"/>
          <w:color w:val="000000" w:themeColor="text1"/>
          <w:kern w:val="0"/>
          <w:szCs w:val="20"/>
          <w14:ligatures w14:val="none"/>
        </w:rPr>
        <w:tab/>
      </w:r>
      <w:r w:rsidR="008A68C3">
        <w:rPr>
          <w:rFonts w:ascii="Book Antiqua" w:eastAsia="Times New Roman" w:hAnsi="Book Antiqua" w:cs="Times New Roman"/>
          <w:color w:val="000000" w:themeColor="text1"/>
          <w:kern w:val="0"/>
          <w:szCs w:val="20"/>
          <w14:ligatures w14:val="none"/>
        </w:rPr>
        <w:t xml:space="preserve">   </w:t>
      </w:r>
      <w:r w:rsidRPr="0011027E">
        <w:rPr>
          <w:rFonts w:ascii="Book Antiqua" w:eastAsia="Times New Roman" w:hAnsi="Book Antiqua" w:cs="Times New Roman"/>
          <w:color w:val="000000" w:themeColor="text1"/>
          <w:kern w:val="0"/>
          <w:szCs w:val="20"/>
          <w14:ligatures w14:val="none"/>
        </w:rPr>
        <w:t>Ordinaria</w:t>
      </w:r>
    </w:p>
    <w:p w14:paraId="3C9CCE28" w14:textId="77777777" w:rsidR="005600B5" w:rsidRPr="0011027E" w:rsidRDefault="005600B5" w:rsidP="005600B5">
      <w:pPr>
        <w:spacing w:after="0" w:line="259" w:lineRule="auto"/>
        <w:rPr>
          <w:rFonts w:ascii="Calibri" w:eastAsia="Calibri" w:hAnsi="Calibri" w:cs="Times New Roman"/>
          <w:color w:val="000000" w:themeColor="text1"/>
          <w:kern w:val="0"/>
          <w:sz w:val="22"/>
          <w:szCs w:val="22"/>
          <w14:ligatures w14:val="none"/>
        </w:rPr>
      </w:pPr>
    </w:p>
    <w:p w14:paraId="669DB0FE" w14:textId="27D50AB7" w:rsidR="005600B5" w:rsidRPr="0011027E" w:rsidRDefault="00FF6B3F" w:rsidP="005600B5">
      <w:pPr>
        <w:spacing w:after="0" w:line="360" w:lineRule="auto"/>
        <w:jc w:val="center"/>
        <w:rPr>
          <w:rStyle w:val="Strong"/>
          <w:rFonts w:ascii="Book Antiqua" w:eastAsia="Calibri" w:hAnsi="Book Antiqua" w:cs="Times New Roman"/>
          <w:bCs w:val="0"/>
          <w:color w:val="000000" w:themeColor="text1"/>
          <w:kern w:val="0"/>
          <w:sz w:val="36"/>
          <w:szCs w:val="22"/>
          <w14:ligatures w14:val="none"/>
        </w:rPr>
      </w:pPr>
      <w:r w:rsidRPr="0011027E">
        <w:rPr>
          <w:rFonts w:ascii="Book Antiqua" w:eastAsia="Calibri" w:hAnsi="Book Antiqua" w:cs="Times New Roman"/>
          <w:b/>
          <w:color w:val="000000" w:themeColor="text1"/>
          <w:kern w:val="0"/>
          <w:sz w:val="36"/>
          <w:szCs w:val="22"/>
          <w14:ligatures w14:val="none"/>
        </w:rPr>
        <w:t xml:space="preserve">CÁMARA DE REPRESENTANTES </w:t>
      </w:r>
    </w:p>
    <w:p w14:paraId="4A9BDFA8" w14:textId="3FD09829" w:rsidR="005600B5" w:rsidRPr="0011027E" w:rsidRDefault="005600B5" w:rsidP="005600B5">
      <w:pPr>
        <w:pStyle w:val="NormalWeb"/>
        <w:jc w:val="center"/>
        <w:rPr>
          <w:rFonts w:ascii="Book Antiqua" w:hAnsi="Book Antiqua"/>
          <w:color w:val="000000" w:themeColor="text1"/>
          <w:sz w:val="52"/>
          <w:szCs w:val="52"/>
          <w:lang w:val="es-PR"/>
        </w:rPr>
      </w:pPr>
      <w:r w:rsidRPr="0011027E">
        <w:rPr>
          <w:rStyle w:val="Strong"/>
          <w:rFonts w:ascii="Book Antiqua" w:eastAsiaTheme="majorEastAsia" w:hAnsi="Book Antiqua"/>
          <w:color w:val="000000" w:themeColor="text1"/>
          <w:sz w:val="52"/>
          <w:szCs w:val="52"/>
          <w:lang w:val="es-PR"/>
        </w:rPr>
        <w:t xml:space="preserve">P. del S. </w:t>
      </w:r>
      <w:r w:rsidR="00F325D4" w:rsidRPr="0011027E">
        <w:rPr>
          <w:rStyle w:val="Strong"/>
          <w:rFonts w:ascii="Book Antiqua" w:eastAsiaTheme="majorEastAsia" w:hAnsi="Book Antiqua"/>
          <w:color w:val="000000" w:themeColor="text1"/>
          <w:sz w:val="52"/>
          <w:szCs w:val="52"/>
          <w:lang w:val="es-PR"/>
        </w:rPr>
        <w:t>101</w:t>
      </w:r>
      <w:r w:rsidR="000D346E" w:rsidRPr="0011027E">
        <w:rPr>
          <w:rStyle w:val="Strong"/>
          <w:rFonts w:ascii="Book Antiqua" w:eastAsiaTheme="majorEastAsia" w:hAnsi="Book Antiqua"/>
          <w:color w:val="000000" w:themeColor="text1"/>
          <w:sz w:val="52"/>
          <w:szCs w:val="52"/>
          <w:lang w:val="es-PR"/>
        </w:rPr>
        <w:t>6</w:t>
      </w:r>
    </w:p>
    <w:p w14:paraId="58E012A3" w14:textId="403743D1" w:rsidR="005600B5" w:rsidRPr="00F41051" w:rsidRDefault="005600B5" w:rsidP="005600B5">
      <w:pPr>
        <w:pStyle w:val="NormalWeb"/>
        <w:jc w:val="center"/>
        <w:rPr>
          <w:rFonts w:ascii="Book Antiqua" w:hAnsi="Book Antiqua"/>
          <w:b/>
          <w:bCs/>
          <w:color w:val="000000" w:themeColor="text1"/>
          <w:spacing w:val="12"/>
          <w:lang w:val="es-PR"/>
        </w:rPr>
      </w:pPr>
      <w:r w:rsidRPr="00F41051">
        <w:rPr>
          <w:rStyle w:val="Strong"/>
          <w:rFonts w:ascii="Book Antiqua" w:eastAsiaTheme="majorEastAsia" w:hAnsi="Book Antiqua"/>
          <w:b w:val="0"/>
          <w:bCs w:val="0"/>
          <w:color w:val="000000" w:themeColor="text1"/>
          <w:spacing w:val="12"/>
          <w:lang w:val="es-PR"/>
        </w:rPr>
        <w:t>INFORME POSITIVO</w:t>
      </w:r>
    </w:p>
    <w:p w14:paraId="2737D28E" w14:textId="43840D56" w:rsidR="005600B5" w:rsidRPr="0011027E" w:rsidRDefault="009365FE" w:rsidP="005600B5">
      <w:pPr>
        <w:pStyle w:val="NormalWeb"/>
        <w:jc w:val="center"/>
        <w:rPr>
          <w:rStyle w:val="Strong"/>
          <w:rFonts w:ascii="Book Antiqua" w:eastAsiaTheme="majorEastAsia" w:hAnsi="Book Antiqua"/>
          <w:b w:val="0"/>
          <w:bCs w:val="0"/>
          <w:color w:val="000000" w:themeColor="text1"/>
          <w:lang w:val="es-PR"/>
        </w:rPr>
      </w:pPr>
      <w:r>
        <w:rPr>
          <w:rFonts w:ascii="Book Antiqua" w:hAnsi="Book Antiqua"/>
          <w:color w:val="000000" w:themeColor="text1"/>
          <w:lang w:val="es-PR"/>
        </w:rPr>
        <w:t>29</w:t>
      </w:r>
      <w:r w:rsidR="005600B5" w:rsidRPr="0011027E">
        <w:rPr>
          <w:rFonts w:ascii="Book Antiqua" w:hAnsi="Book Antiqua"/>
          <w:color w:val="000000" w:themeColor="text1"/>
          <w:lang w:val="es-PR"/>
        </w:rPr>
        <w:t xml:space="preserve"> de</w:t>
      </w:r>
      <w:r w:rsidR="00184557" w:rsidRPr="0011027E">
        <w:rPr>
          <w:rFonts w:ascii="Book Antiqua" w:hAnsi="Book Antiqua"/>
          <w:color w:val="000000" w:themeColor="text1"/>
          <w:lang w:val="es-PR"/>
        </w:rPr>
        <w:t xml:space="preserve"> </w:t>
      </w:r>
      <w:r w:rsidR="000D346E" w:rsidRPr="0011027E">
        <w:rPr>
          <w:rFonts w:ascii="Book Antiqua" w:hAnsi="Book Antiqua"/>
          <w:color w:val="000000" w:themeColor="text1"/>
          <w:lang w:val="es-PR"/>
        </w:rPr>
        <w:t>mayo</w:t>
      </w:r>
      <w:r w:rsidR="005600B5" w:rsidRPr="0011027E">
        <w:rPr>
          <w:rFonts w:ascii="Book Antiqua" w:hAnsi="Book Antiqua"/>
          <w:color w:val="000000" w:themeColor="text1"/>
          <w:lang w:val="es-PR"/>
        </w:rPr>
        <w:t xml:space="preserve"> de 202</w:t>
      </w:r>
      <w:r w:rsidR="000D346E" w:rsidRPr="0011027E">
        <w:rPr>
          <w:rFonts w:ascii="Book Antiqua" w:hAnsi="Book Antiqua"/>
          <w:color w:val="000000" w:themeColor="text1"/>
          <w:lang w:val="es-PR"/>
        </w:rPr>
        <w:t>6</w:t>
      </w:r>
    </w:p>
    <w:p w14:paraId="165D7CAD" w14:textId="7F20896E" w:rsidR="008944CA" w:rsidRPr="008A68C3" w:rsidRDefault="005600B5" w:rsidP="008944CA">
      <w:pPr>
        <w:pStyle w:val="NormalWeb"/>
        <w:jc w:val="both"/>
        <w:rPr>
          <w:rFonts w:ascii="Book Antiqua" w:hAnsi="Book Antiqua"/>
          <w:b/>
          <w:bCs/>
          <w:color w:val="000000" w:themeColor="text1"/>
          <w:spacing w:val="12"/>
          <w:lang w:val="es-PR"/>
        </w:rPr>
      </w:pPr>
      <w:r w:rsidRPr="008A68C3">
        <w:rPr>
          <w:rStyle w:val="Strong"/>
          <w:rFonts w:ascii="Book Antiqua" w:eastAsiaTheme="majorEastAsia" w:hAnsi="Book Antiqua"/>
          <w:b w:val="0"/>
          <w:bCs w:val="0"/>
          <w:color w:val="000000" w:themeColor="text1"/>
          <w:spacing w:val="12"/>
          <w:lang w:val="es-PR"/>
        </w:rPr>
        <w:t>A</w:t>
      </w:r>
      <w:r w:rsidR="00223530" w:rsidRPr="008A68C3">
        <w:rPr>
          <w:rStyle w:val="Strong"/>
          <w:rFonts w:ascii="Book Antiqua" w:eastAsiaTheme="majorEastAsia" w:hAnsi="Book Antiqua"/>
          <w:b w:val="0"/>
          <w:bCs w:val="0"/>
          <w:color w:val="000000" w:themeColor="text1"/>
          <w:spacing w:val="12"/>
          <w:lang w:val="es-PR"/>
        </w:rPr>
        <w:t xml:space="preserve"> </w:t>
      </w:r>
      <w:r w:rsidRPr="008A68C3">
        <w:rPr>
          <w:rStyle w:val="Strong"/>
          <w:rFonts w:ascii="Book Antiqua" w:eastAsiaTheme="majorEastAsia" w:hAnsi="Book Antiqua"/>
          <w:b w:val="0"/>
          <w:bCs w:val="0"/>
          <w:color w:val="000000" w:themeColor="text1"/>
          <w:spacing w:val="12"/>
          <w:lang w:val="es-PR"/>
        </w:rPr>
        <w:t>L</w:t>
      </w:r>
      <w:r w:rsidR="00223530" w:rsidRPr="008A68C3">
        <w:rPr>
          <w:rStyle w:val="Strong"/>
          <w:rFonts w:ascii="Book Antiqua" w:eastAsiaTheme="majorEastAsia" w:hAnsi="Book Antiqua"/>
          <w:b w:val="0"/>
          <w:bCs w:val="0"/>
          <w:color w:val="000000" w:themeColor="text1"/>
          <w:spacing w:val="12"/>
          <w:lang w:val="es-PR"/>
        </w:rPr>
        <w:t xml:space="preserve">A CÁMARA DE REPRESENTANTES </w:t>
      </w:r>
      <w:r w:rsidRPr="008A68C3">
        <w:rPr>
          <w:rStyle w:val="Strong"/>
          <w:rFonts w:ascii="Book Antiqua" w:eastAsiaTheme="majorEastAsia" w:hAnsi="Book Antiqua"/>
          <w:b w:val="0"/>
          <w:bCs w:val="0"/>
          <w:color w:val="000000" w:themeColor="text1"/>
          <w:spacing w:val="12"/>
          <w:lang w:val="es-PR"/>
        </w:rPr>
        <w:t>DE PUERTO RICO</w:t>
      </w:r>
    </w:p>
    <w:p w14:paraId="6944B8D1" w14:textId="31F6A9CC" w:rsidR="005600B5" w:rsidRPr="0011027E" w:rsidRDefault="00B122B8" w:rsidP="008A68C3">
      <w:pPr>
        <w:spacing w:after="0" w:line="288" w:lineRule="auto"/>
        <w:ind w:firstLine="720"/>
        <w:jc w:val="both"/>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P</w:t>
      </w:r>
      <w:r w:rsidR="008944CA" w:rsidRPr="0011027E">
        <w:rPr>
          <w:rFonts w:ascii="Book Antiqua" w:eastAsia="Calibri" w:hAnsi="Book Antiqua" w:cs="Times New Roman"/>
          <w:color w:val="000000" w:themeColor="text1"/>
          <w:kern w:val="0"/>
          <w14:ligatures w14:val="none"/>
        </w:rPr>
        <w:t xml:space="preserve">revio estudio y consideración del </w:t>
      </w:r>
      <w:r w:rsidR="00223530" w:rsidRPr="0011027E">
        <w:rPr>
          <w:rFonts w:ascii="Book Antiqua" w:eastAsia="Calibri" w:hAnsi="Book Antiqua" w:cs="Times New Roman"/>
          <w:bCs/>
          <w:color w:val="000000" w:themeColor="text1"/>
          <w:kern w:val="0"/>
          <w14:ligatures w14:val="none"/>
        </w:rPr>
        <w:t>Proyecto del Senado</w:t>
      </w:r>
      <w:r w:rsidR="00B45017" w:rsidRPr="0011027E">
        <w:rPr>
          <w:rFonts w:ascii="Book Antiqua" w:eastAsia="Calibri" w:hAnsi="Book Antiqua" w:cs="Times New Roman"/>
          <w:bCs/>
          <w:color w:val="000000" w:themeColor="text1"/>
          <w:kern w:val="0"/>
          <w14:ligatures w14:val="none"/>
        </w:rPr>
        <w:t xml:space="preserve"> </w:t>
      </w:r>
      <w:r w:rsidR="00F325D4" w:rsidRPr="0011027E">
        <w:rPr>
          <w:rFonts w:ascii="Book Antiqua" w:eastAsia="Calibri" w:hAnsi="Book Antiqua" w:cs="Times New Roman"/>
          <w:bCs/>
          <w:color w:val="000000" w:themeColor="text1"/>
          <w:kern w:val="0"/>
          <w14:ligatures w14:val="none"/>
        </w:rPr>
        <w:t>101</w:t>
      </w:r>
      <w:r w:rsidR="000D346E" w:rsidRPr="0011027E">
        <w:rPr>
          <w:rFonts w:ascii="Book Antiqua" w:eastAsia="Calibri" w:hAnsi="Book Antiqua" w:cs="Times New Roman"/>
          <w:bCs/>
          <w:color w:val="000000" w:themeColor="text1"/>
          <w:kern w:val="0"/>
          <w14:ligatures w14:val="none"/>
        </w:rPr>
        <w:t>6</w:t>
      </w:r>
      <w:r>
        <w:rPr>
          <w:rFonts w:ascii="Book Antiqua" w:eastAsia="Calibri" w:hAnsi="Book Antiqua" w:cs="Times New Roman"/>
          <w:bCs/>
          <w:color w:val="000000" w:themeColor="text1"/>
          <w:kern w:val="0"/>
          <w14:ligatures w14:val="none"/>
        </w:rPr>
        <w:t xml:space="preserve"> </w:t>
      </w:r>
      <w:r w:rsidRPr="0011027E">
        <w:rPr>
          <w:rFonts w:ascii="Book Antiqua" w:eastAsia="Times New Roman" w:hAnsi="Book Antiqua" w:cs="Times New Roman"/>
          <w:color w:val="000000" w:themeColor="text1"/>
          <w:kern w:val="0"/>
          <w14:ligatures w14:val="none"/>
        </w:rPr>
        <w:t>P. del S. 1016</w:t>
      </w:r>
      <w:r w:rsidR="008944CA" w:rsidRPr="0011027E">
        <w:rPr>
          <w:rFonts w:ascii="Book Antiqua" w:eastAsia="Calibri" w:hAnsi="Book Antiqua" w:cs="Times New Roman"/>
          <w:color w:val="000000" w:themeColor="text1"/>
          <w:kern w:val="0"/>
          <w14:ligatures w14:val="none"/>
        </w:rPr>
        <w:t xml:space="preserve">, </w:t>
      </w:r>
      <w:r>
        <w:rPr>
          <w:rFonts w:ascii="Book Antiqua" w:eastAsia="Calibri" w:hAnsi="Book Antiqua" w:cs="Times New Roman"/>
          <w:color w:val="000000" w:themeColor="text1"/>
          <w:kern w:val="0"/>
          <w14:ligatures w14:val="none"/>
        </w:rPr>
        <w:t>la Comisió</w:t>
      </w:r>
      <w:r w:rsidR="00D4097E">
        <w:rPr>
          <w:rFonts w:ascii="Book Antiqua" w:eastAsia="Calibri" w:hAnsi="Book Antiqua" w:cs="Times New Roman"/>
          <w:color w:val="000000" w:themeColor="text1"/>
          <w:kern w:val="0"/>
          <w14:ligatures w14:val="none"/>
        </w:rPr>
        <w:t xml:space="preserve">n de lo Jurídico </w:t>
      </w:r>
      <w:r w:rsidR="00520E2A" w:rsidRPr="009B1224">
        <w:rPr>
          <w:rFonts w:ascii="Book Antiqua" w:eastAsia="Calibri" w:hAnsi="Book Antiqua" w:cs="Times New Roman"/>
          <w:kern w:val="0"/>
          <w:lang w:val="es-ES"/>
          <w14:ligatures w14:val="none"/>
        </w:rPr>
        <w:t>de la Cámara de Representantes</w:t>
      </w:r>
      <w:r w:rsidR="00520E2A" w:rsidRPr="0011027E">
        <w:rPr>
          <w:rFonts w:ascii="Book Antiqua" w:eastAsia="Calibri" w:hAnsi="Book Antiqua" w:cs="Times New Roman"/>
          <w:color w:val="000000" w:themeColor="text1"/>
          <w:kern w:val="0"/>
          <w14:ligatures w14:val="none"/>
        </w:rPr>
        <w:t xml:space="preserve"> </w:t>
      </w:r>
      <w:r w:rsidR="008944CA" w:rsidRPr="0011027E">
        <w:rPr>
          <w:rFonts w:ascii="Book Antiqua" w:eastAsia="Calibri" w:hAnsi="Book Antiqua" w:cs="Times New Roman"/>
          <w:color w:val="000000" w:themeColor="text1"/>
          <w:kern w:val="0"/>
          <w14:ligatures w14:val="none"/>
        </w:rPr>
        <w:t>recomiend</w:t>
      </w:r>
      <w:r w:rsidR="00FA18AC" w:rsidRPr="0011027E">
        <w:rPr>
          <w:rFonts w:ascii="Book Antiqua" w:eastAsia="Calibri" w:hAnsi="Book Antiqua" w:cs="Times New Roman"/>
          <w:color w:val="000000" w:themeColor="text1"/>
          <w:kern w:val="0"/>
          <w14:ligatures w14:val="none"/>
        </w:rPr>
        <w:t xml:space="preserve">a </w:t>
      </w:r>
      <w:r w:rsidR="00D4097E">
        <w:rPr>
          <w:rFonts w:ascii="Book Antiqua" w:eastAsia="Calibri" w:hAnsi="Book Antiqua" w:cs="Times New Roman"/>
          <w:color w:val="000000" w:themeColor="text1"/>
          <w:kern w:val="0"/>
          <w14:ligatures w14:val="none"/>
        </w:rPr>
        <w:t xml:space="preserve">que </w:t>
      </w:r>
      <w:r w:rsidR="008944CA" w:rsidRPr="0011027E">
        <w:rPr>
          <w:rFonts w:ascii="Book Antiqua" w:eastAsia="Calibri" w:hAnsi="Book Antiqua" w:cs="Times New Roman"/>
          <w:color w:val="000000" w:themeColor="text1"/>
          <w:kern w:val="0"/>
          <w14:ligatures w14:val="none"/>
        </w:rPr>
        <w:t>s</w:t>
      </w:r>
      <w:r w:rsidR="00D4097E">
        <w:rPr>
          <w:rFonts w:ascii="Book Antiqua" w:eastAsia="Calibri" w:hAnsi="Book Antiqua" w:cs="Times New Roman"/>
          <w:color w:val="000000" w:themeColor="text1"/>
          <w:kern w:val="0"/>
          <w14:ligatures w14:val="none"/>
        </w:rPr>
        <w:t>e</w:t>
      </w:r>
      <w:r w:rsidR="008944CA" w:rsidRPr="0011027E">
        <w:rPr>
          <w:rFonts w:ascii="Book Antiqua" w:eastAsia="Calibri" w:hAnsi="Book Antiqua" w:cs="Times New Roman"/>
          <w:color w:val="000000" w:themeColor="text1"/>
          <w:kern w:val="0"/>
          <w14:ligatures w14:val="none"/>
        </w:rPr>
        <w:t xml:space="preserve"> apr</w:t>
      </w:r>
      <w:r w:rsidR="00A8587C">
        <w:rPr>
          <w:rFonts w:ascii="Book Antiqua" w:eastAsia="Calibri" w:hAnsi="Book Antiqua" w:cs="Times New Roman"/>
          <w:color w:val="000000" w:themeColor="text1"/>
          <w:kern w:val="0"/>
          <w14:ligatures w14:val="none"/>
        </w:rPr>
        <w:t xml:space="preserve">uebe </w:t>
      </w:r>
      <w:r w:rsidR="00A8587C">
        <w:rPr>
          <w:rFonts w:ascii="Book Antiqua" w:eastAsia="Calibri" w:hAnsi="Book Antiqua" w:cs="Times New Roman"/>
          <w:bCs/>
          <w:color w:val="000000" w:themeColor="text1"/>
          <w:kern w:val="0"/>
          <w14:ligatures w14:val="none"/>
        </w:rPr>
        <w:t>con las</w:t>
      </w:r>
      <w:r w:rsidR="00A8587C" w:rsidRPr="0011027E">
        <w:rPr>
          <w:rFonts w:ascii="Book Antiqua" w:eastAsia="Calibri" w:hAnsi="Book Antiqua" w:cs="Times New Roman"/>
          <w:bCs/>
          <w:color w:val="000000" w:themeColor="text1"/>
          <w:kern w:val="0"/>
          <w14:ligatures w14:val="none"/>
        </w:rPr>
        <w:t xml:space="preserve"> enmiendas</w:t>
      </w:r>
      <w:r w:rsidR="00A8587C">
        <w:rPr>
          <w:rFonts w:ascii="Book Antiqua" w:eastAsia="Calibri" w:hAnsi="Book Antiqua" w:cs="Times New Roman"/>
          <w:bCs/>
          <w:color w:val="000000" w:themeColor="text1"/>
          <w:kern w:val="0"/>
          <w14:ligatures w14:val="none"/>
        </w:rPr>
        <w:t xml:space="preserve"> en el </w:t>
      </w:r>
      <w:proofErr w:type="spellStart"/>
      <w:r w:rsidR="00A8587C">
        <w:rPr>
          <w:rFonts w:ascii="Book Antiqua" w:eastAsia="Calibri" w:hAnsi="Book Antiqua" w:cs="Times New Roman"/>
          <w:bCs/>
          <w:color w:val="000000" w:themeColor="text1"/>
          <w:kern w:val="0"/>
          <w14:ligatures w14:val="none"/>
        </w:rPr>
        <w:t>entirillado</w:t>
      </w:r>
      <w:proofErr w:type="spellEnd"/>
      <w:r w:rsidR="00A8587C">
        <w:rPr>
          <w:rFonts w:ascii="Book Antiqua" w:eastAsia="Calibri" w:hAnsi="Book Antiqua" w:cs="Times New Roman"/>
          <w:bCs/>
          <w:color w:val="000000" w:themeColor="text1"/>
          <w:kern w:val="0"/>
          <w14:ligatures w14:val="none"/>
        </w:rPr>
        <w:t xml:space="preserve"> electrónico adjunto</w:t>
      </w:r>
      <w:r w:rsidR="0057516C">
        <w:rPr>
          <w:rFonts w:ascii="Book Antiqua" w:eastAsia="Calibri" w:hAnsi="Book Antiqua" w:cs="Times New Roman"/>
          <w:bCs/>
          <w:color w:val="000000" w:themeColor="text1"/>
          <w:kern w:val="0"/>
          <w14:ligatures w14:val="none"/>
        </w:rPr>
        <w:t>.</w:t>
      </w:r>
      <w:r w:rsidR="00FA18AC" w:rsidRPr="0011027E">
        <w:rPr>
          <w:rFonts w:ascii="Book Antiqua" w:eastAsia="Calibri" w:hAnsi="Book Antiqua" w:cs="Times New Roman"/>
          <w:color w:val="000000" w:themeColor="text1"/>
          <w:kern w:val="0"/>
          <w14:ligatures w14:val="none"/>
        </w:rPr>
        <w:t xml:space="preserve"> </w:t>
      </w:r>
    </w:p>
    <w:p w14:paraId="56F8B727" w14:textId="3E807132" w:rsidR="005600B5" w:rsidRPr="008A68C3" w:rsidRDefault="00767EBE" w:rsidP="005600B5">
      <w:pPr>
        <w:spacing w:before="100" w:beforeAutospacing="1" w:after="100" w:afterAutospacing="1" w:line="240" w:lineRule="auto"/>
        <w:jc w:val="center"/>
        <w:outlineLvl w:val="2"/>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t>A</w:t>
      </w:r>
      <w:r w:rsidR="005600B5" w:rsidRPr="008A68C3">
        <w:rPr>
          <w:rFonts w:ascii="Book Antiqua" w:eastAsia="Times New Roman" w:hAnsi="Book Antiqua" w:cs="Times New Roman"/>
          <w:color w:val="000000" w:themeColor="text1"/>
          <w:spacing w:val="12"/>
          <w:kern w:val="0"/>
          <w14:ligatures w14:val="none"/>
        </w:rPr>
        <w:t>LCANCE DE LA MEDIDA</w:t>
      </w:r>
    </w:p>
    <w:p w14:paraId="03D7264E" w14:textId="56685B57" w:rsidR="007B6CBC" w:rsidRDefault="00473356" w:rsidP="008A68C3">
      <w:pPr>
        <w:spacing w:before="120" w:after="120" w:line="288" w:lineRule="auto"/>
        <w:ind w:firstLine="720"/>
        <w:jc w:val="both"/>
        <w:rPr>
          <w:color w:val="000000" w:themeColor="text1"/>
          <w:sz w:val="23"/>
          <w:szCs w:val="23"/>
        </w:rPr>
      </w:pPr>
      <w:r w:rsidRPr="0011027E">
        <w:rPr>
          <w:rFonts w:ascii="Book Antiqua" w:eastAsia="Times New Roman" w:hAnsi="Book Antiqua" w:cs="Times New Roman"/>
          <w:color w:val="000000" w:themeColor="text1"/>
          <w:kern w:val="0"/>
          <w14:ligatures w14:val="none"/>
        </w:rPr>
        <w:t xml:space="preserve">El P. del S. </w:t>
      </w:r>
      <w:r w:rsidR="00767EBE" w:rsidRPr="0011027E">
        <w:rPr>
          <w:rFonts w:ascii="Book Antiqua" w:eastAsia="Times New Roman" w:hAnsi="Book Antiqua" w:cs="Times New Roman"/>
          <w:color w:val="000000" w:themeColor="text1"/>
          <w:kern w:val="0"/>
          <w14:ligatures w14:val="none"/>
        </w:rPr>
        <w:t>1016</w:t>
      </w:r>
      <w:r w:rsidR="0060083D" w:rsidRPr="0011027E">
        <w:rPr>
          <w:rFonts w:ascii="Book Antiqua" w:eastAsia="Times New Roman" w:hAnsi="Book Antiqua" w:cs="Times New Roman"/>
          <w:color w:val="000000" w:themeColor="text1"/>
          <w:kern w:val="0"/>
          <w14:ligatures w14:val="none"/>
        </w:rPr>
        <w:t xml:space="preserve"> </w:t>
      </w:r>
      <w:r w:rsidR="000E435D" w:rsidRPr="0011027E">
        <w:rPr>
          <w:rFonts w:ascii="Book Antiqua" w:eastAsia="Times New Roman" w:hAnsi="Book Antiqua" w:cs="Times New Roman"/>
          <w:color w:val="000000" w:themeColor="text1"/>
          <w:kern w:val="0"/>
          <w14:ligatures w14:val="none"/>
        </w:rPr>
        <w:t xml:space="preserve">tiene </w:t>
      </w:r>
      <w:r w:rsidR="007B6CBC" w:rsidRPr="0011027E">
        <w:rPr>
          <w:rFonts w:ascii="Book Antiqua" w:eastAsia="Times New Roman" w:hAnsi="Book Antiqua" w:cs="Times New Roman"/>
          <w:color w:val="000000" w:themeColor="text1"/>
          <w:kern w:val="0"/>
          <w14:ligatures w14:val="none"/>
        </w:rPr>
        <w:t xml:space="preserve">el objetivo de enmendar </w:t>
      </w:r>
      <w:r w:rsidR="007B6CBC" w:rsidRPr="0011027E">
        <w:rPr>
          <w:rFonts w:ascii="Book Antiqua" w:hAnsi="Book Antiqua"/>
          <w:color w:val="000000" w:themeColor="text1"/>
        </w:rPr>
        <w:t xml:space="preserve">el </w:t>
      </w:r>
      <w:r w:rsidR="00632155">
        <w:rPr>
          <w:rFonts w:ascii="Book Antiqua" w:hAnsi="Book Antiqua"/>
          <w:color w:val="000000" w:themeColor="text1"/>
        </w:rPr>
        <w:t>a</w:t>
      </w:r>
      <w:r w:rsidR="007B6CBC" w:rsidRPr="0011027E">
        <w:rPr>
          <w:rFonts w:ascii="Book Antiqua" w:hAnsi="Book Antiqua"/>
          <w:color w:val="000000" w:themeColor="text1"/>
        </w:rPr>
        <w:t xml:space="preserve">rtículo 1343 del Código Civil para aclarar que los contratos de arrendamiento sobre bienes inmuebles que deben constar en documento público son aquellos convenidos por un término mayor de seis (6) años, en concordancia con el </w:t>
      </w:r>
      <w:r w:rsidR="00632155">
        <w:rPr>
          <w:rFonts w:ascii="Book Antiqua" w:hAnsi="Book Antiqua"/>
          <w:color w:val="000000" w:themeColor="text1"/>
        </w:rPr>
        <w:t>a</w:t>
      </w:r>
      <w:r w:rsidR="007B6CBC" w:rsidRPr="0011027E">
        <w:rPr>
          <w:rFonts w:ascii="Book Antiqua" w:hAnsi="Book Antiqua"/>
          <w:color w:val="000000" w:themeColor="text1"/>
        </w:rPr>
        <w:t>rtículo 5 de la Ley</w:t>
      </w:r>
      <w:r w:rsidR="00632155">
        <w:rPr>
          <w:rFonts w:ascii="Book Antiqua" w:hAnsi="Book Antiqua"/>
          <w:color w:val="000000" w:themeColor="text1"/>
        </w:rPr>
        <w:t xml:space="preserve"> Núm.</w:t>
      </w:r>
      <w:r w:rsidR="007B6CBC" w:rsidRPr="0011027E">
        <w:rPr>
          <w:rFonts w:ascii="Book Antiqua" w:hAnsi="Book Antiqua"/>
          <w:color w:val="000000" w:themeColor="text1"/>
        </w:rPr>
        <w:t xml:space="preserve"> 210-2015, según enmendada.</w:t>
      </w:r>
      <w:r w:rsidR="00AC1ED7">
        <w:rPr>
          <w:rStyle w:val="FootnoteReference"/>
          <w:rFonts w:ascii="Book Antiqua" w:hAnsi="Book Antiqua"/>
          <w:color w:val="000000" w:themeColor="text1"/>
        </w:rPr>
        <w:footnoteReference w:id="1"/>
      </w:r>
      <w:r w:rsidR="007B6CBC" w:rsidRPr="0011027E">
        <w:rPr>
          <w:rFonts w:ascii="Book Antiqua" w:hAnsi="Book Antiqua"/>
          <w:color w:val="000000" w:themeColor="text1"/>
        </w:rPr>
        <w:t xml:space="preserve"> Esta enmienda </w:t>
      </w:r>
      <w:r w:rsidR="00995675" w:rsidRPr="0011027E">
        <w:rPr>
          <w:rFonts w:ascii="Book Antiqua" w:hAnsi="Book Antiqua"/>
          <w:color w:val="000000" w:themeColor="text1"/>
        </w:rPr>
        <w:t>busca restituir</w:t>
      </w:r>
      <w:r w:rsidR="007B6CBC" w:rsidRPr="0011027E">
        <w:rPr>
          <w:rFonts w:ascii="Book Antiqua" w:hAnsi="Book Antiqua"/>
          <w:color w:val="000000" w:themeColor="text1"/>
        </w:rPr>
        <w:t xml:space="preserve"> la coherencia del Código</w:t>
      </w:r>
      <w:r w:rsidR="00995675" w:rsidRPr="0011027E">
        <w:rPr>
          <w:rFonts w:ascii="Book Antiqua" w:hAnsi="Book Antiqua"/>
          <w:color w:val="000000" w:themeColor="text1"/>
        </w:rPr>
        <w:t xml:space="preserve"> Civil y reafirmar</w:t>
      </w:r>
      <w:r w:rsidR="007B6CBC" w:rsidRPr="0011027E">
        <w:rPr>
          <w:rFonts w:ascii="Book Antiqua" w:hAnsi="Book Antiqua"/>
          <w:color w:val="000000" w:themeColor="text1"/>
        </w:rPr>
        <w:t xml:space="preserve"> el principio de libertad de forma para los arrendamientos de corta y mediana duración, y fortalece la seguridad jurídica de los arrendamientos de larga duración que requieren publicidad registral</w:t>
      </w:r>
      <w:r w:rsidR="007B6CBC" w:rsidRPr="0011027E">
        <w:rPr>
          <w:color w:val="000000" w:themeColor="text1"/>
          <w:sz w:val="23"/>
          <w:szCs w:val="23"/>
        </w:rPr>
        <w:t>.</w:t>
      </w:r>
      <w:r w:rsidR="008F6CB2" w:rsidRPr="0011027E">
        <w:rPr>
          <w:rStyle w:val="FootnoteReference"/>
          <w:rFonts w:ascii="Book Antiqua" w:eastAsia="Times New Roman" w:hAnsi="Book Antiqua" w:cs="Times New Roman"/>
          <w:color w:val="000000" w:themeColor="text1"/>
          <w:kern w:val="0"/>
          <w14:ligatures w14:val="none"/>
        </w:rPr>
        <w:footnoteReference w:id="2"/>
      </w:r>
      <w:r w:rsidR="00995675" w:rsidRPr="0011027E">
        <w:rPr>
          <w:color w:val="000000" w:themeColor="text1"/>
          <w:sz w:val="23"/>
          <w:szCs w:val="23"/>
        </w:rPr>
        <w:t xml:space="preserve"> </w:t>
      </w:r>
    </w:p>
    <w:p w14:paraId="7990F4D7" w14:textId="77777777" w:rsidR="00632155" w:rsidRDefault="00632155" w:rsidP="008A68C3">
      <w:pPr>
        <w:spacing w:before="120" w:after="120" w:line="288" w:lineRule="auto"/>
        <w:ind w:firstLine="720"/>
        <w:jc w:val="both"/>
        <w:rPr>
          <w:color w:val="000000" w:themeColor="text1"/>
          <w:sz w:val="23"/>
          <w:szCs w:val="23"/>
        </w:rPr>
      </w:pPr>
    </w:p>
    <w:p w14:paraId="248A9EA0" w14:textId="12E28A5B" w:rsidR="007B6CBC" w:rsidRPr="008A68C3" w:rsidRDefault="007B6CBC" w:rsidP="007C4192">
      <w:pPr>
        <w:spacing w:before="100" w:beforeAutospacing="1" w:after="120" w:line="288" w:lineRule="auto"/>
        <w:jc w:val="center"/>
        <w:outlineLvl w:val="2"/>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lastRenderedPageBreak/>
        <w:t>TRASFONDO</w:t>
      </w:r>
    </w:p>
    <w:p w14:paraId="34D32DAF" w14:textId="078C13CA" w:rsidR="008C501D" w:rsidRPr="0011027E" w:rsidRDefault="007B6CBC" w:rsidP="00925780">
      <w:pPr>
        <w:spacing w:before="120" w:after="0" w:line="288" w:lineRule="auto"/>
        <w:ind w:firstLine="720"/>
        <w:jc w:val="both"/>
        <w:rPr>
          <w:rFonts w:ascii="Book Antiqua" w:eastAsia="Times New Roman" w:hAnsi="Book Antiqua" w:cs="Times New Roman"/>
          <w:color w:val="000000" w:themeColor="text1"/>
          <w:kern w:val="0"/>
          <w14:ligatures w14:val="none"/>
        </w:rPr>
      </w:pPr>
      <w:r w:rsidRPr="0011027E">
        <w:rPr>
          <w:rFonts w:ascii="Book Antiqua" w:eastAsia="Times New Roman" w:hAnsi="Book Antiqua" w:cs="Times New Roman"/>
          <w:color w:val="000000" w:themeColor="text1"/>
          <w:kern w:val="0"/>
          <w14:ligatures w14:val="none"/>
        </w:rPr>
        <w:t>Durante sig</w:t>
      </w:r>
      <w:r w:rsidR="00995675" w:rsidRPr="0011027E">
        <w:rPr>
          <w:rFonts w:ascii="Book Antiqua" w:eastAsia="Times New Roman" w:hAnsi="Book Antiqua" w:cs="Times New Roman"/>
          <w:color w:val="000000" w:themeColor="text1"/>
          <w:kern w:val="0"/>
          <w14:ligatures w14:val="none"/>
        </w:rPr>
        <w:t xml:space="preserve">los en Puerto Rico el entendido social y jurídico ha sido </w:t>
      </w:r>
      <w:r w:rsidR="007C4192" w:rsidRPr="0011027E">
        <w:rPr>
          <w:rFonts w:ascii="Book Antiqua" w:eastAsia="Times New Roman" w:hAnsi="Book Antiqua" w:cs="Times New Roman"/>
          <w:color w:val="000000" w:themeColor="text1"/>
          <w:kern w:val="0"/>
          <w14:ligatures w14:val="none"/>
        </w:rPr>
        <w:t>que,</w:t>
      </w:r>
      <w:r w:rsidR="00995675" w:rsidRPr="0011027E">
        <w:rPr>
          <w:rFonts w:ascii="Book Antiqua" w:eastAsia="Times New Roman" w:hAnsi="Book Antiqua" w:cs="Times New Roman"/>
          <w:color w:val="000000" w:themeColor="text1"/>
          <w:kern w:val="0"/>
          <w14:ligatures w14:val="none"/>
        </w:rPr>
        <w:t xml:space="preserve"> </w:t>
      </w:r>
      <w:r w:rsidR="008C501D" w:rsidRPr="0011027E">
        <w:rPr>
          <w:rFonts w:ascii="Book Antiqua" w:eastAsia="Times New Roman" w:hAnsi="Book Antiqua" w:cs="Times New Roman"/>
          <w:color w:val="000000" w:themeColor="text1"/>
          <w:kern w:val="0"/>
          <w14:ligatures w14:val="none"/>
        </w:rPr>
        <w:t xml:space="preserve">para la mayoría de los contratos, </w:t>
      </w:r>
      <w:r w:rsidR="00995675" w:rsidRPr="0011027E">
        <w:rPr>
          <w:rFonts w:ascii="Book Antiqua" w:eastAsia="Times New Roman" w:hAnsi="Book Antiqua" w:cs="Times New Roman"/>
          <w:color w:val="000000" w:themeColor="text1"/>
          <w:kern w:val="0"/>
          <w14:ligatures w14:val="none"/>
        </w:rPr>
        <w:t>los acuerdos verbales son tan válidos como los escritos. Como cuestión de derecho, nuestra tradición es que los contratos no necesitan alguna formalidad específica a menos que alguna ley o norma particular, así como la voluntad de las partes contratantes, así lo requieran.</w:t>
      </w:r>
      <w:r w:rsidR="00995675" w:rsidRPr="0011027E">
        <w:rPr>
          <w:rStyle w:val="FootnoteReference"/>
          <w:rFonts w:ascii="Book Antiqua" w:eastAsia="Times New Roman" w:hAnsi="Book Antiqua" w:cs="Times New Roman"/>
          <w:color w:val="000000" w:themeColor="text1"/>
          <w:kern w:val="0"/>
          <w14:ligatures w14:val="none"/>
        </w:rPr>
        <w:footnoteReference w:id="3"/>
      </w:r>
      <w:r w:rsidR="00995675" w:rsidRPr="0011027E">
        <w:rPr>
          <w:rFonts w:ascii="Book Antiqua" w:eastAsia="Times New Roman" w:hAnsi="Book Antiqua" w:cs="Times New Roman"/>
          <w:color w:val="000000" w:themeColor="text1"/>
          <w:kern w:val="0"/>
          <w14:ligatures w14:val="none"/>
        </w:rPr>
        <w:t xml:space="preserve">  </w:t>
      </w:r>
      <w:r w:rsidR="008C501D" w:rsidRPr="0011027E">
        <w:rPr>
          <w:rFonts w:ascii="Book Antiqua" w:eastAsia="Times New Roman" w:hAnsi="Book Antiqua" w:cs="Times New Roman"/>
          <w:color w:val="000000" w:themeColor="text1"/>
          <w:kern w:val="0"/>
          <w14:ligatures w14:val="none"/>
        </w:rPr>
        <w:t>Sobre este particular el Código Civil</w:t>
      </w:r>
      <w:r w:rsidR="00925780">
        <w:rPr>
          <w:rFonts w:ascii="Book Antiqua" w:eastAsia="Times New Roman" w:hAnsi="Book Antiqua" w:cs="Times New Roman"/>
          <w:color w:val="000000" w:themeColor="text1"/>
          <w:kern w:val="0"/>
          <w14:ligatures w14:val="none"/>
        </w:rPr>
        <w:t xml:space="preserve"> de 1930</w:t>
      </w:r>
      <w:r w:rsidR="008C501D" w:rsidRPr="0011027E">
        <w:rPr>
          <w:rFonts w:ascii="Book Antiqua" w:eastAsia="Times New Roman" w:hAnsi="Book Antiqua" w:cs="Times New Roman"/>
          <w:color w:val="000000" w:themeColor="text1"/>
          <w:kern w:val="0"/>
          <w14:ligatures w14:val="none"/>
        </w:rPr>
        <w:t xml:space="preserve"> indicaba que los contratos se perfeccionan por el mero consentimiento, sin necesidad de ninguna formalidad particular.</w:t>
      </w:r>
      <w:r w:rsidR="008C501D" w:rsidRPr="0011027E">
        <w:rPr>
          <w:rStyle w:val="FootnoteReference"/>
          <w:rFonts w:ascii="Book Antiqua" w:eastAsia="Times New Roman" w:hAnsi="Book Antiqua" w:cs="Times New Roman"/>
          <w:color w:val="000000" w:themeColor="text1"/>
          <w:kern w:val="0"/>
          <w14:ligatures w14:val="none"/>
        </w:rPr>
        <w:footnoteReference w:id="4"/>
      </w:r>
    </w:p>
    <w:p w14:paraId="44A901E8" w14:textId="3761D44B" w:rsidR="00FB639F" w:rsidRPr="008A68C3" w:rsidRDefault="00995675" w:rsidP="006260A9">
      <w:pPr>
        <w:spacing w:after="0" w:line="288" w:lineRule="auto"/>
        <w:ind w:firstLine="720"/>
        <w:jc w:val="both"/>
        <w:rPr>
          <w:rFonts w:ascii="Book Antiqua" w:hAnsi="Book Antiqua"/>
          <w:color w:val="000000" w:themeColor="text1"/>
        </w:rPr>
      </w:pPr>
      <w:r w:rsidRPr="0011027E">
        <w:rPr>
          <w:rFonts w:ascii="Book Antiqua" w:eastAsia="Times New Roman" w:hAnsi="Book Antiqua" w:cs="Times New Roman"/>
          <w:color w:val="000000" w:themeColor="text1"/>
          <w:kern w:val="0"/>
          <w14:ligatures w14:val="none"/>
        </w:rPr>
        <w:t xml:space="preserve">Este entendimiento legal también se extiende </w:t>
      </w:r>
      <w:r w:rsidR="00FB639F" w:rsidRPr="0011027E">
        <w:rPr>
          <w:rFonts w:ascii="Book Antiqua" w:eastAsia="Times New Roman" w:hAnsi="Book Antiqua" w:cs="Times New Roman"/>
          <w:color w:val="000000" w:themeColor="text1"/>
          <w:kern w:val="0"/>
          <w14:ligatures w14:val="none"/>
        </w:rPr>
        <w:t xml:space="preserve">a la contratación sobre el arrendamiento, </w:t>
      </w:r>
      <w:r w:rsidR="00925780">
        <w:rPr>
          <w:rFonts w:ascii="Book Antiqua" w:eastAsia="Times New Roman" w:hAnsi="Book Antiqua" w:cs="Times New Roman"/>
          <w:color w:val="000000" w:themeColor="text1"/>
          <w:kern w:val="0"/>
          <w14:ligatures w14:val="none"/>
        </w:rPr>
        <w:t xml:space="preserve">lo cual </w:t>
      </w:r>
      <w:r w:rsidR="00FB639F" w:rsidRPr="0011027E">
        <w:rPr>
          <w:rFonts w:ascii="Book Antiqua" w:eastAsia="Times New Roman" w:hAnsi="Book Antiqua" w:cs="Times New Roman"/>
          <w:color w:val="000000" w:themeColor="text1"/>
          <w:kern w:val="0"/>
          <w14:ligatures w14:val="none"/>
        </w:rPr>
        <w:t xml:space="preserve">incluye los acuerdos sobre la renta de bienes inmuebles. Sobre este tema </w:t>
      </w:r>
      <w:r w:rsidR="00925780">
        <w:rPr>
          <w:rFonts w:ascii="Book Antiqua" w:eastAsia="Times New Roman" w:hAnsi="Book Antiqua" w:cs="Times New Roman"/>
          <w:color w:val="000000" w:themeColor="text1"/>
          <w:kern w:val="0"/>
          <w14:ligatures w14:val="none"/>
        </w:rPr>
        <w:t>el</w:t>
      </w:r>
      <w:r w:rsidR="00E83EBA">
        <w:rPr>
          <w:rFonts w:ascii="Book Antiqua" w:eastAsia="Times New Roman" w:hAnsi="Book Antiqua" w:cs="Times New Roman"/>
          <w:color w:val="000000" w:themeColor="text1"/>
          <w:kern w:val="0"/>
          <w14:ligatures w14:val="none"/>
        </w:rPr>
        <w:t xml:space="preserve"> a</w:t>
      </w:r>
      <w:r w:rsidR="00E83EBA" w:rsidRPr="0011027E">
        <w:rPr>
          <w:rFonts w:ascii="Book Antiqua" w:eastAsia="Times New Roman" w:hAnsi="Book Antiqua" w:cs="Times New Roman"/>
          <w:color w:val="000000" w:themeColor="text1"/>
          <w:kern w:val="0"/>
          <w14:ligatures w14:val="none"/>
        </w:rPr>
        <w:t>rtículo 1342</w:t>
      </w:r>
      <w:r w:rsidR="00E83EBA">
        <w:rPr>
          <w:rFonts w:ascii="Book Antiqua" w:eastAsia="Times New Roman" w:hAnsi="Book Antiqua" w:cs="Times New Roman"/>
          <w:color w:val="000000" w:themeColor="text1"/>
          <w:kern w:val="0"/>
          <w14:ligatures w14:val="none"/>
        </w:rPr>
        <w:t xml:space="preserve"> del</w:t>
      </w:r>
      <w:r w:rsidR="00925780">
        <w:rPr>
          <w:rFonts w:ascii="Book Antiqua" w:eastAsia="Times New Roman" w:hAnsi="Book Antiqua" w:cs="Times New Roman"/>
          <w:color w:val="000000" w:themeColor="text1"/>
          <w:kern w:val="0"/>
          <w14:ligatures w14:val="none"/>
        </w:rPr>
        <w:t xml:space="preserve"> </w:t>
      </w:r>
      <w:r w:rsidR="00FB639F" w:rsidRPr="0011027E">
        <w:rPr>
          <w:rFonts w:ascii="Book Antiqua" w:eastAsia="Times New Roman" w:hAnsi="Book Antiqua" w:cs="Times New Roman"/>
          <w:color w:val="000000" w:themeColor="text1"/>
          <w:kern w:val="0"/>
          <w14:ligatures w14:val="none"/>
        </w:rPr>
        <w:t>Código Civil</w:t>
      </w:r>
      <w:r w:rsidR="00F1568A">
        <w:rPr>
          <w:rFonts w:ascii="Book Antiqua" w:eastAsia="Times New Roman" w:hAnsi="Book Antiqua" w:cs="Times New Roman"/>
          <w:color w:val="000000" w:themeColor="text1"/>
          <w:kern w:val="0"/>
          <w14:ligatures w14:val="none"/>
        </w:rPr>
        <w:t xml:space="preserve"> establece que e</w:t>
      </w:r>
      <w:r w:rsidRPr="008A68C3">
        <w:rPr>
          <w:rFonts w:ascii="Book Antiqua" w:hAnsi="Book Antiqua" w:cs="Times New Roman"/>
          <w:color w:val="000000" w:themeColor="text1"/>
        </w:rPr>
        <w:t>l contrato de arrendamiento no requiere, para su validez, formalidad especial alguna, salvo</w:t>
      </w:r>
      <w:r w:rsidR="00FB639F" w:rsidRPr="008A68C3">
        <w:rPr>
          <w:rFonts w:ascii="Book Antiqua" w:hAnsi="Book Antiqua" w:cs="Times New Roman"/>
          <w:color w:val="000000" w:themeColor="text1"/>
        </w:rPr>
        <w:t xml:space="preserve"> </w:t>
      </w:r>
      <w:r w:rsidRPr="008A68C3">
        <w:rPr>
          <w:rFonts w:ascii="Book Antiqua" w:hAnsi="Book Antiqua" w:cs="Times New Roman"/>
          <w:color w:val="000000" w:themeColor="text1"/>
        </w:rPr>
        <w:t>cuando el objeto es un bien inmueble y se pretende inscribir en el Registro de la Propiedad para</w:t>
      </w:r>
      <w:r w:rsidR="00FB639F" w:rsidRPr="008A68C3">
        <w:rPr>
          <w:rFonts w:ascii="Book Antiqua" w:hAnsi="Book Antiqua" w:cs="Times New Roman"/>
          <w:color w:val="000000" w:themeColor="text1"/>
        </w:rPr>
        <w:t xml:space="preserve"> </w:t>
      </w:r>
      <w:r w:rsidRPr="008A68C3">
        <w:rPr>
          <w:rFonts w:ascii="Book Antiqua" w:hAnsi="Book Antiqua" w:cs="Times New Roman"/>
          <w:color w:val="000000" w:themeColor="text1"/>
        </w:rPr>
        <w:t>que tenga eficacia ante tercero</w:t>
      </w:r>
      <w:r w:rsidRPr="008A68C3">
        <w:rPr>
          <w:rFonts w:ascii="Book Antiqua" w:hAnsi="Book Antiqua"/>
          <w:color w:val="000000" w:themeColor="text1"/>
        </w:rPr>
        <w:t>.</w:t>
      </w:r>
      <w:r w:rsidR="00FB639F" w:rsidRPr="008A68C3">
        <w:rPr>
          <w:rFonts w:ascii="Book Antiqua" w:hAnsi="Book Antiqua"/>
          <w:color w:val="000000" w:themeColor="text1"/>
        </w:rPr>
        <w:t xml:space="preserve"> </w:t>
      </w:r>
    </w:p>
    <w:p w14:paraId="684C836A" w14:textId="3C453067" w:rsidR="008C501D" w:rsidRPr="002D2394" w:rsidRDefault="00FB639F" w:rsidP="006260A9">
      <w:pPr>
        <w:spacing w:after="0" w:line="288" w:lineRule="auto"/>
        <w:ind w:firstLine="720"/>
        <w:jc w:val="both"/>
        <w:rPr>
          <w:rFonts w:ascii="Book Antiqua" w:hAnsi="Book Antiqua"/>
          <w:color w:val="000000" w:themeColor="text1"/>
        </w:rPr>
      </w:pPr>
      <w:r w:rsidRPr="002D2394">
        <w:rPr>
          <w:rFonts w:ascii="Book Antiqua" w:hAnsi="Book Antiqua"/>
          <w:color w:val="000000" w:themeColor="text1"/>
        </w:rPr>
        <w:t xml:space="preserve">Sin embargo, el </w:t>
      </w:r>
      <w:r w:rsidR="00EF15F0" w:rsidRPr="002D2394">
        <w:rPr>
          <w:rFonts w:ascii="Book Antiqua" w:hAnsi="Book Antiqua"/>
          <w:color w:val="000000" w:themeColor="text1"/>
        </w:rPr>
        <w:t>a</w:t>
      </w:r>
      <w:r w:rsidRPr="002D2394">
        <w:rPr>
          <w:rFonts w:ascii="Book Antiqua" w:hAnsi="Book Antiqua"/>
          <w:color w:val="000000" w:themeColor="text1"/>
        </w:rPr>
        <w:t>rtículo</w:t>
      </w:r>
      <w:r w:rsidR="00EF15F0" w:rsidRPr="002D2394">
        <w:rPr>
          <w:rFonts w:ascii="Book Antiqua" w:hAnsi="Book Antiqua"/>
          <w:color w:val="000000" w:themeColor="text1"/>
        </w:rPr>
        <w:t xml:space="preserve"> 134</w:t>
      </w:r>
      <w:r w:rsidR="002D2394" w:rsidRPr="002D2394">
        <w:rPr>
          <w:rFonts w:ascii="Book Antiqua" w:hAnsi="Book Antiqua"/>
          <w:color w:val="000000" w:themeColor="text1"/>
        </w:rPr>
        <w:t>3</w:t>
      </w:r>
      <w:r w:rsidRPr="002D2394">
        <w:rPr>
          <w:rFonts w:ascii="Book Antiqua" w:hAnsi="Book Antiqua"/>
          <w:color w:val="000000" w:themeColor="text1"/>
        </w:rPr>
        <w:t xml:space="preserve"> dispone</w:t>
      </w:r>
      <w:r w:rsidR="002D2394" w:rsidRPr="002D2394">
        <w:rPr>
          <w:rFonts w:ascii="Book Antiqua" w:hAnsi="Book Antiqua"/>
          <w:color w:val="000000" w:themeColor="text1"/>
        </w:rPr>
        <w:t xml:space="preserve"> que</w:t>
      </w:r>
      <w:r w:rsidR="002D2394">
        <w:rPr>
          <w:rFonts w:ascii="Book Antiqua" w:hAnsi="Book Antiqua"/>
          <w:color w:val="000000" w:themeColor="text1"/>
        </w:rPr>
        <w:t>,</w:t>
      </w:r>
      <w:r w:rsidR="002D2394" w:rsidRPr="002D2394">
        <w:rPr>
          <w:rFonts w:ascii="Book Antiqua" w:hAnsi="Book Antiqua"/>
          <w:color w:val="000000" w:themeColor="text1"/>
        </w:rPr>
        <w:t xml:space="preserve"> </w:t>
      </w:r>
      <w:r w:rsidR="002D2394">
        <w:rPr>
          <w:rFonts w:ascii="Book Antiqua" w:hAnsi="Book Antiqua"/>
          <w:color w:val="000000" w:themeColor="text1"/>
        </w:rPr>
        <w:t>c</w:t>
      </w:r>
      <w:r w:rsidR="008C501D" w:rsidRPr="002D2394">
        <w:rPr>
          <w:rFonts w:ascii="Book Antiqua" w:hAnsi="Book Antiqua"/>
          <w:color w:val="000000" w:themeColor="text1"/>
        </w:rPr>
        <w:t xml:space="preserve">uando el arrendamiento es convenido por un término no mayor de seis (6) años, debe constar por escrito. </w:t>
      </w:r>
    </w:p>
    <w:p w14:paraId="2CEB4D2D" w14:textId="736E3F96" w:rsidR="008C501D" w:rsidRPr="0011027E" w:rsidRDefault="008C501D" w:rsidP="006260A9">
      <w:pPr>
        <w:spacing w:after="0" w:line="288" w:lineRule="auto"/>
        <w:ind w:firstLine="720"/>
        <w:jc w:val="both"/>
        <w:rPr>
          <w:rFonts w:ascii="Book Antiqua" w:hAnsi="Book Antiqua"/>
          <w:color w:val="000000" w:themeColor="text1"/>
        </w:rPr>
      </w:pPr>
      <w:r w:rsidRPr="0011027E">
        <w:rPr>
          <w:rFonts w:ascii="Book Antiqua" w:hAnsi="Book Antiqua"/>
          <w:color w:val="000000" w:themeColor="text1"/>
        </w:rPr>
        <w:t xml:space="preserve">Esta disposición parece significar que sólo un contrato por un término menor a seis (6) años es el que debe constar por escrito. </w:t>
      </w:r>
      <w:r w:rsidR="00250A8E">
        <w:rPr>
          <w:rFonts w:ascii="Book Antiqua" w:hAnsi="Book Antiqua"/>
          <w:color w:val="000000" w:themeColor="text1"/>
        </w:rPr>
        <w:t>E</w:t>
      </w:r>
      <w:r w:rsidRPr="0011027E">
        <w:rPr>
          <w:rFonts w:ascii="Book Antiqua" w:hAnsi="Book Antiqua"/>
          <w:color w:val="000000" w:themeColor="text1"/>
        </w:rPr>
        <w:t xml:space="preserve">sa no fue la intención legislativa original. </w:t>
      </w:r>
      <w:r w:rsidR="001C2D3C">
        <w:rPr>
          <w:rFonts w:ascii="Book Antiqua" w:hAnsi="Book Antiqua"/>
          <w:color w:val="000000" w:themeColor="text1"/>
        </w:rPr>
        <w:t>U</w:t>
      </w:r>
      <w:r w:rsidRPr="0011027E">
        <w:rPr>
          <w:rFonts w:ascii="Book Antiqua" w:hAnsi="Book Antiqua"/>
          <w:color w:val="000000" w:themeColor="text1"/>
        </w:rPr>
        <w:t>no de los informes de</w:t>
      </w:r>
      <w:r w:rsidR="00572CD2" w:rsidRPr="0011027E">
        <w:rPr>
          <w:rFonts w:ascii="Book Antiqua" w:hAnsi="Book Antiqua"/>
          <w:color w:val="000000" w:themeColor="text1"/>
        </w:rPr>
        <w:t>l trámite legislativo de la pieza que se convirtió en el Código Civil en 2020</w:t>
      </w:r>
      <w:r w:rsidR="001C2D3C">
        <w:rPr>
          <w:rFonts w:ascii="Book Antiqua" w:hAnsi="Book Antiqua"/>
          <w:color w:val="000000" w:themeColor="text1"/>
        </w:rPr>
        <w:t xml:space="preserve"> tiene evidencia de la intención original</w:t>
      </w:r>
      <w:r w:rsidR="00572CD2" w:rsidRPr="0011027E">
        <w:rPr>
          <w:rFonts w:ascii="Book Antiqua" w:hAnsi="Book Antiqua"/>
          <w:color w:val="000000" w:themeColor="text1"/>
        </w:rPr>
        <w:t>:</w:t>
      </w:r>
    </w:p>
    <w:p w14:paraId="7E64FFD6" w14:textId="0DD6CA1E" w:rsidR="00572CD2" w:rsidRDefault="00572CD2" w:rsidP="00572CD2">
      <w:pPr>
        <w:spacing w:before="120" w:after="120" w:line="240" w:lineRule="auto"/>
        <w:ind w:left="720"/>
        <w:jc w:val="both"/>
        <w:rPr>
          <w:rFonts w:ascii="Book Antiqua" w:hAnsi="Book Antiqua" w:cs="Times New Roman"/>
          <w:color w:val="000000"/>
        </w:rPr>
      </w:pPr>
      <w:r w:rsidRPr="008A68C3">
        <w:rPr>
          <w:rFonts w:ascii="Book Antiqua" w:hAnsi="Book Antiqua" w:cs="Times New Roman"/>
          <w:color w:val="000000"/>
        </w:rPr>
        <w:t>Finalmente, en cuanto a las formalidades del contrato de arrendamiento, solicitan que se elimine la generalidad de la nulidad de un negocio jurídico por inobservancia de requisito de ley (a menos que la ley especial o negocios específicos así lo requieran), así como que se elimine el requisito de firmar los contratos de menos de seis (6) años ante un notario.</w:t>
      </w:r>
      <w:r w:rsidRPr="008A68C3">
        <w:rPr>
          <w:rStyle w:val="FootnoteReference"/>
          <w:rFonts w:ascii="Book Antiqua" w:hAnsi="Book Antiqua" w:cs="Times New Roman"/>
          <w:color w:val="000000"/>
        </w:rPr>
        <w:footnoteReference w:id="5"/>
      </w:r>
    </w:p>
    <w:p w14:paraId="2459E245" w14:textId="77777777" w:rsidR="00D97A1E" w:rsidRPr="008A68C3" w:rsidRDefault="00D97A1E" w:rsidP="00572CD2">
      <w:pPr>
        <w:spacing w:before="120" w:after="120" w:line="240" w:lineRule="auto"/>
        <w:ind w:left="720"/>
        <w:jc w:val="both"/>
        <w:rPr>
          <w:rFonts w:ascii="Book Antiqua" w:hAnsi="Book Antiqua" w:cs="Times New Roman"/>
          <w:color w:val="000000" w:themeColor="text1"/>
        </w:rPr>
      </w:pPr>
    </w:p>
    <w:p w14:paraId="4B8E4E9A" w14:textId="73D83EE7" w:rsidR="00FB639F" w:rsidRPr="0011027E" w:rsidRDefault="00CE5A0A" w:rsidP="008A68C3">
      <w:pPr>
        <w:spacing w:before="120" w:after="120" w:line="288" w:lineRule="auto"/>
        <w:ind w:firstLine="720"/>
        <w:jc w:val="both"/>
        <w:rPr>
          <w:rFonts w:ascii="Book Antiqua" w:hAnsi="Book Antiqua"/>
          <w:color w:val="000000" w:themeColor="text1"/>
        </w:rPr>
      </w:pPr>
      <w:r>
        <w:rPr>
          <w:rFonts w:ascii="Book Antiqua" w:hAnsi="Book Antiqua"/>
          <w:color w:val="000000" w:themeColor="text1"/>
        </w:rPr>
        <w:lastRenderedPageBreak/>
        <w:t>L</w:t>
      </w:r>
      <w:r w:rsidR="00FB639F" w:rsidRPr="0011027E">
        <w:rPr>
          <w:rFonts w:ascii="Book Antiqua" w:hAnsi="Book Antiqua"/>
          <w:color w:val="000000" w:themeColor="text1"/>
        </w:rPr>
        <w:t xml:space="preserve">a actual redacción del </w:t>
      </w:r>
      <w:r>
        <w:rPr>
          <w:rFonts w:ascii="Book Antiqua" w:hAnsi="Book Antiqua"/>
          <w:color w:val="000000" w:themeColor="text1"/>
        </w:rPr>
        <w:t>artículo</w:t>
      </w:r>
      <w:r w:rsidR="00FB639F" w:rsidRPr="0011027E">
        <w:rPr>
          <w:rFonts w:ascii="Book Antiqua" w:hAnsi="Book Antiqua"/>
          <w:color w:val="000000" w:themeColor="text1"/>
        </w:rPr>
        <w:t xml:space="preserve"> 1343 es contraria al esquema de nuestro derecho, el cual contiene una fuerte tradición civilista. </w:t>
      </w:r>
      <w:r w:rsidR="00984139">
        <w:rPr>
          <w:rFonts w:ascii="Book Antiqua" w:hAnsi="Book Antiqua"/>
          <w:color w:val="000000" w:themeColor="text1"/>
        </w:rPr>
        <w:t>E</w:t>
      </w:r>
      <w:r w:rsidR="00572CD2" w:rsidRPr="0011027E">
        <w:rPr>
          <w:rFonts w:ascii="Book Antiqua" w:hAnsi="Book Antiqua"/>
          <w:color w:val="000000" w:themeColor="text1"/>
        </w:rPr>
        <w:t xml:space="preserve">l </w:t>
      </w:r>
      <w:r w:rsidR="00984139">
        <w:rPr>
          <w:rFonts w:ascii="Book Antiqua" w:hAnsi="Book Antiqua"/>
          <w:color w:val="000000" w:themeColor="text1"/>
        </w:rPr>
        <w:t>a</w:t>
      </w:r>
      <w:r w:rsidR="00572CD2" w:rsidRPr="0011027E">
        <w:rPr>
          <w:rFonts w:ascii="Book Antiqua" w:hAnsi="Book Antiqua"/>
          <w:color w:val="000000" w:themeColor="text1"/>
        </w:rPr>
        <w:t>rtículo 5 de la Ley</w:t>
      </w:r>
      <w:r w:rsidR="00984139">
        <w:rPr>
          <w:rFonts w:ascii="Book Antiqua" w:hAnsi="Book Antiqua"/>
          <w:color w:val="000000" w:themeColor="text1"/>
        </w:rPr>
        <w:t xml:space="preserve"> Núm.</w:t>
      </w:r>
      <w:r w:rsidR="00572CD2" w:rsidRPr="0011027E">
        <w:rPr>
          <w:rFonts w:ascii="Book Antiqua" w:hAnsi="Book Antiqua"/>
          <w:color w:val="000000" w:themeColor="text1"/>
        </w:rPr>
        <w:t xml:space="preserve"> 2</w:t>
      </w:r>
      <w:r w:rsidR="00AB14BA">
        <w:rPr>
          <w:rFonts w:ascii="Book Antiqua" w:hAnsi="Book Antiqua"/>
          <w:color w:val="000000" w:themeColor="text1"/>
        </w:rPr>
        <w:t>1</w:t>
      </w:r>
      <w:r w:rsidR="00572CD2" w:rsidRPr="0011027E">
        <w:rPr>
          <w:rFonts w:ascii="Book Antiqua" w:hAnsi="Book Antiqua"/>
          <w:color w:val="000000" w:themeColor="text1"/>
        </w:rPr>
        <w:t xml:space="preserve">0-2015, </w:t>
      </w:r>
      <w:r w:rsidR="00984139">
        <w:rPr>
          <w:rFonts w:ascii="Book Antiqua" w:hAnsi="Book Antiqua"/>
          <w:color w:val="000000" w:themeColor="text1"/>
        </w:rPr>
        <w:t xml:space="preserve">dice lo </w:t>
      </w:r>
      <w:r w:rsidR="00572CD2" w:rsidRPr="0011027E">
        <w:rPr>
          <w:rFonts w:ascii="Book Antiqua" w:hAnsi="Book Antiqua"/>
          <w:color w:val="000000" w:themeColor="text1"/>
        </w:rPr>
        <w:t xml:space="preserve">siguiente: </w:t>
      </w:r>
    </w:p>
    <w:p w14:paraId="377742E9" w14:textId="224E84E3" w:rsidR="00FB639F" w:rsidRPr="0011027E" w:rsidRDefault="00572CD2" w:rsidP="001658E0">
      <w:pPr>
        <w:spacing w:after="120" w:line="240" w:lineRule="auto"/>
        <w:ind w:left="720"/>
        <w:jc w:val="both"/>
        <w:rPr>
          <w:rFonts w:ascii="Book Antiqua" w:hAnsi="Book Antiqua"/>
          <w:color w:val="000000" w:themeColor="text1"/>
        </w:rPr>
      </w:pPr>
      <w:r w:rsidRPr="0011027E">
        <w:rPr>
          <w:rFonts w:ascii="Book Antiqua" w:hAnsi="Book Antiqua"/>
          <w:color w:val="000000" w:themeColor="text1"/>
        </w:rPr>
        <w:t xml:space="preserve">Los contratos de arrendamiento de bienes inmuebles se podrán inscribir  cuando sean por un </w:t>
      </w:r>
      <w:r w:rsidRPr="0011027E">
        <w:rPr>
          <w:rFonts w:ascii="Book Antiqua" w:hAnsi="Book Antiqua"/>
          <w:b/>
          <w:bCs/>
          <w:color w:val="000000" w:themeColor="text1"/>
        </w:rPr>
        <w:t>término de seis (6) años o más, o cuando hubiese convenio de las partes para que se inscriban.</w:t>
      </w:r>
      <w:r w:rsidRPr="0011027E">
        <w:rPr>
          <w:rFonts w:ascii="Book Antiqua" w:hAnsi="Book Antiqua"/>
          <w:color w:val="000000" w:themeColor="text1"/>
        </w:rPr>
        <w:t xml:space="preserve"> También se podrá inscribir la cesión del arrendamiento siempre y cuando surja del propio contrato.  La opción de compra contenida en un contrato de arrendamiento será inscribible, única y exclusivamente por la duración del arrendamiento sin incluir la prórroga.  Las inscripciones de contratos de arrendamiento, o subarrendamiento, en las cuales conste un pacto o condición de prórroga, no serán canceladas hasta que expire el plazo de dicha prórroga o cuando las partes obligadas así lo acuerden mediante escritura pública. </w:t>
      </w:r>
      <w:r w:rsidRPr="0011027E">
        <w:rPr>
          <w:rStyle w:val="FootnoteReference"/>
          <w:rFonts w:ascii="Book Antiqua" w:hAnsi="Book Antiqua"/>
          <w:color w:val="000000" w:themeColor="text1"/>
        </w:rPr>
        <w:footnoteReference w:id="6"/>
      </w:r>
    </w:p>
    <w:p w14:paraId="1019624F" w14:textId="1BE94EF7" w:rsidR="0032132D" w:rsidRPr="008A68C3" w:rsidRDefault="0032132D" w:rsidP="001658E0">
      <w:pPr>
        <w:spacing w:after="120" w:line="360" w:lineRule="auto"/>
        <w:ind w:firstLine="720"/>
        <w:jc w:val="center"/>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t>ANÁLISIS DE LA MEDIDA</w:t>
      </w:r>
    </w:p>
    <w:p w14:paraId="2311ACE7" w14:textId="28B35C85" w:rsidR="003F0737" w:rsidRPr="0011027E" w:rsidRDefault="005B47AC" w:rsidP="005F29B5">
      <w:pPr>
        <w:spacing w:after="12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Esta comisión </w:t>
      </w:r>
      <w:r w:rsidR="00814E8F" w:rsidRPr="0011027E">
        <w:rPr>
          <w:rFonts w:ascii="Book Antiqua" w:eastAsia="Times New Roman" w:hAnsi="Book Antiqua" w:cs="Times New Roman"/>
          <w:color w:val="000000" w:themeColor="text1"/>
          <w:kern w:val="0"/>
          <w14:ligatures w14:val="none"/>
        </w:rPr>
        <w:t>consideró los</w:t>
      </w:r>
      <w:r w:rsidR="004A4966" w:rsidRPr="0011027E">
        <w:rPr>
          <w:rFonts w:ascii="Book Antiqua" w:eastAsia="Times New Roman" w:hAnsi="Book Antiqua" w:cs="Times New Roman"/>
          <w:color w:val="000000" w:themeColor="text1"/>
          <w:kern w:val="0"/>
          <w14:ligatures w14:val="none"/>
        </w:rPr>
        <w:t xml:space="preserve"> memoriales</w:t>
      </w:r>
      <w:r w:rsidR="0022774A" w:rsidRPr="0011027E">
        <w:rPr>
          <w:rFonts w:ascii="Book Antiqua" w:eastAsia="Times New Roman" w:hAnsi="Book Antiqua" w:cs="Times New Roman"/>
          <w:color w:val="000000" w:themeColor="text1"/>
          <w:kern w:val="0"/>
          <w14:ligatures w14:val="none"/>
        </w:rPr>
        <w:t xml:space="preserve"> explicativos </w:t>
      </w:r>
      <w:r w:rsidR="003F0737" w:rsidRPr="0011027E">
        <w:rPr>
          <w:rFonts w:ascii="Book Antiqua" w:eastAsia="Times New Roman" w:hAnsi="Book Antiqua" w:cs="Times New Roman"/>
          <w:color w:val="000000" w:themeColor="text1"/>
          <w:kern w:val="0"/>
          <w14:ligatures w14:val="none"/>
        </w:rPr>
        <w:t>a las siguientes entidades</w:t>
      </w:r>
      <w:r w:rsidR="004A4966" w:rsidRPr="0011027E">
        <w:rPr>
          <w:rFonts w:ascii="Book Antiqua" w:eastAsia="Times New Roman" w:hAnsi="Book Antiqua" w:cs="Times New Roman"/>
          <w:color w:val="000000" w:themeColor="text1"/>
          <w:kern w:val="0"/>
          <w14:ligatures w14:val="none"/>
        </w:rPr>
        <w:t>:</w:t>
      </w:r>
      <w:r w:rsidR="00A174F1" w:rsidRPr="0011027E">
        <w:rPr>
          <w:rFonts w:ascii="Book Antiqua" w:eastAsia="Times New Roman" w:hAnsi="Book Antiqua" w:cs="Times New Roman"/>
          <w:color w:val="000000" w:themeColor="text1"/>
          <w:kern w:val="0"/>
          <w14:ligatures w14:val="none"/>
        </w:rPr>
        <w:t xml:space="preserve"> </w:t>
      </w:r>
      <w:r w:rsidR="004A4966" w:rsidRPr="0011027E">
        <w:rPr>
          <w:rFonts w:ascii="Book Antiqua" w:eastAsia="Times New Roman" w:hAnsi="Book Antiqua" w:cs="Times New Roman"/>
          <w:color w:val="000000" w:themeColor="text1"/>
          <w:kern w:val="0"/>
          <w14:ligatures w14:val="none"/>
        </w:rPr>
        <w:t xml:space="preserve">(1) </w:t>
      </w:r>
      <w:r w:rsidR="009F33BB" w:rsidRPr="0011027E">
        <w:rPr>
          <w:rFonts w:ascii="Book Antiqua" w:eastAsia="Times New Roman" w:hAnsi="Book Antiqua" w:cs="Times New Roman"/>
          <w:color w:val="000000" w:themeColor="text1"/>
          <w:kern w:val="0"/>
          <w14:ligatures w14:val="none"/>
        </w:rPr>
        <w:t xml:space="preserve">el </w:t>
      </w:r>
      <w:r w:rsidR="009F33BB" w:rsidRPr="0011027E">
        <w:rPr>
          <w:rFonts w:ascii="Book Antiqua" w:hAnsi="Book Antiqua"/>
          <w:color w:val="000000" w:themeColor="text1"/>
        </w:rPr>
        <w:t>Departamento de Justicia</w:t>
      </w:r>
      <w:r w:rsidR="00A174F1" w:rsidRPr="0011027E">
        <w:rPr>
          <w:rFonts w:ascii="Book Antiqua" w:hAnsi="Book Antiqua"/>
          <w:color w:val="000000" w:themeColor="text1"/>
        </w:rPr>
        <w:t xml:space="preserve">, </w:t>
      </w:r>
      <w:r w:rsidR="004A4966" w:rsidRPr="0011027E">
        <w:rPr>
          <w:rFonts w:ascii="Book Antiqua" w:hAnsi="Book Antiqua"/>
          <w:color w:val="000000" w:themeColor="text1"/>
        </w:rPr>
        <w:t xml:space="preserve">(2) </w:t>
      </w:r>
      <w:r w:rsidR="009F33BB" w:rsidRPr="0011027E">
        <w:rPr>
          <w:rFonts w:ascii="Book Antiqua" w:hAnsi="Book Antiqua"/>
          <w:color w:val="000000" w:themeColor="text1"/>
        </w:rPr>
        <w:t xml:space="preserve">la </w:t>
      </w:r>
      <w:r w:rsidR="000E435D" w:rsidRPr="0011027E">
        <w:rPr>
          <w:rFonts w:ascii="Book Antiqua" w:hAnsi="Book Antiqua"/>
          <w:color w:val="000000" w:themeColor="text1"/>
        </w:rPr>
        <w:t>Oficina de Servicios Legislativos</w:t>
      </w:r>
      <w:r w:rsidR="00A174F1" w:rsidRPr="0011027E">
        <w:rPr>
          <w:rFonts w:ascii="Book Antiqua" w:hAnsi="Book Antiqua"/>
          <w:color w:val="000000" w:themeColor="text1"/>
        </w:rPr>
        <w:t>,</w:t>
      </w:r>
      <w:r w:rsidR="004A4966" w:rsidRPr="0011027E">
        <w:rPr>
          <w:rFonts w:ascii="Book Antiqua" w:hAnsi="Book Antiqua"/>
          <w:color w:val="000000" w:themeColor="text1"/>
        </w:rPr>
        <w:t xml:space="preserve"> y (3) </w:t>
      </w:r>
      <w:r w:rsidR="009F33BB" w:rsidRPr="0011027E">
        <w:rPr>
          <w:rFonts w:ascii="Book Antiqua" w:hAnsi="Book Antiqua"/>
          <w:color w:val="000000" w:themeColor="text1"/>
        </w:rPr>
        <w:t xml:space="preserve">el Colegio de </w:t>
      </w:r>
      <w:proofErr w:type="gramStart"/>
      <w:r w:rsidR="009F33BB" w:rsidRPr="0011027E">
        <w:rPr>
          <w:rFonts w:ascii="Book Antiqua" w:hAnsi="Book Antiqua"/>
          <w:color w:val="000000" w:themeColor="text1"/>
        </w:rPr>
        <w:t>Abogados y Abogadas</w:t>
      </w:r>
      <w:proofErr w:type="gramEnd"/>
      <w:r w:rsidR="009F33BB" w:rsidRPr="0011027E">
        <w:rPr>
          <w:rFonts w:ascii="Book Antiqua" w:hAnsi="Book Antiqua"/>
          <w:color w:val="000000" w:themeColor="text1"/>
        </w:rPr>
        <w:t xml:space="preserve"> de Puerto Rico</w:t>
      </w:r>
      <w:r w:rsidR="00AB646A" w:rsidRPr="0011027E">
        <w:rPr>
          <w:rFonts w:ascii="Book Antiqua" w:eastAsia="Times New Roman" w:hAnsi="Book Antiqua" w:cs="Times New Roman"/>
          <w:color w:val="000000" w:themeColor="text1"/>
          <w:kern w:val="0"/>
          <w14:ligatures w14:val="none"/>
        </w:rPr>
        <w:t>.</w:t>
      </w:r>
      <w:r w:rsidR="003F0737" w:rsidRPr="0011027E">
        <w:rPr>
          <w:rFonts w:ascii="Book Antiqua" w:eastAsia="Times New Roman" w:hAnsi="Book Antiqua" w:cs="Times New Roman"/>
          <w:color w:val="000000" w:themeColor="text1"/>
          <w:kern w:val="0"/>
          <w14:ligatures w14:val="none"/>
        </w:rPr>
        <w:t xml:space="preserve"> </w:t>
      </w:r>
      <w:r w:rsidR="00494824" w:rsidRPr="0011027E">
        <w:rPr>
          <w:rFonts w:ascii="Book Antiqua" w:eastAsia="Times New Roman" w:hAnsi="Book Antiqua" w:cs="Times New Roman"/>
          <w:color w:val="000000" w:themeColor="text1"/>
          <w:kern w:val="0"/>
          <w14:ligatures w14:val="none"/>
        </w:rPr>
        <w:t>A</w:t>
      </w:r>
      <w:r w:rsidR="003F0737" w:rsidRPr="0011027E">
        <w:rPr>
          <w:rFonts w:ascii="Book Antiqua" w:eastAsia="Times New Roman" w:hAnsi="Book Antiqua" w:cs="Times New Roman"/>
          <w:color w:val="000000" w:themeColor="text1"/>
          <w:kern w:val="0"/>
          <w14:ligatures w14:val="none"/>
        </w:rPr>
        <w:t xml:space="preserve"> </w:t>
      </w:r>
      <w:r w:rsidR="005F29B5" w:rsidRPr="0011027E">
        <w:rPr>
          <w:rFonts w:ascii="Book Antiqua" w:eastAsia="Times New Roman" w:hAnsi="Book Antiqua" w:cs="Times New Roman"/>
          <w:color w:val="000000" w:themeColor="text1"/>
          <w:kern w:val="0"/>
          <w14:ligatures w14:val="none"/>
        </w:rPr>
        <w:t>continuación,</w:t>
      </w:r>
      <w:r w:rsidR="00494824" w:rsidRPr="0011027E">
        <w:rPr>
          <w:rFonts w:ascii="Book Antiqua" w:eastAsia="Times New Roman" w:hAnsi="Book Antiqua" w:cs="Times New Roman"/>
          <w:color w:val="000000" w:themeColor="text1"/>
          <w:kern w:val="0"/>
          <w14:ligatures w14:val="none"/>
        </w:rPr>
        <w:t xml:space="preserve"> </w:t>
      </w:r>
      <w:r w:rsidR="00F73649" w:rsidRPr="0011027E">
        <w:rPr>
          <w:rFonts w:ascii="Book Antiqua" w:eastAsia="Times New Roman" w:hAnsi="Book Antiqua" w:cs="Times New Roman"/>
          <w:color w:val="000000" w:themeColor="text1"/>
          <w:kern w:val="0"/>
          <w14:ligatures w14:val="none"/>
        </w:rPr>
        <w:t xml:space="preserve">un </w:t>
      </w:r>
      <w:r w:rsidR="00494824" w:rsidRPr="0011027E">
        <w:rPr>
          <w:rFonts w:ascii="Book Antiqua" w:eastAsia="Times New Roman" w:hAnsi="Book Antiqua" w:cs="Times New Roman"/>
          <w:color w:val="000000" w:themeColor="text1"/>
          <w:kern w:val="0"/>
          <w14:ligatures w14:val="none"/>
        </w:rPr>
        <w:t>resumen de los comentarios vertidos.</w:t>
      </w:r>
    </w:p>
    <w:p w14:paraId="3FFACDD2" w14:textId="29E23F1F" w:rsidR="00D952BD" w:rsidRPr="0011027E" w:rsidRDefault="00E97D6F" w:rsidP="00BD7505">
      <w:pPr>
        <w:spacing w:after="0" w:line="288" w:lineRule="auto"/>
        <w:ind w:firstLine="720"/>
        <w:jc w:val="both"/>
        <w:rPr>
          <w:rFonts w:ascii="Book Antiqua" w:eastAsia="Times New Roman" w:hAnsi="Book Antiqua" w:cs="Times New Roman"/>
          <w:color w:val="000000" w:themeColor="text1"/>
          <w:kern w:val="0"/>
          <w14:ligatures w14:val="none"/>
        </w:rPr>
      </w:pPr>
      <w:r w:rsidRPr="0011027E">
        <w:rPr>
          <w:rFonts w:ascii="Book Antiqua" w:eastAsia="Times New Roman" w:hAnsi="Book Antiqua" w:cs="Times New Roman"/>
          <w:color w:val="000000" w:themeColor="text1"/>
          <w:kern w:val="0"/>
          <w14:ligatures w14:val="none"/>
        </w:rPr>
        <w:t xml:space="preserve">El </w:t>
      </w:r>
      <w:r w:rsidRPr="008A68C3">
        <w:rPr>
          <w:rFonts w:ascii="Book Antiqua" w:eastAsia="Times New Roman" w:hAnsi="Book Antiqua" w:cs="Times New Roman"/>
          <w:b/>
          <w:bCs/>
          <w:color w:val="000000" w:themeColor="text1"/>
          <w:kern w:val="0"/>
          <w14:ligatures w14:val="none"/>
        </w:rPr>
        <w:t>Departamento de Justicia</w:t>
      </w:r>
      <w:r w:rsidRPr="0011027E">
        <w:rPr>
          <w:rFonts w:ascii="Book Antiqua" w:eastAsia="Times New Roman" w:hAnsi="Book Antiqua" w:cs="Times New Roman"/>
          <w:color w:val="000000" w:themeColor="text1"/>
          <w:kern w:val="0"/>
          <w14:ligatures w14:val="none"/>
        </w:rPr>
        <w:t xml:space="preserve"> (J</w:t>
      </w:r>
      <w:r w:rsidR="008A68C3">
        <w:rPr>
          <w:rFonts w:ascii="Book Antiqua" w:eastAsia="Times New Roman" w:hAnsi="Book Antiqua" w:cs="Times New Roman"/>
          <w:color w:val="000000" w:themeColor="text1"/>
          <w:kern w:val="0"/>
          <w14:ligatures w14:val="none"/>
        </w:rPr>
        <w:t>usticia</w:t>
      </w:r>
      <w:r w:rsidRPr="0011027E">
        <w:rPr>
          <w:rFonts w:ascii="Book Antiqua" w:eastAsia="Times New Roman" w:hAnsi="Book Antiqua" w:cs="Times New Roman"/>
          <w:color w:val="000000" w:themeColor="text1"/>
          <w:kern w:val="0"/>
          <w14:ligatures w14:val="none"/>
        </w:rPr>
        <w:t xml:space="preserve">) respalda la intención legislativa del P. del S. 1016 </w:t>
      </w:r>
      <w:r w:rsidR="005F29B5">
        <w:rPr>
          <w:rFonts w:ascii="Book Antiqua" w:eastAsia="Times New Roman" w:hAnsi="Book Antiqua" w:cs="Times New Roman"/>
          <w:color w:val="000000" w:themeColor="text1"/>
          <w:kern w:val="0"/>
          <w14:ligatures w14:val="none"/>
        </w:rPr>
        <w:t xml:space="preserve">y </w:t>
      </w:r>
      <w:r w:rsidRPr="0011027E">
        <w:rPr>
          <w:rFonts w:ascii="Book Antiqua" w:eastAsia="Times New Roman" w:hAnsi="Book Antiqua" w:cs="Times New Roman"/>
          <w:color w:val="000000" w:themeColor="text1"/>
          <w:kern w:val="0"/>
          <w14:ligatures w14:val="none"/>
        </w:rPr>
        <w:t>no identifica impedimento para que la medida continúe su trámite legislativo</w:t>
      </w:r>
      <w:r w:rsidR="005F29B5">
        <w:rPr>
          <w:rFonts w:ascii="Book Antiqua" w:eastAsia="Times New Roman" w:hAnsi="Book Antiqua" w:cs="Times New Roman"/>
          <w:color w:val="000000" w:themeColor="text1"/>
          <w:kern w:val="0"/>
          <w14:ligatures w14:val="none"/>
        </w:rPr>
        <w:t>.</w:t>
      </w:r>
      <w:r w:rsidRPr="0011027E">
        <w:rPr>
          <w:rStyle w:val="FootnoteReference"/>
          <w:rFonts w:ascii="Book Antiqua" w:eastAsia="Times New Roman" w:hAnsi="Book Antiqua" w:cs="Times New Roman"/>
          <w:color w:val="000000" w:themeColor="text1"/>
          <w:kern w:val="0"/>
          <w14:ligatures w14:val="none"/>
        </w:rPr>
        <w:footnoteReference w:id="7"/>
      </w:r>
      <w:r w:rsidRPr="0011027E">
        <w:rPr>
          <w:rFonts w:ascii="Book Antiqua" w:eastAsia="Times New Roman" w:hAnsi="Book Antiqua" w:cs="Times New Roman"/>
          <w:color w:val="000000" w:themeColor="text1"/>
          <w:kern w:val="0"/>
          <w14:ligatures w14:val="none"/>
        </w:rPr>
        <w:t xml:space="preserve"> </w:t>
      </w:r>
    </w:p>
    <w:p w14:paraId="569E686B" w14:textId="11EF6E02" w:rsidR="00E97D6F" w:rsidRDefault="008A2D69" w:rsidP="008A68C3">
      <w:pPr>
        <w:spacing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Justicia hizo </w:t>
      </w:r>
      <w:r w:rsidR="00E97D6F" w:rsidRPr="0011027E">
        <w:rPr>
          <w:rFonts w:ascii="Book Antiqua" w:eastAsia="Times New Roman" w:hAnsi="Book Antiqua" w:cs="Times New Roman"/>
          <w:color w:val="000000" w:themeColor="text1"/>
          <w:kern w:val="0"/>
          <w14:ligatures w14:val="none"/>
        </w:rPr>
        <w:t>un recuento del principio de la forma de los contratos, así como cuáles son los contratos que deben constar por escrito</w:t>
      </w:r>
      <w:r w:rsidR="0029482F" w:rsidRPr="0011027E">
        <w:rPr>
          <w:rFonts w:ascii="Book Antiqua" w:eastAsia="Times New Roman" w:hAnsi="Book Antiqua" w:cs="Times New Roman"/>
          <w:color w:val="000000" w:themeColor="text1"/>
          <w:kern w:val="0"/>
          <w14:ligatures w14:val="none"/>
        </w:rPr>
        <w:t>, particularmente en instrumentos públicos</w:t>
      </w:r>
      <w:r>
        <w:rPr>
          <w:rFonts w:ascii="Book Antiqua" w:eastAsia="Times New Roman" w:hAnsi="Book Antiqua" w:cs="Times New Roman"/>
          <w:color w:val="000000" w:themeColor="text1"/>
          <w:kern w:val="0"/>
          <w14:ligatures w14:val="none"/>
        </w:rPr>
        <w:t xml:space="preserve"> —</w:t>
      </w:r>
      <w:r w:rsidR="0029482F" w:rsidRPr="0011027E">
        <w:rPr>
          <w:rFonts w:ascii="Book Antiqua" w:eastAsia="Times New Roman" w:hAnsi="Book Antiqua" w:cs="Times New Roman"/>
          <w:color w:val="000000" w:themeColor="text1"/>
          <w:kern w:val="0"/>
          <w14:ligatures w14:val="none"/>
        </w:rPr>
        <w:t>escrituras que se otorgan frente a Notario Público</w:t>
      </w:r>
      <w:r w:rsidR="00E97D6F" w:rsidRPr="0011027E">
        <w:rPr>
          <w:rFonts w:ascii="Book Antiqua" w:eastAsia="Times New Roman" w:hAnsi="Book Antiqua" w:cs="Times New Roman"/>
          <w:color w:val="000000" w:themeColor="text1"/>
          <w:kern w:val="0"/>
          <w14:ligatures w14:val="none"/>
        </w:rPr>
        <w:t xml:space="preserve">. </w:t>
      </w:r>
      <w:r w:rsidR="0029482F" w:rsidRPr="0011027E">
        <w:rPr>
          <w:rFonts w:ascii="Book Antiqua" w:eastAsia="Times New Roman" w:hAnsi="Book Antiqua" w:cs="Times New Roman"/>
          <w:color w:val="000000" w:themeColor="text1"/>
          <w:kern w:val="0"/>
          <w14:ligatures w14:val="none"/>
        </w:rPr>
        <w:t xml:space="preserve">Según el Código Civil, estas normas están en el </w:t>
      </w:r>
      <w:r>
        <w:rPr>
          <w:rFonts w:ascii="Book Antiqua" w:eastAsia="Times New Roman" w:hAnsi="Book Antiqua" w:cs="Times New Roman"/>
          <w:color w:val="000000" w:themeColor="text1"/>
          <w:kern w:val="0"/>
          <w14:ligatures w14:val="none"/>
        </w:rPr>
        <w:t>a</w:t>
      </w:r>
      <w:r w:rsidR="0029482F" w:rsidRPr="0011027E">
        <w:rPr>
          <w:rFonts w:ascii="Book Antiqua" w:eastAsia="Times New Roman" w:hAnsi="Book Antiqua" w:cs="Times New Roman"/>
          <w:color w:val="000000" w:themeColor="text1"/>
          <w:kern w:val="0"/>
          <w14:ligatures w14:val="none"/>
        </w:rPr>
        <w:t xml:space="preserve">rtículo 1245: </w:t>
      </w:r>
    </w:p>
    <w:p w14:paraId="6F659CF9" w14:textId="77777777" w:rsidR="005A7B2B" w:rsidRDefault="005A7B2B" w:rsidP="008A68C3">
      <w:pPr>
        <w:spacing w:line="288" w:lineRule="auto"/>
        <w:ind w:firstLine="720"/>
        <w:jc w:val="both"/>
        <w:rPr>
          <w:rFonts w:ascii="Book Antiqua" w:eastAsia="Times New Roman" w:hAnsi="Book Antiqua" w:cs="Times New Roman"/>
          <w:color w:val="000000" w:themeColor="text1"/>
          <w:kern w:val="0"/>
          <w14:ligatures w14:val="none"/>
        </w:rPr>
      </w:pPr>
    </w:p>
    <w:p w14:paraId="53ED2961" w14:textId="77777777" w:rsidR="005A7B2B" w:rsidRDefault="005A7B2B" w:rsidP="008A68C3">
      <w:pPr>
        <w:spacing w:line="288" w:lineRule="auto"/>
        <w:ind w:firstLine="720"/>
        <w:jc w:val="both"/>
        <w:rPr>
          <w:rFonts w:ascii="Book Antiqua" w:eastAsia="Times New Roman" w:hAnsi="Book Antiqua" w:cs="Times New Roman"/>
          <w:color w:val="000000" w:themeColor="text1"/>
          <w:kern w:val="0"/>
          <w14:ligatures w14:val="none"/>
        </w:rPr>
      </w:pPr>
    </w:p>
    <w:p w14:paraId="1C5968F6" w14:textId="77777777" w:rsidR="005A7B2B" w:rsidRDefault="005A7B2B" w:rsidP="008A68C3">
      <w:pPr>
        <w:spacing w:line="288" w:lineRule="auto"/>
        <w:ind w:firstLine="720"/>
        <w:jc w:val="both"/>
        <w:rPr>
          <w:rFonts w:ascii="Book Antiqua" w:eastAsia="Times New Roman" w:hAnsi="Book Antiqua" w:cs="Times New Roman"/>
          <w:color w:val="000000" w:themeColor="text1"/>
          <w:kern w:val="0"/>
          <w14:ligatures w14:val="none"/>
        </w:rPr>
      </w:pPr>
    </w:p>
    <w:p w14:paraId="344F7F38" w14:textId="77777777" w:rsidR="005A7B2B" w:rsidRDefault="005A7B2B" w:rsidP="008A68C3">
      <w:pPr>
        <w:spacing w:line="288" w:lineRule="auto"/>
        <w:ind w:firstLine="720"/>
        <w:jc w:val="both"/>
        <w:rPr>
          <w:rFonts w:ascii="Book Antiqua" w:eastAsia="Times New Roman" w:hAnsi="Book Antiqua" w:cs="Times New Roman"/>
          <w:color w:val="000000" w:themeColor="text1"/>
          <w:kern w:val="0"/>
          <w14:ligatures w14:val="none"/>
        </w:rPr>
      </w:pPr>
    </w:p>
    <w:p w14:paraId="172EE6EA" w14:textId="77777777" w:rsidR="005A7B2B" w:rsidRPr="0011027E" w:rsidRDefault="005A7B2B" w:rsidP="008A68C3">
      <w:pPr>
        <w:spacing w:line="288" w:lineRule="auto"/>
        <w:ind w:firstLine="720"/>
        <w:jc w:val="both"/>
        <w:rPr>
          <w:rFonts w:ascii="Book Antiqua" w:eastAsia="Times New Roman" w:hAnsi="Book Antiqua" w:cs="Times New Roman"/>
          <w:color w:val="000000" w:themeColor="text1"/>
          <w:kern w:val="0"/>
          <w14:ligatures w14:val="none"/>
        </w:rPr>
      </w:pPr>
    </w:p>
    <w:p w14:paraId="7ABF44FA" w14:textId="71DCCF62" w:rsidR="0029482F" w:rsidRPr="008A68C3" w:rsidRDefault="0029482F" w:rsidP="0029482F">
      <w:pPr>
        <w:spacing w:after="0" w:line="240" w:lineRule="auto"/>
        <w:ind w:firstLine="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lastRenderedPageBreak/>
        <w:t>Contratos cuyo otorgamiento requiere un instrumento público o privado.</w:t>
      </w:r>
    </w:p>
    <w:p w14:paraId="491D3191" w14:textId="77777777" w:rsidR="0029482F" w:rsidRPr="008A68C3" w:rsidRDefault="0029482F" w:rsidP="0029482F">
      <w:pPr>
        <w:spacing w:after="0" w:line="240" w:lineRule="auto"/>
        <w:ind w:firstLine="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Debe constar, en un instrumento público o privado, para efectos probatorios:</w:t>
      </w:r>
    </w:p>
    <w:p w14:paraId="0F88A1A0" w14:textId="77777777" w:rsidR="0029482F" w:rsidRPr="008A68C3" w:rsidRDefault="0029482F" w:rsidP="0029482F">
      <w:pPr>
        <w:spacing w:after="0" w:line="240" w:lineRule="auto"/>
        <w:ind w:left="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(a) la creación, transmisión, modificación o extinción de derechos reales sobre inmuebles;</w:t>
      </w:r>
    </w:p>
    <w:p w14:paraId="1E78A2D7" w14:textId="47547E93" w:rsidR="0029482F" w:rsidRPr="008A68C3" w:rsidRDefault="0029482F" w:rsidP="0029482F">
      <w:pPr>
        <w:spacing w:after="0" w:line="240" w:lineRule="auto"/>
        <w:ind w:left="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 xml:space="preserve">(b) </w:t>
      </w:r>
      <w:r w:rsidRPr="008A68C3">
        <w:rPr>
          <w:rFonts w:ascii="Book Antiqua" w:eastAsia="Times New Roman" w:hAnsi="Book Antiqua" w:cs="Times New Roman"/>
          <w:b/>
          <w:bCs/>
          <w:color w:val="000000" w:themeColor="text1"/>
          <w:kern w:val="0"/>
          <w14:ligatures w14:val="none"/>
        </w:rPr>
        <w:t>el arrendamiento de inmuebles por seis (6) años o más</w:t>
      </w:r>
      <w:r w:rsidRPr="008A68C3">
        <w:rPr>
          <w:rFonts w:ascii="Book Antiqua" w:eastAsia="Times New Roman" w:hAnsi="Book Antiqua" w:cs="Times New Roman"/>
          <w:color w:val="000000" w:themeColor="text1"/>
          <w:kern w:val="0"/>
          <w14:ligatures w14:val="none"/>
        </w:rPr>
        <w:t>;</w:t>
      </w:r>
    </w:p>
    <w:p w14:paraId="150BDACA" w14:textId="77777777" w:rsidR="0029482F" w:rsidRPr="008A68C3" w:rsidRDefault="0029482F" w:rsidP="0029482F">
      <w:pPr>
        <w:spacing w:after="0" w:line="240" w:lineRule="auto"/>
        <w:ind w:firstLine="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(c) la cesión o renuncia de derechos hereditarios o de los de la sociedad conyugal;</w:t>
      </w:r>
    </w:p>
    <w:p w14:paraId="4A06170F" w14:textId="1A399CC2" w:rsidR="0029482F" w:rsidRPr="008A68C3" w:rsidRDefault="0029482F" w:rsidP="0029482F">
      <w:pPr>
        <w:spacing w:after="0" w:line="240" w:lineRule="auto"/>
        <w:ind w:left="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(d) el poder que debe presentarse en juicio, el poder para administrar bienes y los poderes que afecten los derechos de un tercero;</w:t>
      </w:r>
    </w:p>
    <w:p w14:paraId="66AF79B9" w14:textId="77777777" w:rsidR="0029482F" w:rsidRPr="008A68C3" w:rsidRDefault="0029482F" w:rsidP="0029482F">
      <w:pPr>
        <w:spacing w:after="0" w:line="240" w:lineRule="auto"/>
        <w:ind w:left="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(e) la cesión de derechos o acciones procedentes de un acto consignado en documento público.</w:t>
      </w:r>
    </w:p>
    <w:p w14:paraId="1CD22F9F" w14:textId="56AB239F" w:rsidR="0029482F" w:rsidRPr="008A68C3" w:rsidRDefault="0029482F" w:rsidP="00A71278">
      <w:pPr>
        <w:spacing w:after="120" w:line="240" w:lineRule="auto"/>
        <w:ind w:left="720"/>
        <w:jc w:val="both"/>
        <w:rPr>
          <w:rFonts w:ascii="Book Antiqua" w:eastAsia="Times New Roman" w:hAnsi="Book Antiqua" w:cs="Times New Roman"/>
          <w:color w:val="000000" w:themeColor="text1"/>
          <w:kern w:val="0"/>
          <w14:ligatures w14:val="none"/>
        </w:rPr>
      </w:pPr>
      <w:r w:rsidRPr="008A68C3">
        <w:rPr>
          <w:rFonts w:ascii="Book Antiqua" w:eastAsia="Times New Roman" w:hAnsi="Book Antiqua" w:cs="Times New Roman"/>
          <w:color w:val="000000" w:themeColor="text1"/>
          <w:kern w:val="0"/>
          <w14:ligatures w14:val="none"/>
        </w:rPr>
        <w:t>Los actos, negocios jurídicos y contratos para los que la ley exige una forma solemne, se rigen por dicha ley.</w:t>
      </w:r>
      <w:r w:rsidR="00A27C1D">
        <w:rPr>
          <w:rStyle w:val="FootnoteReference"/>
          <w:rFonts w:ascii="Book Antiqua" w:eastAsia="Times New Roman" w:hAnsi="Book Antiqua" w:cs="Times New Roman"/>
          <w:color w:val="000000" w:themeColor="text1"/>
          <w:kern w:val="0"/>
          <w14:ligatures w14:val="none"/>
        </w:rPr>
        <w:footnoteReference w:id="8"/>
      </w:r>
      <w:r w:rsidRPr="008A68C3">
        <w:rPr>
          <w:rFonts w:ascii="Book Antiqua" w:eastAsia="Times New Roman" w:hAnsi="Book Antiqua" w:cs="Times New Roman"/>
          <w:i/>
          <w:iCs/>
          <w:color w:val="000000" w:themeColor="text1"/>
          <w:kern w:val="0"/>
          <w14:ligatures w14:val="none"/>
        </w:rPr>
        <w:t xml:space="preserve"> </w:t>
      </w:r>
    </w:p>
    <w:p w14:paraId="4585C885" w14:textId="734A659C" w:rsidR="00E97D6F" w:rsidRPr="0011027E" w:rsidRDefault="00E97D6F" w:rsidP="00C93D61">
      <w:pPr>
        <w:spacing w:line="288" w:lineRule="auto"/>
        <w:ind w:firstLine="720"/>
        <w:jc w:val="both"/>
        <w:rPr>
          <w:rFonts w:ascii="Book Antiqua" w:eastAsia="Times New Roman" w:hAnsi="Book Antiqua" w:cs="Times New Roman"/>
          <w:color w:val="000000" w:themeColor="text1"/>
          <w:kern w:val="0"/>
          <w14:ligatures w14:val="none"/>
        </w:rPr>
      </w:pPr>
      <w:r w:rsidRPr="0011027E">
        <w:rPr>
          <w:rFonts w:ascii="Book Antiqua" w:eastAsia="Times New Roman" w:hAnsi="Book Antiqua" w:cs="Times New Roman"/>
          <w:color w:val="000000" w:themeColor="text1"/>
          <w:kern w:val="0"/>
          <w14:ligatures w14:val="none"/>
        </w:rPr>
        <w:t xml:space="preserve">Con fundamento en lo anterior, </w:t>
      </w:r>
      <w:r w:rsidR="00A71278">
        <w:rPr>
          <w:rFonts w:ascii="Book Antiqua" w:eastAsia="Times New Roman" w:hAnsi="Book Antiqua" w:cs="Times New Roman"/>
          <w:color w:val="000000" w:themeColor="text1"/>
          <w:kern w:val="0"/>
          <w14:ligatures w14:val="none"/>
        </w:rPr>
        <w:t xml:space="preserve">Justicia </w:t>
      </w:r>
      <w:r w:rsidRPr="0011027E">
        <w:rPr>
          <w:rFonts w:ascii="Book Antiqua" w:eastAsia="Times New Roman" w:hAnsi="Book Antiqua" w:cs="Times New Roman"/>
          <w:color w:val="000000" w:themeColor="text1"/>
          <w:kern w:val="0"/>
          <w14:ligatures w14:val="none"/>
        </w:rPr>
        <w:t xml:space="preserve">reitera que la propuesta del P. del S. 1016 es establecer que únicamente los contratos de arrendamiento pactados por un término mayor de seis (6) años deben constar por escrito. Con esta enmienda, se reafirma el principio de libertad de forma para </w:t>
      </w:r>
      <w:proofErr w:type="gramStart"/>
      <w:r w:rsidRPr="0011027E">
        <w:rPr>
          <w:rFonts w:ascii="Book Antiqua" w:eastAsia="Times New Roman" w:hAnsi="Book Antiqua" w:cs="Times New Roman"/>
          <w:color w:val="000000" w:themeColor="text1"/>
          <w:kern w:val="0"/>
          <w14:ligatures w14:val="none"/>
        </w:rPr>
        <w:t>los arrendamiento</w:t>
      </w:r>
      <w:proofErr w:type="gramEnd"/>
      <w:r w:rsidRPr="0011027E">
        <w:rPr>
          <w:rFonts w:ascii="Book Antiqua" w:eastAsia="Times New Roman" w:hAnsi="Book Antiqua" w:cs="Times New Roman"/>
          <w:color w:val="000000" w:themeColor="text1"/>
          <w:kern w:val="0"/>
          <w14:ligatures w14:val="none"/>
        </w:rPr>
        <w:t xml:space="preserve"> de corta y mediana duración, mientras se fortalece la seguridad jurídica de aquellos </w:t>
      </w:r>
      <w:r w:rsidR="00896B5E">
        <w:rPr>
          <w:rFonts w:ascii="Book Antiqua" w:eastAsia="Times New Roman" w:hAnsi="Book Antiqua" w:cs="Times New Roman"/>
          <w:color w:val="000000" w:themeColor="text1"/>
          <w:kern w:val="0"/>
          <w14:ligatures w14:val="none"/>
        </w:rPr>
        <w:t>d</w:t>
      </w:r>
      <w:r w:rsidRPr="0011027E">
        <w:rPr>
          <w:rFonts w:ascii="Book Antiqua" w:eastAsia="Times New Roman" w:hAnsi="Book Antiqua" w:cs="Times New Roman"/>
          <w:color w:val="000000" w:themeColor="text1"/>
          <w:kern w:val="0"/>
          <w14:ligatures w14:val="none"/>
        </w:rPr>
        <w:t xml:space="preserve">e larga duración, la cual se logra mediante la publicidad registral. </w:t>
      </w:r>
    </w:p>
    <w:p w14:paraId="211FA77D" w14:textId="7A5ECB3C" w:rsidR="0029482F" w:rsidRPr="0011027E" w:rsidRDefault="00FD1A4E" w:rsidP="00C93D61">
      <w:pPr>
        <w:spacing w:line="288" w:lineRule="auto"/>
        <w:ind w:firstLine="720"/>
        <w:jc w:val="both"/>
        <w:rPr>
          <w:rFonts w:ascii="Book Antiqua" w:hAnsi="Book Antiqua"/>
          <w:color w:val="000000" w:themeColor="text1"/>
        </w:rPr>
      </w:pPr>
      <w:r w:rsidRPr="0011027E">
        <w:rPr>
          <w:rFonts w:ascii="Book Antiqua" w:hAnsi="Book Antiqua"/>
          <w:color w:val="000000" w:themeColor="text1"/>
        </w:rPr>
        <w:t>El memorial explicativo de</w:t>
      </w:r>
      <w:r w:rsidR="00C93D61">
        <w:rPr>
          <w:rFonts w:ascii="Book Antiqua" w:hAnsi="Book Antiqua"/>
          <w:color w:val="000000" w:themeColor="text1"/>
        </w:rPr>
        <w:t xml:space="preserve"> </w:t>
      </w:r>
      <w:r w:rsidRPr="0011027E">
        <w:rPr>
          <w:rFonts w:ascii="Book Antiqua" w:hAnsi="Book Antiqua"/>
          <w:color w:val="000000" w:themeColor="text1"/>
        </w:rPr>
        <w:t>l</w:t>
      </w:r>
      <w:r w:rsidR="00C93D61">
        <w:rPr>
          <w:rFonts w:ascii="Book Antiqua" w:hAnsi="Book Antiqua"/>
          <w:color w:val="000000" w:themeColor="text1"/>
        </w:rPr>
        <w:t>a</w:t>
      </w:r>
      <w:r w:rsidRPr="0011027E">
        <w:rPr>
          <w:rFonts w:ascii="Book Antiqua" w:hAnsi="Book Antiqua"/>
          <w:color w:val="000000" w:themeColor="text1"/>
        </w:rPr>
        <w:t xml:space="preserve"> </w:t>
      </w:r>
      <w:r w:rsidR="00DE48D2" w:rsidRPr="00C93D61">
        <w:rPr>
          <w:rFonts w:ascii="Book Antiqua" w:hAnsi="Book Antiqua"/>
          <w:b/>
          <w:bCs/>
          <w:color w:val="000000" w:themeColor="text1"/>
        </w:rPr>
        <w:t>Oficina de Servicios Legislativos</w:t>
      </w:r>
      <w:r w:rsidR="001C02AB" w:rsidRPr="0011027E">
        <w:rPr>
          <w:rFonts w:ascii="Book Antiqua" w:hAnsi="Book Antiqua"/>
          <w:color w:val="000000" w:themeColor="text1"/>
        </w:rPr>
        <w:t xml:space="preserve"> (OSL)</w:t>
      </w:r>
      <w:r w:rsidR="00DE48D2" w:rsidRPr="0011027E">
        <w:rPr>
          <w:rFonts w:ascii="Book Antiqua" w:hAnsi="Book Antiqua"/>
          <w:color w:val="000000" w:themeColor="text1"/>
        </w:rPr>
        <w:t xml:space="preserve"> </w:t>
      </w:r>
      <w:r w:rsidR="0029482F" w:rsidRPr="0011027E">
        <w:rPr>
          <w:rFonts w:ascii="Book Antiqua" w:hAnsi="Book Antiqua"/>
          <w:color w:val="000000" w:themeColor="text1"/>
        </w:rPr>
        <w:t xml:space="preserve">también </w:t>
      </w:r>
      <w:r w:rsidR="00DE48D2" w:rsidRPr="0011027E">
        <w:rPr>
          <w:rFonts w:ascii="Book Antiqua" w:hAnsi="Book Antiqua"/>
          <w:color w:val="000000" w:themeColor="text1"/>
        </w:rPr>
        <w:t xml:space="preserve">concluye </w:t>
      </w:r>
      <w:r w:rsidR="0029482F" w:rsidRPr="0011027E">
        <w:rPr>
          <w:rFonts w:ascii="Book Antiqua" w:hAnsi="Book Antiqua"/>
          <w:color w:val="000000" w:themeColor="text1"/>
        </w:rPr>
        <w:t xml:space="preserve">que no existe impedimento legal para </w:t>
      </w:r>
      <w:r w:rsidR="00627B37">
        <w:rPr>
          <w:rFonts w:ascii="Book Antiqua" w:hAnsi="Book Antiqua"/>
          <w:color w:val="000000" w:themeColor="text1"/>
        </w:rPr>
        <w:t>que se</w:t>
      </w:r>
      <w:r w:rsidR="0029482F" w:rsidRPr="0011027E">
        <w:rPr>
          <w:rFonts w:ascii="Book Antiqua" w:hAnsi="Book Antiqua"/>
          <w:color w:val="000000" w:themeColor="text1"/>
        </w:rPr>
        <w:t xml:space="preserve"> </w:t>
      </w:r>
      <w:r w:rsidR="00DE48D2" w:rsidRPr="0011027E">
        <w:rPr>
          <w:rFonts w:ascii="Book Antiqua" w:hAnsi="Book Antiqua"/>
          <w:color w:val="000000" w:themeColor="text1"/>
        </w:rPr>
        <w:t>apr</w:t>
      </w:r>
      <w:r w:rsidR="00627B37">
        <w:rPr>
          <w:rFonts w:ascii="Book Antiqua" w:hAnsi="Book Antiqua"/>
          <w:color w:val="000000" w:themeColor="text1"/>
        </w:rPr>
        <w:t>uebe</w:t>
      </w:r>
      <w:r w:rsidR="00DE48D2" w:rsidRPr="0011027E">
        <w:rPr>
          <w:rFonts w:ascii="Book Antiqua" w:hAnsi="Book Antiqua"/>
          <w:color w:val="000000" w:themeColor="text1"/>
        </w:rPr>
        <w:t xml:space="preserve"> el P. del S. </w:t>
      </w:r>
      <w:r w:rsidR="0029482F" w:rsidRPr="0011027E">
        <w:rPr>
          <w:rFonts w:ascii="Book Antiqua" w:hAnsi="Book Antiqua"/>
          <w:color w:val="000000" w:themeColor="text1"/>
        </w:rPr>
        <w:t>101</w:t>
      </w:r>
      <w:r w:rsidR="00DE48D2" w:rsidRPr="0011027E">
        <w:rPr>
          <w:rFonts w:ascii="Book Antiqua" w:hAnsi="Book Antiqua"/>
          <w:color w:val="000000" w:themeColor="text1"/>
        </w:rPr>
        <w:t xml:space="preserve">6. </w:t>
      </w:r>
      <w:r w:rsidR="001C02AB" w:rsidRPr="0011027E">
        <w:rPr>
          <w:rFonts w:ascii="Book Antiqua" w:hAnsi="Book Antiqua"/>
          <w:color w:val="000000" w:themeColor="text1"/>
        </w:rPr>
        <w:t xml:space="preserve">En </w:t>
      </w:r>
      <w:r w:rsidR="0029482F" w:rsidRPr="0011027E">
        <w:rPr>
          <w:rFonts w:ascii="Book Antiqua" w:hAnsi="Book Antiqua"/>
          <w:color w:val="000000" w:themeColor="text1"/>
        </w:rPr>
        <w:t>el documento</w:t>
      </w:r>
      <w:r w:rsidR="001C02AB" w:rsidRPr="0011027E">
        <w:rPr>
          <w:rStyle w:val="FootnoteReference"/>
          <w:rFonts w:ascii="Book Antiqua" w:hAnsi="Book Antiqua"/>
          <w:color w:val="000000" w:themeColor="text1"/>
        </w:rPr>
        <w:footnoteReference w:id="9"/>
      </w:r>
      <w:r w:rsidR="001C02AB" w:rsidRPr="0011027E">
        <w:rPr>
          <w:rFonts w:ascii="Book Antiqua" w:hAnsi="Book Antiqua"/>
          <w:color w:val="000000" w:themeColor="text1"/>
        </w:rPr>
        <w:t xml:space="preserve"> la OSL ilustra sobre </w:t>
      </w:r>
      <w:r w:rsidR="0029482F" w:rsidRPr="0011027E">
        <w:rPr>
          <w:rFonts w:ascii="Book Antiqua" w:hAnsi="Book Antiqua"/>
          <w:color w:val="000000" w:themeColor="text1"/>
        </w:rPr>
        <w:t>los puntos de derecho</w:t>
      </w:r>
      <w:r w:rsidR="003D4D0D">
        <w:rPr>
          <w:rFonts w:ascii="Book Antiqua" w:hAnsi="Book Antiqua"/>
          <w:color w:val="000000" w:themeColor="text1"/>
        </w:rPr>
        <w:t xml:space="preserve"> que Justicia discutió</w:t>
      </w:r>
      <w:r w:rsidR="0029482F" w:rsidRPr="0011027E">
        <w:rPr>
          <w:rFonts w:ascii="Book Antiqua" w:hAnsi="Book Antiqua"/>
          <w:color w:val="000000" w:themeColor="text1"/>
        </w:rPr>
        <w:t>. Sin embargo,</w:t>
      </w:r>
      <w:r w:rsidR="003D4D0D">
        <w:rPr>
          <w:rFonts w:ascii="Book Antiqua" w:hAnsi="Book Antiqua"/>
          <w:color w:val="000000" w:themeColor="text1"/>
        </w:rPr>
        <w:t xml:space="preserve"> OSL</w:t>
      </w:r>
      <w:r w:rsidR="0029482F" w:rsidRPr="0011027E">
        <w:rPr>
          <w:rFonts w:ascii="Book Antiqua" w:hAnsi="Book Antiqua"/>
          <w:color w:val="000000" w:themeColor="text1"/>
        </w:rPr>
        <w:t xml:space="preserve"> plantea una interesante discusión sobre la validez de los contratos</w:t>
      </w:r>
      <w:r w:rsidR="003D4D0D">
        <w:rPr>
          <w:rFonts w:ascii="Book Antiqua" w:hAnsi="Book Antiqua"/>
          <w:color w:val="000000" w:themeColor="text1"/>
        </w:rPr>
        <w:t>:</w:t>
      </w:r>
      <w:r w:rsidR="0029482F" w:rsidRPr="0011027E">
        <w:rPr>
          <w:rFonts w:ascii="Book Antiqua" w:hAnsi="Book Antiqua"/>
          <w:color w:val="000000" w:themeColor="text1"/>
        </w:rPr>
        <w:t xml:space="preserve"> </w:t>
      </w:r>
    </w:p>
    <w:p w14:paraId="2CF061C5" w14:textId="77777777" w:rsid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Como norma general, en Puerto Rico los contratos verbales son tan válidos y exigibles como los escritos. Para ello solo tienen que cumplir con tres requisitos esenciales, a saber: consentimiento de las partes, objeto cierto y causa lícita. Sin embargo, el propio Código Civil establece que ello no sería suficiente en aquellos casos en que sea necesario el cumplimiento de una formalidad solemne, se pacta una condición suspensiva, algún otro requisito de ley. Por ejemplo, en la contratación con el Estado la legislatura ha aprobado leyes que imponen controles fiscales y de contratación gubernamental. Siendo así, un contrato entre una parte privada y el Estado que no cumpla con estas leyes será nulo e inexistente. Uno de estos requisitos es que tienen que constar por escrito para su validez y exigibilidad.</w:t>
      </w:r>
    </w:p>
    <w:p w14:paraId="196A5220" w14:textId="77777777" w:rsidR="007B2669" w:rsidRDefault="007B2669" w:rsidP="006772BE">
      <w:pPr>
        <w:spacing w:after="0" w:line="240" w:lineRule="auto"/>
        <w:ind w:left="720"/>
        <w:jc w:val="both"/>
        <w:rPr>
          <w:rFonts w:ascii="Book Antiqua" w:hAnsi="Book Antiqua"/>
          <w:color w:val="000000" w:themeColor="text1"/>
        </w:rPr>
      </w:pPr>
    </w:p>
    <w:p w14:paraId="475BFE46" w14:textId="467FB931" w:rsidR="0029482F" w:rsidRP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 xml:space="preserve"> </w:t>
      </w:r>
    </w:p>
    <w:p w14:paraId="1F0F2AC2" w14:textId="0E2C5210" w:rsidR="006772BE" w:rsidRP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lastRenderedPageBreak/>
        <w:t xml:space="preserve">Ahora bien, en el caso de los contratos de arrendamiento, como en cualquier otro contrato, opera, como ya lo advertimos, la libertad de forma. Solamente en </w:t>
      </w:r>
      <w:r w:rsidRPr="00C93D61">
        <w:rPr>
          <w:rFonts w:ascii="Book Antiqua" w:hAnsi="Book Antiqua"/>
          <w:b/>
          <w:bCs/>
          <w:color w:val="000000" w:themeColor="text1"/>
        </w:rPr>
        <w:t xml:space="preserve">arrendamientos sobre bienes inmuebles </w:t>
      </w:r>
      <w:r w:rsidRPr="00C93D61">
        <w:rPr>
          <w:rFonts w:ascii="Book Antiqua" w:hAnsi="Book Antiqua"/>
          <w:color w:val="000000" w:themeColor="text1"/>
        </w:rPr>
        <w:t>es que se exige la formalidad de reducirlos a documento público si la pretensión es inscribirlos en el Registro de la Propiedad. Esto contrasta con el Código Civil de 1930 que sí exigía que tales contratos, si eran por seis (6) o más años, debían constar en documento público.</w:t>
      </w:r>
    </w:p>
    <w:p w14:paraId="1B510E63" w14:textId="77777777" w:rsid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Por otro lado, distinguimos, que, bajo el nuevo Código, la exigencia de que los arrendamientos a un término no mayor de seis (6) años deban constar por escrito, se refiere a los arrendamientos sobre bienes inmuebles, no a cualquier tipo de arrendamiento. A nuestro entender, la intención original del legislador era que los contratos de arrendamientos, si recaían sobre bienes inmuebles, tenían que constar en instrumento privado. Si, adicional a ello, tuvieran la intención de perjudicar a terceros, entonces tendrían que constar en instrumento público.</w:t>
      </w:r>
    </w:p>
    <w:p w14:paraId="5179BE80" w14:textId="77F20905" w:rsidR="006772BE" w:rsidRP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 xml:space="preserve"> </w:t>
      </w:r>
    </w:p>
    <w:p w14:paraId="425B3483" w14:textId="5707F922" w:rsidR="00C93D61" w:rsidRDefault="006772BE"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 xml:space="preserve">Observamos que el problema radica en la redacción actual de los Artículos 1342 y 1343 -pero principalmente este último- ya que no delimitan claramente la diferencia entre los arrendamientos generales y aquellos sobre bienes inmuebles. Sin embargo, no nos cabe duda alguna de que, aún con las deficiencias en la redacción, la intención de que los </w:t>
      </w:r>
      <w:r w:rsidRPr="00C93D61">
        <w:rPr>
          <w:rFonts w:ascii="Book Antiqua" w:hAnsi="Book Antiqua"/>
          <w:b/>
          <w:bCs/>
          <w:color w:val="000000" w:themeColor="text1"/>
        </w:rPr>
        <w:t xml:space="preserve">contratos de arrendamientos sobre bienes inmuebles </w:t>
      </w:r>
      <w:r w:rsidRPr="00C93D61">
        <w:rPr>
          <w:rFonts w:ascii="Book Antiqua" w:hAnsi="Book Antiqua"/>
          <w:color w:val="000000" w:themeColor="text1"/>
        </w:rPr>
        <w:t>tuvieran ciertos requisitos de forma, dependiendo de su pretensión más que de su duración. A esos efecto</w:t>
      </w:r>
      <w:r w:rsidR="00C93D61">
        <w:rPr>
          <w:rFonts w:ascii="Book Antiqua" w:hAnsi="Book Antiqua"/>
          <w:color w:val="000000" w:themeColor="text1"/>
        </w:rPr>
        <w:t>s</w:t>
      </w:r>
      <w:r w:rsidRPr="00C93D61">
        <w:rPr>
          <w:rFonts w:ascii="Book Antiqua" w:hAnsi="Book Antiqua"/>
          <w:color w:val="000000" w:themeColor="text1"/>
        </w:rPr>
        <w:t xml:space="preserve">, aquellos </w:t>
      </w:r>
      <w:r w:rsidR="003B29C2" w:rsidRPr="00C93D61">
        <w:rPr>
          <w:rFonts w:ascii="Book Antiqua" w:hAnsi="Book Antiqua"/>
          <w:color w:val="000000" w:themeColor="text1"/>
        </w:rPr>
        <w:t>que se quieran inscribir para afectar a terceros, deberán constar en escritura pública y los que no, al menos deberían constar en documento privado.</w:t>
      </w:r>
    </w:p>
    <w:p w14:paraId="6CDB44C9" w14:textId="4F4C6F6B" w:rsidR="006772BE" w:rsidRPr="00C93D61" w:rsidRDefault="003B29C2"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 xml:space="preserve"> </w:t>
      </w:r>
    </w:p>
    <w:p w14:paraId="0B00BC42" w14:textId="77777777" w:rsidR="009A4751" w:rsidRDefault="003B29C2"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Por lo tanto, la aseveración que se hace en la exposición de motivos de la medida que nos ocupa, en el sentido de que la redacción actual del Artículo 1343 es contraria a la norma general de libertad de forma, es correcta para los arrendamientos en general, pero no para los arrendamientos sobre bienes inmuebles. A nuestro entender, como advertimos anteriormente, la redacción del referido Artículo, aunque ciertamente confusa, se refiere a los contratos de arrendamientos sobre bienes inmuebles.</w:t>
      </w:r>
    </w:p>
    <w:p w14:paraId="421388AC" w14:textId="77777777" w:rsidR="009A4751" w:rsidRDefault="009A4751" w:rsidP="006772BE">
      <w:pPr>
        <w:spacing w:after="0" w:line="240" w:lineRule="auto"/>
        <w:ind w:left="720"/>
        <w:jc w:val="both"/>
        <w:rPr>
          <w:rFonts w:ascii="Book Antiqua" w:hAnsi="Book Antiqua"/>
          <w:color w:val="000000" w:themeColor="text1"/>
        </w:rPr>
      </w:pPr>
    </w:p>
    <w:p w14:paraId="767D0265" w14:textId="77777777" w:rsidR="009A4751" w:rsidRDefault="009A4751" w:rsidP="006772BE">
      <w:pPr>
        <w:spacing w:after="0" w:line="240" w:lineRule="auto"/>
        <w:ind w:left="720"/>
        <w:jc w:val="both"/>
        <w:rPr>
          <w:rFonts w:ascii="Book Antiqua" w:hAnsi="Book Antiqua"/>
          <w:color w:val="000000" w:themeColor="text1"/>
        </w:rPr>
      </w:pPr>
    </w:p>
    <w:p w14:paraId="6E9ECDB2" w14:textId="77777777" w:rsidR="009A4751" w:rsidRDefault="009A4751" w:rsidP="006772BE">
      <w:pPr>
        <w:spacing w:after="0" w:line="240" w:lineRule="auto"/>
        <w:ind w:left="720"/>
        <w:jc w:val="both"/>
        <w:rPr>
          <w:rFonts w:ascii="Book Antiqua" w:hAnsi="Book Antiqua"/>
          <w:color w:val="000000" w:themeColor="text1"/>
        </w:rPr>
      </w:pPr>
    </w:p>
    <w:p w14:paraId="6638F20D" w14:textId="77777777" w:rsidR="009A4751" w:rsidRDefault="009A4751" w:rsidP="006772BE">
      <w:pPr>
        <w:spacing w:after="0" w:line="240" w:lineRule="auto"/>
        <w:ind w:left="720"/>
        <w:jc w:val="both"/>
        <w:rPr>
          <w:rFonts w:ascii="Book Antiqua" w:hAnsi="Book Antiqua"/>
          <w:color w:val="000000" w:themeColor="text1"/>
        </w:rPr>
      </w:pPr>
    </w:p>
    <w:p w14:paraId="025D681C" w14:textId="77777777" w:rsidR="009A4751" w:rsidRDefault="009A4751" w:rsidP="006772BE">
      <w:pPr>
        <w:spacing w:after="0" w:line="240" w:lineRule="auto"/>
        <w:ind w:left="720"/>
        <w:jc w:val="both"/>
        <w:rPr>
          <w:rFonts w:ascii="Book Antiqua" w:hAnsi="Book Antiqua"/>
          <w:color w:val="000000" w:themeColor="text1"/>
        </w:rPr>
      </w:pPr>
    </w:p>
    <w:p w14:paraId="5CD85A4B" w14:textId="77777777" w:rsidR="009A4751" w:rsidRDefault="009A4751" w:rsidP="006772BE">
      <w:pPr>
        <w:spacing w:after="0" w:line="240" w:lineRule="auto"/>
        <w:ind w:left="720"/>
        <w:jc w:val="both"/>
        <w:rPr>
          <w:rFonts w:ascii="Book Antiqua" w:hAnsi="Book Antiqua"/>
          <w:color w:val="000000" w:themeColor="text1"/>
        </w:rPr>
      </w:pPr>
    </w:p>
    <w:p w14:paraId="0762D729" w14:textId="77777777" w:rsidR="009A4751" w:rsidRDefault="009A4751" w:rsidP="006772BE">
      <w:pPr>
        <w:spacing w:after="0" w:line="240" w:lineRule="auto"/>
        <w:ind w:left="720"/>
        <w:jc w:val="both"/>
        <w:rPr>
          <w:rFonts w:ascii="Book Antiqua" w:hAnsi="Book Antiqua"/>
          <w:color w:val="000000" w:themeColor="text1"/>
        </w:rPr>
      </w:pPr>
    </w:p>
    <w:p w14:paraId="437D39BF" w14:textId="77777777" w:rsidR="009A4751" w:rsidRDefault="009A4751" w:rsidP="006772BE">
      <w:pPr>
        <w:spacing w:after="0" w:line="240" w:lineRule="auto"/>
        <w:ind w:left="720"/>
        <w:jc w:val="both"/>
        <w:rPr>
          <w:rFonts w:ascii="Book Antiqua" w:hAnsi="Book Antiqua"/>
          <w:color w:val="000000" w:themeColor="text1"/>
        </w:rPr>
      </w:pPr>
    </w:p>
    <w:p w14:paraId="18341DD4" w14:textId="26FC98C3" w:rsidR="003B29C2" w:rsidRDefault="003B29C2" w:rsidP="006772BE">
      <w:pPr>
        <w:spacing w:after="0" w:line="240" w:lineRule="auto"/>
        <w:ind w:left="720"/>
        <w:jc w:val="both"/>
        <w:rPr>
          <w:rFonts w:ascii="Book Antiqua" w:hAnsi="Book Antiqua"/>
          <w:color w:val="000000" w:themeColor="text1"/>
        </w:rPr>
      </w:pPr>
      <w:r w:rsidRPr="00C93D61">
        <w:rPr>
          <w:rFonts w:ascii="Book Antiqua" w:hAnsi="Book Antiqua"/>
          <w:color w:val="000000" w:themeColor="text1"/>
        </w:rPr>
        <w:t xml:space="preserve"> </w:t>
      </w:r>
    </w:p>
    <w:p w14:paraId="1480B3F0" w14:textId="77777777" w:rsidR="00C93D61" w:rsidRPr="00C93D61" w:rsidRDefault="00C93D61" w:rsidP="006772BE">
      <w:pPr>
        <w:spacing w:after="0" w:line="240" w:lineRule="auto"/>
        <w:ind w:left="720"/>
        <w:jc w:val="both"/>
        <w:rPr>
          <w:rFonts w:ascii="Book Antiqua" w:hAnsi="Book Antiqua"/>
          <w:color w:val="000000" w:themeColor="text1"/>
        </w:rPr>
      </w:pPr>
    </w:p>
    <w:p w14:paraId="77487BE7" w14:textId="3C8787F7" w:rsidR="003B29C2" w:rsidRPr="00C93D61" w:rsidRDefault="003B29C2" w:rsidP="009A4751">
      <w:pPr>
        <w:spacing w:after="120" w:line="240" w:lineRule="auto"/>
        <w:ind w:left="720"/>
        <w:jc w:val="both"/>
        <w:rPr>
          <w:rFonts w:ascii="Book Antiqua" w:hAnsi="Book Antiqua"/>
          <w:color w:val="000000" w:themeColor="text1"/>
        </w:rPr>
      </w:pPr>
      <w:r w:rsidRPr="00C93D61">
        <w:rPr>
          <w:rFonts w:ascii="Book Antiqua" w:hAnsi="Book Antiqua"/>
          <w:color w:val="000000" w:themeColor="text1"/>
        </w:rPr>
        <w:lastRenderedPageBreak/>
        <w:t xml:space="preserve">Por último, no es necesariamente la duración lo que determina si un contrato de arrendamiento sobre bienes inmuebles es relevante para fines registrales, sino la pretensión de que afecte a terceros. Nótese que el Artículo 1342 del Código Civil claramente se refiere a bienes inmuebles que se pretendan “inscribir en el Registro de la Propiedad para que tenga[n] eficacia ante tercero.” Mientras que la Ley del Registro de la Propiedad, al atender el asunto de tales arrendamientos, señala que estos “se </w:t>
      </w:r>
      <w:r w:rsidRPr="00C93D61">
        <w:rPr>
          <w:rFonts w:ascii="Book Antiqua" w:hAnsi="Book Antiqua"/>
          <w:b/>
          <w:bCs/>
          <w:color w:val="000000" w:themeColor="text1"/>
        </w:rPr>
        <w:t>podrán inscribir</w:t>
      </w:r>
      <w:r w:rsidRPr="00C93D61">
        <w:rPr>
          <w:rFonts w:ascii="Book Antiqua" w:hAnsi="Book Antiqua"/>
          <w:color w:val="000000" w:themeColor="text1"/>
        </w:rPr>
        <w:t xml:space="preserve"> cuando sean por un término de seis </w:t>
      </w:r>
      <w:r w:rsidR="00BD7B99">
        <w:rPr>
          <w:rFonts w:ascii="Book Antiqua" w:hAnsi="Book Antiqua"/>
          <w:color w:val="000000" w:themeColor="text1"/>
        </w:rPr>
        <w:t>(</w:t>
      </w:r>
      <w:r w:rsidRPr="00C93D61">
        <w:rPr>
          <w:rFonts w:ascii="Book Antiqua" w:hAnsi="Book Antiqua"/>
          <w:color w:val="000000" w:themeColor="text1"/>
        </w:rPr>
        <w:t xml:space="preserve">6) años o más, o </w:t>
      </w:r>
      <w:r w:rsidRPr="00C93D61">
        <w:rPr>
          <w:rFonts w:ascii="Book Antiqua" w:hAnsi="Book Antiqua"/>
          <w:b/>
          <w:bCs/>
          <w:color w:val="000000" w:themeColor="text1"/>
        </w:rPr>
        <w:t>cuando hubiese convenio entre las partes para que se inscriban</w:t>
      </w:r>
      <w:r w:rsidRPr="00C93D61">
        <w:rPr>
          <w:rFonts w:ascii="Book Antiqua" w:hAnsi="Book Antiqua"/>
          <w:color w:val="000000" w:themeColor="text1"/>
        </w:rPr>
        <w:t>”. En otras palabras, que la inscripción depende de la voluntad de las partes para inscribirlo más que por el hecho de que sea de larga duración.</w:t>
      </w:r>
      <w:r w:rsidR="00C93D61">
        <w:rPr>
          <w:rStyle w:val="FootnoteReference"/>
          <w:rFonts w:ascii="Book Antiqua" w:hAnsi="Book Antiqua"/>
          <w:color w:val="000000" w:themeColor="text1"/>
        </w:rPr>
        <w:footnoteReference w:id="10"/>
      </w:r>
      <w:r w:rsidRPr="00C93D61">
        <w:rPr>
          <w:rFonts w:ascii="Book Antiqua" w:hAnsi="Book Antiqua"/>
          <w:color w:val="000000" w:themeColor="text1"/>
        </w:rPr>
        <w:t xml:space="preserve"> </w:t>
      </w:r>
    </w:p>
    <w:p w14:paraId="5C815A25" w14:textId="3311BF08" w:rsidR="0029482F" w:rsidRPr="0011027E" w:rsidRDefault="0029482F" w:rsidP="00C93D61">
      <w:pPr>
        <w:spacing w:line="288" w:lineRule="auto"/>
        <w:ind w:firstLine="720"/>
        <w:jc w:val="both"/>
        <w:rPr>
          <w:rFonts w:ascii="Book Antiqua" w:hAnsi="Book Antiqua"/>
          <w:color w:val="000000" w:themeColor="text1"/>
        </w:rPr>
      </w:pPr>
      <w:r w:rsidRPr="0011027E">
        <w:rPr>
          <w:rFonts w:ascii="Book Antiqua" w:hAnsi="Book Antiqua"/>
          <w:color w:val="000000" w:themeColor="text1"/>
        </w:rPr>
        <w:t>A pesar de favorecer la aprobación del P. del S. 1016, la OSL presentó unas recomendaciones puntuales de enmiendas</w:t>
      </w:r>
      <w:r w:rsidR="009A4751">
        <w:rPr>
          <w:rFonts w:ascii="Book Antiqua" w:hAnsi="Book Antiqua"/>
          <w:color w:val="000000" w:themeColor="text1"/>
        </w:rPr>
        <w:t xml:space="preserve"> que</w:t>
      </w:r>
      <w:r w:rsidRPr="0011027E">
        <w:rPr>
          <w:rFonts w:ascii="Book Antiqua" w:hAnsi="Book Antiqua"/>
          <w:color w:val="000000" w:themeColor="text1"/>
        </w:rPr>
        <w:t xml:space="preserve"> el Senado</w:t>
      </w:r>
      <w:r w:rsidR="009A4751">
        <w:rPr>
          <w:rFonts w:ascii="Book Antiqua" w:hAnsi="Book Antiqua"/>
          <w:color w:val="000000" w:themeColor="text1"/>
        </w:rPr>
        <w:t xml:space="preserve"> acogió</w:t>
      </w:r>
      <w:r w:rsidRPr="0011027E">
        <w:rPr>
          <w:rFonts w:ascii="Book Antiqua" w:hAnsi="Book Antiqua"/>
          <w:color w:val="000000" w:themeColor="text1"/>
        </w:rPr>
        <w:t xml:space="preserve">. </w:t>
      </w:r>
    </w:p>
    <w:p w14:paraId="167D993A" w14:textId="6FBA46C2" w:rsidR="009B5094" w:rsidRPr="0011027E" w:rsidRDefault="009B5094" w:rsidP="00C93D61">
      <w:pPr>
        <w:spacing w:line="288" w:lineRule="auto"/>
        <w:ind w:firstLine="720"/>
        <w:jc w:val="both"/>
        <w:rPr>
          <w:rFonts w:ascii="Book Antiqua" w:hAnsi="Book Antiqua"/>
        </w:rPr>
      </w:pPr>
      <w:r w:rsidRPr="0011027E">
        <w:rPr>
          <w:rFonts w:ascii="Book Antiqua" w:hAnsi="Book Antiqua"/>
          <w:color w:val="000000" w:themeColor="text1"/>
        </w:rPr>
        <w:t xml:space="preserve">El </w:t>
      </w:r>
      <w:r w:rsidRPr="00C93D61">
        <w:rPr>
          <w:rFonts w:ascii="Book Antiqua" w:hAnsi="Book Antiqua"/>
          <w:b/>
          <w:bCs/>
          <w:color w:val="000000" w:themeColor="text1"/>
        </w:rPr>
        <w:t xml:space="preserve">Colegio de </w:t>
      </w:r>
      <w:proofErr w:type="gramStart"/>
      <w:r w:rsidRPr="00C93D61">
        <w:rPr>
          <w:rFonts w:ascii="Book Antiqua" w:hAnsi="Book Antiqua"/>
          <w:b/>
          <w:bCs/>
          <w:color w:val="000000" w:themeColor="text1"/>
        </w:rPr>
        <w:t>Abogados y Abogadas</w:t>
      </w:r>
      <w:proofErr w:type="gramEnd"/>
      <w:r w:rsidR="00C93D61">
        <w:rPr>
          <w:rFonts w:ascii="Book Antiqua" w:hAnsi="Book Antiqua"/>
          <w:color w:val="000000" w:themeColor="text1"/>
        </w:rPr>
        <w:t xml:space="preserve"> </w:t>
      </w:r>
      <w:r w:rsidR="00C93D61" w:rsidRPr="00C93D61">
        <w:rPr>
          <w:rFonts w:ascii="Book Antiqua" w:hAnsi="Book Antiqua"/>
          <w:b/>
          <w:bCs/>
          <w:color w:val="000000" w:themeColor="text1"/>
        </w:rPr>
        <w:t>de Puerto Rico</w:t>
      </w:r>
      <w:r w:rsidRPr="0011027E">
        <w:rPr>
          <w:rFonts w:ascii="Book Antiqua" w:hAnsi="Book Antiqua"/>
          <w:color w:val="000000" w:themeColor="text1"/>
        </w:rPr>
        <w:t xml:space="preserve"> (Colegio) nos presenta un análisis muy puntual, pero en el que no favorece la aprobación de esta legislación</w:t>
      </w:r>
      <w:r w:rsidR="00C93D61">
        <w:rPr>
          <w:rFonts w:ascii="Book Antiqua" w:hAnsi="Book Antiqua"/>
          <w:color w:val="000000" w:themeColor="text1"/>
        </w:rPr>
        <w:t>.</w:t>
      </w:r>
      <w:r w:rsidRPr="0011027E">
        <w:rPr>
          <w:rStyle w:val="FootnoteReference"/>
          <w:rFonts w:ascii="Book Antiqua" w:hAnsi="Book Antiqua"/>
          <w:color w:val="000000" w:themeColor="text1"/>
        </w:rPr>
        <w:footnoteReference w:id="11"/>
      </w:r>
      <w:r w:rsidRPr="0011027E">
        <w:rPr>
          <w:rFonts w:ascii="Book Antiqua" w:hAnsi="Book Antiqua"/>
          <w:color w:val="000000" w:themeColor="text1"/>
        </w:rPr>
        <w:t xml:space="preserve"> Esta ilustrada institución nos indica no tener dudas de que </w:t>
      </w:r>
      <w:r w:rsidRPr="0011027E">
        <w:rPr>
          <w:rFonts w:ascii="Book Antiqua" w:hAnsi="Book Antiqua"/>
        </w:rPr>
        <w:t>el Artículo 1343 debe enmendarse para aclarar su aplicación y alcance, pero su texto actual tiene una explicación histórica que debe ser tomada en cuenta para enmendarlo correctamente. El Colegio indica (y citamos)</w:t>
      </w:r>
    </w:p>
    <w:p w14:paraId="7179F15C" w14:textId="77777777" w:rsidR="009B5094" w:rsidRPr="00C93D61" w:rsidRDefault="009B5094" w:rsidP="00C93D61">
      <w:pPr>
        <w:spacing w:line="240" w:lineRule="auto"/>
        <w:ind w:left="720"/>
        <w:jc w:val="both"/>
        <w:rPr>
          <w:rFonts w:ascii="Book Antiqua" w:hAnsi="Book Antiqua" w:cs="Times New Roman"/>
        </w:rPr>
      </w:pPr>
      <w:r w:rsidRPr="00C93D61">
        <w:rPr>
          <w:rFonts w:ascii="Book Antiqua" w:hAnsi="Book Antiqua" w:cs="Times New Roman"/>
        </w:rPr>
        <w:t xml:space="preserve">El error que quiere corregirse fue producto de una revisión trunca o una inadvertencia en el proceso de aprobación de la Ley Núm. 55-2020, que usó de base el Borrador para Discusión del Libro Quinto (De los Contratos y otras Fuentes de las Obligaciones) presentado a la Asamblea Legislativa por la Comisión Conjunta Permanente para la Revisión y Reforma del Código Civil de Puerto Rico (CCP), y el P. del S. 1710, presentado en 2016 por el [entonces] Sen. Miguel Pereira Castillo. </w:t>
      </w:r>
    </w:p>
    <w:p w14:paraId="5C472B1C" w14:textId="6C665770" w:rsidR="009B5094" w:rsidRPr="00C93D61" w:rsidRDefault="009B5094" w:rsidP="00C93D61">
      <w:pPr>
        <w:spacing w:line="240" w:lineRule="auto"/>
        <w:ind w:left="720"/>
        <w:jc w:val="both"/>
        <w:rPr>
          <w:rFonts w:ascii="Book Antiqua" w:hAnsi="Book Antiqua" w:cs="Times New Roman"/>
        </w:rPr>
      </w:pPr>
      <w:r w:rsidRPr="00C93D61">
        <w:rPr>
          <w:rFonts w:ascii="Book Antiqua" w:hAnsi="Book Antiqua" w:cs="Times New Roman"/>
        </w:rPr>
        <w:t>…</w:t>
      </w:r>
    </w:p>
    <w:p w14:paraId="2D3544DF" w14:textId="1FA1C8EF" w:rsidR="009B5094" w:rsidRPr="00C93D61" w:rsidRDefault="009B5094" w:rsidP="00C93D61">
      <w:pPr>
        <w:spacing w:line="240" w:lineRule="auto"/>
        <w:ind w:left="720"/>
        <w:jc w:val="both"/>
        <w:rPr>
          <w:rFonts w:ascii="Book Antiqua" w:hAnsi="Book Antiqua" w:cs="Times New Roman"/>
        </w:rPr>
      </w:pPr>
      <w:r w:rsidRPr="00C93D61">
        <w:rPr>
          <w:rFonts w:ascii="Book Antiqua" w:hAnsi="Book Antiqua" w:cs="Times New Roman"/>
        </w:rPr>
        <w:t xml:space="preserve">Curiosamente, al aprobarse la Ley Núm. 55-2020 no se atribuyó ningún comentario al artículo 1343 en el memorial explicativo de la medida, aun cuando se alteró sustancialmente el texto propuesto por la CCP y el revisado y finalmente incluido en el P. del S. 1710 sobre los requisitos de forma del arrendamiento de un bien inmueble. Nótese que la exigencia de que el contrato fuera escrito siempre se refería al arrendamiento de bienes inmuebles. Si el plazo era menor de seis años, por ser el bien inmueble un objeto importante para el comercio y la economía, se </w:t>
      </w:r>
      <w:r w:rsidRPr="00C93D61">
        <w:rPr>
          <w:rFonts w:ascii="Book Antiqua" w:hAnsi="Book Antiqua" w:cs="Times New Roman"/>
        </w:rPr>
        <w:lastRenderedPageBreak/>
        <w:t>requería que fuera suscrito en documento privado ante notario. Si excedía el plazo de los seis años, entonces se exigía la escritura pública. El texto del artículo 1457 del P. del S. 1710 era claro y buscaba dar seguridad jurídica sobre ese tipo de contrato, fuera corta o larga su duración. Corregía incluso la imprecisión del texto propuesto por la CCP, como puede constatarse en el enlace provisto en la nota al calce número 2.</w:t>
      </w:r>
    </w:p>
    <w:p w14:paraId="5A32E166" w14:textId="7D05D7F9" w:rsidR="009B5094" w:rsidRPr="00C93D61" w:rsidRDefault="009B5094" w:rsidP="00C93D61">
      <w:pPr>
        <w:spacing w:line="240" w:lineRule="auto"/>
        <w:ind w:left="720"/>
        <w:jc w:val="both"/>
        <w:rPr>
          <w:rFonts w:ascii="Book Antiqua" w:hAnsi="Book Antiqua"/>
        </w:rPr>
      </w:pPr>
      <w:r w:rsidRPr="00C93D61">
        <w:rPr>
          <w:rFonts w:ascii="Book Antiqua" w:hAnsi="Book Antiqua"/>
        </w:rPr>
        <w:t>Al prepararse el P. de la C. 1654, que se convirtió en la Ley Núm. 55-2020, se eliminó sustancialmente el lenguaje del artículo 1457 del P. del S. 1710 y lo que quedó como artículo 1343 de la Ley 55 realmente no es lógico ni razonable. En eso hay que darle la razón al proponente del P. del S. [1016]. Fue esa alteración descuidada lo que provocó la confusa redacción del actual artículo 1343.</w:t>
      </w:r>
    </w:p>
    <w:p w14:paraId="56D022B3" w14:textId="6F458CAE" w:rsidR="009B5094" w:rsidRPr="00C93D61" w:rsidRDefault="009B5094" w:rsidP="00C93D61">
      <w:pPr>
        <w:spacing w:line="240" w:lineRule="auto"/>
        <w:ind w:left="720"/>
        <w:jc w:val="both"/>
        <w:rPr>
          <w:rFonts w:ascii="Book Antiqua" w:hAnsi="Book Antiqua"/>
        </w:rPr>
      </w:pPr>
      <w:r w:rsidRPr="00C93D61">
        <w:rPr>
          <w:rFonts w:ascii="Book Antiqua" w:hAnsi="Book Antiqua"/>
        </w:rPr>
        <w:t xml:space="preserve">Sin duda, la armonía de las disposiciones del Código Civil con las de la Ley Núm. 210-2015 (Ley del Registro de la Propiedad Inmobiliaria) es encomiable y beneficiosa para la seguridad jurídica. No obstante, esa armonía ya se había logrado parcialmente con el texto del artículo 1342, que expresamente dispone que la libertad de forma puede exceptuarse cuando se trata del arrendamiento “de un bien inmueble y se pretende inscribir en el Registro de la Propiedad para que tenga efecto ante tercero”. Reiteramos, aunque no se habla del tipo de escrito requerido para esa inscripción, sabemos que es la escritura pública. </w:t>
      </w:r>
    </w:p>
    <w:p w14:paraId="18E7AE2F" w14:textId="0A1BF73C" w:rsidR="009B5094" w:rsidRPr="00C93D61" w:rsidRDefault="009B5094" w:rsidP="00C93D61">
      <w:pPr>
        <w:spacing w:line="240" w:lineRule="auto"/>
        <w:ind w:left="720"/>
        <w:jc w:val="both"/>
        <w:rPr>
          <w:rFonts w:ascii="Book Antiqua" w:hAnsi="Book Antiqua" w:cs="Times New Roman"/>
        </w:rPr>
      </w:pPr>
      <w:r w:rsidRPr="00C93D61">
        <w:rPr>
          <w:rFonts w:ascii="Book Antiqua" w:hAnsi="Book Antiqua"/>
        </w:rPr>
        <w:t>Lo que hizo la Ley Núm. 55-2020 fue unir una parte del artículo 1457 del P. del S. 1710 al artículo 1342 vigente, dejando un vacío sustancial en el actual artículo 1343, lo que lo hace incomprensible para el proponente del P. del S. 1016. Repetimos, curiosamente la Ley 55 puso como título a ese artículo “Requisito de instrumento privado”, lo que implica que no estaban pensando en los contratos que podían entrar al Registro de la propiedad.</w:t>
      </w:r>
      <w:r w:rsidR="00C93D61" w:rsidRPr="00C93D61">
        <w:rPr>
          <w:rStyle w:val="FootnoteReference"/>
          <w:rFonts w:ascii="Book Antiqua" w:hAnsi="Book Antiqua"/>
        </w:rPr>
        <w:footnoteReference w:id="12"/>
      </w:r>
    </w:p>
    <w:p w14:paraId="52486883" w14:textId="562D3240" w:rsidR="009B5094" w:rsidRDefault="00D85275" w:rsidP="00C93D61">
      <w:pPr>
        <w:spacing w:after="0" w:line="288" w:lineRule="auto"/>
        <w:ind w:firstLine="720"/>
        <w:jc w:val="both"/>
        <w:rPr>
          <w:rFonts w:ascii="Book Antiqua" w:hAnsi="Book Antiqua" w:cs="Times New Roman"/>
          <w:color w:val="000000" w:themeColor="text1"/>
        </w:rPr>
      </w:pPr>
      <w:r w:rsidRPr="0011027E">
        <w:rPr>
          <w:rFonts w:ascii="Book Antiqua" w:hAnsi="Book Antiqua" w:cs="Times New Roman"/>
          <w:color w:val="000000" w:themeColor="text1"/>
        </w:rPr>
        <w:t xml:space="preserve">A pesar de todo lo anterior, el Colegio se cuestiona si </w:t>
      </w:r>
      <w:r w:rsidR="00A22C21">
        <w:rPr>
          <w:rFonts w:ascii="Book Antiqua" w:hAnsi="Book Antiqua" w:cs="Times New Roman"/>
          <w:color w:val="000000" w:themeColor="text1"/>
        </w:rPr>
        <w:t xml:space="preserve">se quiere que </w:t>
      </w:r>
      <w:r w:rsidRPr="0011027E">
        <w:rPr>
          <w:rFonts w:ascii="Book Antiqua" w:hAnsi="Book Antiqua" w:cs="Times New Roman"/>
          <w:color w:val="000000" w:themeColor="text1"/>
        </w:rPr>
        <w:t xml:space="preserve">todo contrato de arrendamiento, de cualquier cosa u objeto </w:t>
      </w:r>
      <w:r w:rsidR="00684540">
        <w:rPr>
          <w:rFonts w:ascii="Book Antiqua" w:hAnsi="Book Antiqua" w:cs="Times New Roman"/>
          <w:color w:val="000000" w:themeColor="text1"/>
        </w:rPr>
        <w:t xml:space="preserve">tenga </w:t>
      </w:r>
      <w:r w:rsidRPr="0011027E">
        <w:rPr>
          <w:rFonts w:ascii="Book Antiqua" w:hAnsi="Book Antiqua" w:cs="Times New Roman"/>
          <w:color w:val="000000" w:themeColor="text1"/>
        </w:rPr>
        <w:t xml:space="preserve">la formalidad de un escrito sin calificar la naturaleza, autenticidad y valor probatorio de ese documento. </w:t>
      </w:r>
      <w:r w:rsidR="00684540">
        <w:rPr>
          <w:rFonts w:ascii="Book Antiqua" w:hAnsi="Book Antiqua" w:cs="Times New Roman"/>
          <w:color w:val="000000" w:themeColor="text1"/>
        </w:rPr>
        <w:t>Tal</w:t>
      </w:r>
      <w:r w:rsidRPr="0011027E">
        <w:rPr>
          <w:rFonts w:ascii="Book Antiqua" w:hAnsi="Book Antiqua" w:cs="Times New Roman"/>
          <w:color w:val="000000" w:themeColor="text1"/>
        </w:rPr>
        <w:t xml:space="preserve"> cuestionamiento busca motivar a que </w:t>
      </w:r>
      <w:r w:rsidR="00C739E9">
        <w:rPr>
          <w:rFonts w:ascii="Book Antiqua" w:hAnsi="Book Antiqua" w:cs="Times New Roman"/>
          <w:color w:val="000000" w:themeColor="text1"/>
        </w:rPr>
        <w:t xml:space="preserve">se </w:t>
      </w:r>
      <w:r w:rsidRPr="0011027E">
        <w:rPr>
          <w:rFonts w:ascii="Book Antiqua" w:hAnsi="Book Antiqua" w:cs="Times New Roman"/>
          <w:color w:val="000000" w:themeColor="text1"/>
        </w:rPr>
        <w:t>adopte la redacción del proyecto de 2016</w:t>
      </w:r>
      <w:r w:rsidR="00C739E9">
        <w:rPr>
          <w:rFonts w:ascii="Book Antiqua" w:hAnsi="Book Antiqua" w:cs="Times New Roman"/>
          <w:color w:val="000000" w:themeColor="text1"/>
        </w:rPr>
        <w:t xml:space="preserve"> que mencionó</w:t>
      </w:r>
      <w:r w:rsidRPr="0011027E">
        <w:rPr>
          <w:rFonts w:ascii="Book Antiqua" w:hAnsi="Book Antiqua" w:cs="Times New Roman"/>
          <w:color w:val="000000" w:themeColor="text1"/>
        </w:rPr>
        <w:t xml:space="preserve">. </w:t>
      </w:r>
    </w:p>
    <w:p w14:paraId="61BA0024" w14:textId="77777777" w:rsidR="00646288" w:rsidRDefault="00646288" w:rsidP="00C93D61">
      <w:pPr>
        <w:spacing w:after="0" w:line="288" w:lineRule="auto"/>
        <w:ind w:firstLine="720"/>
        <w:jc w:val="both"/>
        <w:rPr>
          <w:rFonts w:ascii="Book Antiqua" w:hAnsi="Book Antiqua" w:cs="Times New Roman"/>
          <w:color w:val="000000" w:themeColor="text1"/>
        </w:rPr>
      </w:pPr>
    </w:p>
    <w:p w14:paraId="2C87E8A4" w14:textId="77777777" w:rsidR="00C739E9" w:rsidRDefault="00C739E9" w:rsidP="00C93D61">
      <w:pPr>
        <w:spacing w:after="0" w:line="288" w:lineRule="auto"/>
        <w:ind w:firstLine="720"/>
        <w:jc w:val="both"/>
        <w:rPr>
          <w:rFonts w:ascii="Book Antiqua" w:hAnsi="Book Antiqua" w:cs="Times New Roman"/>
          <w:color w:val="000000" w:themeColor="text1"/>
        </w:rPr>
      </w:pPr>
    </w:p>
    <w:p w14:paraId="6C1EB28D" w14:textId="77777777" w:rsidR="00646288" w:rsidRDefault="00646288" w:rsidP="00C93D61">
      <w:pPr>
        <w:spacing w:after="0" w:line="288" w:lineRule="auto"/>
        <w:ind w:firstLine="720"/>
        <w:jc w:val="both"/>
        <w:rPr>
          <w:rFonts w:ascii="Book Antiqua" w:hAnsi="Book Antiqua" w:cs="Times New Roman"/>
          <w:color w:val="000000" w:themeColor="text1"/>
        </w:rPr>
      </w:pPr>
    </w:p>
    <w:p w14:paraId="632C237F" w14:textId="77777777" w:rsidR="00646288" w:rsidRDefault="00646288" w:rsidP="00C93D61">
      <w:pPr>
        <w:spacing w:after="0" w:line="288" w:lineRule="auto"/>
        <w:ind w:firstLine="720"/>
        <w:jc w:val="both"/>
        <w:rPr>
          <w:rFonts w:ascii="Book Antiqua" w:hAnsi="Book Antiqua" w:cs="Times New Roman"/>
          <w:color w:val="000000" w:themeColor="text1"/>
        </w:rPr>
      </w:pPr>
    </w:p>
    <w:p w14:paraId="46518AF4" w14:textId="77777777" w:rsidR="00646288" w:rsidRPr="0011027E" w:rsidRDefault="00646288" w:rsidP="00C93D61">
      <w:pPr>
        <w:spacing w:after="0" w:line="288" w:lineRule="auto"/>
        <w:ind w:firstLine="720"/>
        <w:jc w:val="both"/>
        <w:rPr>
          <w:rFonts w:ascii="Book Antiqua" w:hAnsi="Book Antiqua" w:cs="Times New Roman"/>
          <w:color w:val="000000" w:themeColor="text1"/>
        </w:rPr>
      </w:pPr>
    </w:p>
    <w:p w14:paraId="0B6BB89B" w14:textId="602CD863" w:rsidR="00D85275" w:rsidRPr="0011027E" w:rsidRDefault="00D85275" w:rsidP="00C93D61">
      <w:pPr>
        <w:spacing w:after="0" w:line="288" w:lineRule="auto"/>
        <w:ind w:firstLine="720"/>
        <w:jc w:val="both"/>
        <w:rPr>
          <w:rFonts w:ascii="Book Antiqua" w:hAnsi="Book Antiqua"/>
        </w:rPr>
      </w:pPr>
      <w:r w:rsidRPr="0011027E">
        <w:rPr>
          <w:rFonts w:ascii="Book Antiqua" w:hAnsi="Book Antiqua" w:cs="Times New Roman"/>
          <w:color w:val="000000" w:themeColor="text1"/>
        </w:rPr>
        <w:lastRenderedPageBreak/>
        <w:t xml:space="preserve">El Colegio concluye que la redacción </w:t>
      </w:r>
      <w:r w:rsidRPr="0011027E">
        <w:rPr>
          <w:rFonts w:ascii="Book Antiqua" w:hAnsi="Book Antiqua"/>
        </w:rPr>
        <w:t>propuesta en el P. del S. 1016 para el artículo 1343 del Código Civil perpetuará las dudas sobre el tipo de escrito que debe suscribirse para perfeccionar un contrato de arrendamiento de larga duración. No queda claro que debe exigirse la escritura pública para el arrendamiento de bienes inmuebles por más de seis años</w:t>
      </w:r>
      <w:r w:rsidR="009744BA">
        <w:rPr>
          <w:rFonts w:ascii="Book Antiqua" w:hAnsi="Book Antiqua"/>
        </w:rPr>
        <w:t>.</w:t>
      </w:r>
      <w:r w:rsidRPr="0011027E">
        <w:rPr>
          <w:rFonts w:ascii="Book Antiqua" w:hAnsi="Book Antiqua"/>
        </w:rPr>
        <w:t xml:space="preserve"> </w:t>
      </w:r>
      <w:r w:rsidR="009744BA">
        <w:rPr>
          <w:rFonts w:ascii="Book Antiqua" w:hAnsi="Book Antiqua"/>
        </w:rPr>
        <w:t>T</w:t>
      </w:r>
      <w:r w:rsidRPr="0011027E">
        <w:rPr>
          <w:rFonts w:ascii="Book Antiqua" w:hAnsi="Book Antiqua"/>
        </w:rPr>
        <w:t>ampoco se autoriza el documento privado para el arrendamiento de bienes inmuebles de menos plazo, así como para el arrendamiento de cualquier otro bien cuya duración exceda los seis años.</w:t>
      </w:r>
    </w:p>
    <w:p w14:paraId="0E55407A" w14:textId="77777777" w:rsidR="00E97353" w:rsidRDefault="00785F7D" w:rsidP="00F43EFB">
      <w:pPr>
        <w:spacing w:after="120" w:line="288" w:lineRule="auto"/>
        <w:ind w:firstLine="720"/>
        <w:jc w:val="both"/>
        <w:rPr>
          <w:rFonts w:ascii="Book Antiqua" w:hAnsi="Book Antiqua"/>
        </w:rPr>
      </w:pPr>
      <w:r>
        <w:rPr>
          <w:rFonts w:ascii="Book Antiqua" w:hAnsi="Book Antiqua"/>
        </w:rPr>
        <w:t xml:space="preserve">Según el trámite legislativo, </w:t>
      </w:r>
      <w:r w:rsidR="00E573B5">
        <w:rPr>
          <w:rFonts w:ascii="Book Antiqua" w:hAnsi="Book Antiqua"/>
        </w:rPr>
        <w:t xml:space="preserve">la Comisión de lo Jurídico del Senado aprobó un </w:t>
      </w:r>
      <w:proofErr w:type="spellStart"/>
      <w:r w:rsidR="00E573B5">
        <w:rPr>
          <w:rFonts w:ascii="Book Antiqua" w:hAnsi="Book Antiqua"/>
        </w:rPr>
        <w:t>entirillado</w:t>
      </w:r>
      <w:proofErr w:type="spellEnd"/>
      <w:r w:rsidR="00E573B5">
        <w:rPr>
          <w:rFonts w:ascii="Book Antiqua" w:hAnsi="Book Antiqua"/>
        </w:rPr>
        <w:t xml:space="preserve"> que atendió</w:t>
      </w:r>
      <w:r w:rsidR="004E70E6">
        <w:rPr>
          <w:rFonts w:ascii="Book Antiqua" w:hAnsi="Book Antiqua"/>
        </w:rPr>
        <w:t xml:space="preserve"> </w:t>
      </w:r>
      <w:r w:rsidR="002C2AB3">
        <w:rPr>
          <w:rFonts w:ascii="Book Antiqua" w:hAnsi="Book Antiqua"/>
        </w:rPr>
        <w:t>las sugerencias de la OSL</w:t>
      </w:r>
      <w:r w:rsidR="00B90089">
        <w:rPr>
          <w:rFonts w:ascii="Book Antiqua" w:hAnsi="Book Antiqua"/>
        </w:rPr>
        <w:t xml:space="preserve"> para que el artículo solo se refirier</w:t>
      </w:r>
      <w:r w:rsidR="00E97353">
        <w:rPr>
          <w:rFonts w:ascii="Book Antiqua" w:hAnsi="Book Antiqua"/>
        </w:rPr>
        <w:t>a a instrumentos públicos:</w:t>
      </w:r>
    </w:p>
    <w:p w14:paraId="709078D1" w14:textId="1583F617" w:rsidR="00E97353" w:rsidRPr="00E97353" w:rsidRDefault="002C2AB3" w:rsidP="003B576D">
      <w:pPr>
        <w:spacing w:after="120" w:line="288" w:lineRule="auto"/>
        <w:ind w:left="720" w:right="720" w:firstLine="720"/>
        <w:jc w:val="both"/>
        <w:rPr>
          <w:rFonts w:ascii="Book Antiqua" w:hAnsi="Book Antiqua"/>
        </w:rPr>
      </w:pPr>
      <w:r>
        <w:rPr>
          <w:rFonts w:ascii="Book Antiqua" w:hAnsi="Book Antiqua"/>
        </w:rPr>
        <w:t xml:space="preserve"> </w:t>
      </w:r>
      <w:r w:rsidR="00E97353" w:rsidRPr="00E97353">
        <w:rPr>
          <w:rFonts w:ascii="Book Antiqua" w:hAnsi="Book Antiqua"/>
        </w:rPr>
        <w:t>Artículo 1343.- Requisito de instrumento público.</w:t>
      </w:r>
    </w:p>
    <w:p w14:paraId="7F597E4F" w14:textId="254042E1" w:rsidR="00161F7B" w:rsidRDefault="00E97353" w:rsidP="003B576D">
      <w:pPr>
        <w:spacing w:after="120" w:line="288" w:lineRule="auto"/>
        <w:ind w:left="720" w:right="720" w:firstLine="720"/>
        <w:jc w:val="both"/>
        <w:rPr>
          <w:rFonts w:ascii="Book Antiqua" w:hAnsi="Book Antiqua"/>
        </w:rPr>
      </w:pPr>
      <w:r w:rsidRPr="00E97353">
        <w:rPr>
          <w:rFonts w:ascii="Book Antiqua" w:hAnsi="Book Antiqua"/>
        </w:rPr>
        <w:t>Cu</w:t>
      </w:r>
      <w:r>
        <w:rPr>
          <w:rFonts w:ascii="Book Antiqua" w:hAnsi="Book Antiqua"/>
        </w:rPr>
        <w:t>ando</w:t>
      </w:r>
      <w:r w:rsidRPr="00E97353">
        <w:rPr>
          <w:rFonts w:ascii="Book Antiqua" w:hAnsi="Book Antiqua"/>
        </w:rPr>
        <w:t xml:space="preserve"> el arrendamiento de un bien inmueble es convenido por un término mayor de seis (6) años, deberá constar por escrito en documento público</w:t>
      </w:r>
      <w:r>
        <w:rPr>
          <w:rFonts w:ascii="Book Antiqua" w:hAnsi="Book Antiqua"/>
        </w:rPr>
        <w:t>.</w:t>
      </w:r>
    </w:p>
    <w:p w14:paraId="71A890E9" w14:textId="40FDA410" w:rsidR="00E97353" w:rsidRDefault="00DE3A3E" w:rsidP="00E97353">
      <w:pPr>
        <w:spacing w:after="120" w:line="288" w:lineRule="auto"/>
        <w:ind w:firstLine="720"/>
        <w:jc w:val="both"/>
        <w:rPr>
          <w:rFonts w:ascii="Book Antiqua" w:hAnsi="Book Antiqua"/>
        </w:rPr>
      </w:pPr>
      <w:r>
        <w:rPr>
          <w:rFonts w:ascii="Book Antiqua" w:hAnsi="Book Antiqua"/>
        </w:rPr>
        <w:t>El Senado enmendó esta versión en sala:</w:t>
      </w:r>
    </w:p>
    <w:p w14:paraId="28C72201" w14:textId="77777777" w:rsidR="0030170C" w:rsidRPr="0030170C" w:rsidRDefault="0030170C" w:rsidP="003B576D">
      <w:pPr>
        <w:spacing w:after="120" w:line="288" w:lineRule="auto"/>
        <w:ind w:left="720" w:right="720" w:firstLine="720"/>
        <w:jc w:val="both"/>
        <w:rPr>
          <w:rFonts w:ascii="Book Antiqua" w:hAnsi="Book Antiqua"/>
        </w:rPr>
      </w:pPr>
      <w:r w:rsidRPr="0030170C">
        <w:rPr>
          <w:rFonts w:ascii="Book Antiqua" w:hAnsi="Book Antiqua"/>
        </w:rPr>
        <w:t>Artículo 1343.- Requisito de instrumento público.</w:t>
      </w:r>
    </w:p>
    <w:p w14:paraId="5A31E918" w14:textId="2CFB7607" w:rsidR="00DE3A3E" w:rsidRDefault="0030170C" w:rsidP="003B576D">
      <w:pPr>
        <w:spacing w:after="120" w:line="288" w:lineRule="auto"/>
        <w:ind w:left="720" w:right="720" w:firstLine="720"/>
        <w:jc w:val="both"/>
        <w:rPr>
          <w:rFonts w:ascii="Book Antiqua" w:hAnsi="Book Antiqua"/>
        </w:rPr>
      </w:pPr>
      <w:r w:rsidRPr="0030170C">
        <w:rPr>
          <w:rFonts w:ascii="Book Antiqua" w:hAnsi="Book Antiqua"/>
        </w:rPr>
        <w:t>Cuando el arrendamiento de un bien inmueble es convenido por un término mayor de seis (6) años, deberá constar por escrito</w:t>
      </w:r>
      <w:r>
        <w:rPr>
          <w:rFonts w:ascii="Book Antiqua" w:hAnsi="Book Antiqua"/>
        </w:rPr>
        <w:t>.</w:t>
      </w:r>
    </w:p>
    <w:p w14:paraId="34BBAE08" w14:textId="087F18EF" w:rsidR="00E97353" w:rsidRDefault="00570C89" w:rsidP="00E97353">
      <w:pPr>
        <w:spacing w:after="120" w:line="288" w:lineRule="auto"/>
        <w:ind w:firstLine="720"/>
        <w:jc w:val="both"/>
        <w:rPr>
          <w:rFonts w:ascii="Book Antiqua" w:hAnsi="Book Antiqua"/>
        </w:rPr>
      </w:pPr>
      <w:r>
        <w:rPr>
          <w:rFonts w:ascii="Book Antiqua" w:hAnsi="Book Antiqua"/>
        </w:rPr>
        <w:t xml:space="preserve">La exposición de motivos no se atemperó para justificar esta enmienda que parece haberse hecho para mantener </w:t>
      </w:r>
      <w:r w:rsidR="00896CCA">
        <w:rPr>
          <w:rFonts w:ascii="Book Antiqua" w:hAnsi="Book Antiqua"/>
        </w:rPr>
        <w:t xml:space="preserve">el requisito de que el </w:t>
      </w:r>
      <w:r w:rsidR="00285A7F">
        <w:rPr>
          <w:rFonts w:ascii="Book Antiqua" w:hAnsi="Book Antiqua"/>
        </w:rPr>
        <w:t>arrendamiento de un bien inmueble</w:t>
      </w:r>
      <w:r w:rsidR="00896CCA">
        <w:rPr>
          <w:rFonts w:ascii="Book Antiqua" w:hAnsi="Book Antiqua"/>
        </w:rPr>
        <w:t xml:space="preserve"> </w:t>
      </w:r>
      <w:r w:rsidR="00285A7F">
        <w:rPr>
          <w:rFonts w:ascii="Book Antiqua" w:hAnsi="Book Antiqua"/>
        </w:rPr>
        <w:t>a</w:t>
      </w:r>
      <w:r w:rsidR="00896CCA">
        <w:rPr>
          <w:rFonts w:ascii="Book Antiqua" w:hAnsi="Book Antiqua"/>
        </w:rPr>
        <w:t xml:space="preserve"> largo plazo —</w:t>
      </w:r>
      <w:r w:rsidR="00C03EF4">
        <w:rPr>
          <w:rFonts w:ascii="Book Antiqua" w:hAnsi="Book Antiqua"/>
        </w:rPr>
        <w:t>más</w:t>
      </w:r>
      <w:r w:rsidR="00896CCA">
        <w:rPr>
          <w:rFonts w:ascii="Book Antiqua" w:hAnsi="Book Antiqua"/>
        </w:rPr>
        <w:t xml:space="preserve"> de seis años— conste por escrito.</w:t>
      </w:r>
      <w:r w:rsidR="00304870">
        <w:rPr>
          <w:rFonts w:ascii="Book Antiqua" w:hAnsi="Book Antiqua"/>
        </w:rPr>
        <w:t xml:space="preserve"> Esto, sin </w:t>
      </w:r>
      <w:r w:rsidR="00C03EF4">
        <w:rPr>
          <w:rFonts w:ascii="Book Antiqua" w:hAnsi="Book Antiqua"/>
        </w:rPr>
        <w:t xml:space="preserve">considerar si la intención de tenerlo por escrito </w:t>
      </w:r>
      <w:r w:rsidR="00F30778">
        <w:rPr>
          <w:rFonts w:ascii="Book Antiqua" w:hAnsi="Book Antiqua"/>
        </w:rPr>
        <w:t xml:space="preserve">es para que se pueda registrar. </w:t>
      </w:r>
      <w:r w:rsidR="008309E1">
        <w:rPr>
          <w:rFonts w:ascii="Book Antiqua" w:hAnsi="Book Antiqua"/>
        </w:rPr>
        <w:t>Para que así conste, esta comisión propone el siguiente lenguaje:</w:t>
      </w:r>
    </w:p>
    <w:p w14:paraId="63B233E6" w14:textId="739B3FA2" w:rsidR="001C15D9" w:rsidRPr="001C15D9" w:rsidRDefault="001C15D9" w:rsidP="001C15D9">
      <w:pPr>
        <w:spacing w:after="120" w:line="288" w:lineRule="auto"/>
        <w:ind w:left="720" w:right="720" w:firstLine="720"/>
        <w:jc w:val="both"/>
        <w:rPr>
          <w:rFonts w:ascii="Book Antiqua" w:hAnsi="Book Antiqua"/>
        </w:rPr>
      </w:pPr>
      <w:r w:rsidRPr="001C15D9">
        <w:rPr>
          <w:rFonts w:ascii="Book Antiqua" w:hAnsi="Book Antiqua"/>
        </w:rPr>
        <w:t>Artículo 1343.- Requisito de</w:t>
      </w:r>
      <w:r w:rsidR="00324697">
        <w:rPr>
          <w:rFonts w:ascii="Book Antiqua" w:hAnsi="Book Antiqua"/>
        </w:rPr>
        <w:t xml:space="preserve"> </w:t>
      </w:r>
      <w:r w:rsidR="00324697" w:rsidRPr="0030170C">
        <w:rPr>
          <w:rFonts w:ascii="Book Antiqua" w:hAnsi="Book Antiqua"/>
        </w:rPr>
        <w:t>instrumento público</w:t>
      </w:r>
      <w:r w:rsidR="00324697">
        <w:rPr>
          <w:rFonts w:ascii="Book Antiqua" w:hAnsi="Book Antiqua"/>
        </w:rPr>
        <w:t xml:space="preserve"> o privado</w:t>
      </w:r>
      <w:r w:rsidRPr="001C15D9">
        <w:rPr>
          <w:rFonts w:ascii="Book Antiqua" w:hAnsi="Book Antiqua"/>
        </w:rPr>
        <w:t>.</w:t>
      </w:r>
    </w:p>
    <w:p w14:paraId="176AAC4E" w14:textId="22F242E9" w:rsidR="008309E1" w:rsidRDefault="001C15D9" w:rsidP="001C15D9">
      <w:pPr>
        <w:spacing w:after="120" w:line="288" w:lineRule="auto"/>
        <w:ind w:left="720" w:right="720" w:firstLine="720"/>
        <w:jc w:val="both"/>
        <w:rPr>
          <w:rFonts w:ascii="Book Antiqua" w:hAnsi="Book Antiqua"/>
        </w:rPr>
      </w:pPr>
      <w:r w:rsidRPr="001C15D9">
        <w:rPr>
          <w:rFonts w:ascii="Book Antiqua" w:hAnsi="Book Antiqua"/>
        </w:rPr>
        <w:t>Cuando el arrendamiento de un bien inmueble es convenido por un término mayor de seis (6) años, deberá constar por escrito</w:t>
      </w:r>
      <w:r>
        <w:rPr>
          <w:rFonts w:ascii="Book Antiqua" w:hAnsi="Book Antiqua"/>
        </w:rPr>
        <w:t>.</w:t>
      </w:r>
    </w:p>
    <w:p w14:paraId="30DC22C7" w14:textId="5BAFCF5B" w:rsidR="00161F7B" w:rsidRDefault="001631A9" w:rsidP="00F43EFB">
      <w:pPr>
        <w:spacing w:after="120" w:line="288" w:lineRule="auto"/>
        <w:ind w:firstLine="720"/>
        <w:jc w:val="both"/>
        <w:rPr>
          <w:rFonts w:ascii="Book Antiqua" w:hAnsi="Book Antiqua"/>
        </w:rPr>
      </w:pPr>
      <w:r>
        <w:rPr>
          <w:rFonts w:ascii="Book Antiqua" w:hAnsi="Book Antiqua"/>
        </w:rPr>
        <w:t xml:space="preserve">Si el interés de las partes </w:t>
      </w:r>
      <w:r w:rsidR="0023707A">
        <w:rPr>
          <w:rFonts w:ascii="Book Antiqua" w:hAnsi="Book Antiqua"/>
        </w:rPr>
        <w:t xml:space="preserve">es inscribir el arrendamiento, se regirán por el artículo 1342 del Código Civil de Puerto Rico, y por el artículo 5 </w:t>
      </w:r>
      <w:r w:rsidR="006E5A5D" w:rsidRPr="0011027E">
        <w:rPr>
          <w:rFonts w:ascii="Book Antiqua" w:hAnsi="Book Antiqua"/>
          <w:color w:val="000000" w:themeColor="text1"/>
        </w:rPr>
        <w:t>de la Ley</w:t>
      </w:r>
      <w:r w:rsidR="006E5A5D">
        <w:rPr>
          <w:rFonts w:ascii="Book Antiqua" w:hAnsi="Book Antiqua"/>
          <w:color w:val="000000" w:themeColor="text1"/>
        </w:rPr>
        <w:t xml:space="preserve"> Núm.</w:t>
      </w:r>
      <w:r w:rsidR="006E5A5D" w:rsidRPr="0011027E">
        <w:rPr>
          <w:rFonts w:ascii="Book Antiqua" w:hAnsi="Book Antiqua"/>
          <w:color w:val="000000" w:themeColor="text1"/>
        </w:rPr>
        <w:t xml:space="preserve"> 210-2015</w:t>
      </w:r>
      <w:r w:rsidR="006E5A5D">
        <w:rPr>
          <w:rFonts w:ascii="Book Antiqua" w:hAnsi="Book Antiqua"/>
          <w:color w:val="000000" w:themeColor="text1"/>
        </w:rPr>
        <w:t>.</w:t>
      </w:r>
    </w:p>
    <w:p w14:paraId="649255B9" w14:textId="77777777" w:rsidR="001C15D9" w:rsidRDefault="001C15D9" w:rsidP="00F43EFB">
      <w:pPr>
        <w:spacing w:after="120" w:line="288" w:lineRule="auto"/>
        <w:ind w:firstLine="720"/>
        <w:jc w:val="both"/>
        <w:rPr>
          <w:rFonts w:ascii="Book Antiqua" w:hAnsi="Book Antiqua"/>
        </w:rPr>
      </w:pPr>
    </w:p>
    <w:p w14:paraId="6A88936A" w14:textId="77777777" w:rsidR="001C15D9" w:rsidRDefault="001C15D9" w:rsidP="00F43EFB">
      <w:pPr>
        <w:spacing w:after="120" w:line="288" w:lineRule="auto"/>
        <w:ind w:firstLine="720"/>
        <w:jc w:val="both"/>
        <w:rPr>
          <w:rFonts w:ascii="Book Antiqua" w:hAnsi="Book Antiqua"/>
        </w:rPr>
      </w:pPr>
    </w:p>
    <w:p w14:paraId="641746BF" w14:textId="77777777" w:rsidR="001C15D9" w:rsidRDefault="001C15D9" w:rsidP="00F43EFB">
      <w:pPr>
        <w:spacing w:after="120" w:line="288" w:lineRule="auto"/>
        <w:ind w:firstLine="720"/>
        <w:jc w:val="both"/>
        <w:rPr>
          <w:rFonts w:ascii="Book Antiqua" w:hAnsi="Book Antiqua"/>
        </w:rPr>
      </w:pPr>
    </w:p>
    <w:p w14:paraId="34B610B5" w14:textId="4AE2A29A" w:rsidR="005600B5" w:rsidRPr="00C93D61" w:rsidRDefault="00444025" w:rsidP="00444025">
      <w:pPr>
        <w:tabs>
          <w:tab w:val="left" w:pos="4145"/>
        </w:tabs>
        <w:spacing w:after="120" w:line="288" w:lineRule="auto"/>
        <w:ind w:firstLine="720"/>
        <w:jc w:val="both"/>
        <w:rPr>
          <w:rFonts w:ascii="Book Antiqua" w:eastAsia="Times New Roman" w:hAnsi="Book Antiqua" w:cs="Times New Roman"/>
          <w:color w:val="000000" w:themeColor="text1"/>
          <w:spacing w:val="12"/>
          <w:kern w:val="0"/>
          <w14:ligatures w14:val="none"/>
        </w:rPr>
      </w:pPr>
      <w:r>
        <w:rPr>
          <w:rFonts w:ascii="Book Antiqua" w:hAnsi="Book Antiqua"/>
        </w:rPr>
        <w:lastRenderedPageBreak/>
        <w:tab/>
      </w:r>
      <w:r w:rsidR="005600B5" w:rsidRPr="00C93D61">
        <w:rPr>
          <w:rFonts w:ascii="Book Antiqua" w:eastAsia="Times New Roman" w:hAnsi="Book Antiqua" w:cs="Times New Roman"/>
          <w:color w:val="000000" w:themeColor="text1"/>
          <w:spacing w:val="12"/>
          <w:kern w:val="0"/>
          <w14:ligatures w14:val="none"/>
        </w:rPr>
        <w:t>CONCLUSIÓN</w:t>
      </w:r>
    </w:p>
    <w:p w14:paraId="01C34C02" w14:textId="77777777" w:rsidR="000B2D1E" w:rsidRDefault="00E97D6F" w:rsidP="000B2D1E">
      <w:pPr>
        <w:spacing w:after="120" w:line="288" w:lineRule="auto"/>
        <w:ind w:firstLine="720"/>
        <w:jc w:val="both"/>
        <w:rPr>
          <w:rFonts w:ascii="Book Antiqua" w:hAnsi="Book Antiqua"/>
          <w:color w:val="000000" w:themeColor="text1"/>
        </w:rPr>
      </w:pPr>
      <w:r w:rsidRPr="0011027E">
        <w:rPr>
          <w:rFonts w:ascii="Book Antiqua" w:hAnsi="Book Antiqua"/>
          <w:color w:val="000000" w:themeColor="text1"/>
        </w:rPr>
        <w:t xml:space="preserve">El P. del S. 1016 </w:t>
      </w:r>
      <w:r w:rsidR="00885C36">
        <w:rPr>
          <w:rFonts w:ascii="Book Antiqua" w:hAnsi="Book Antiqua"/>
          <w:color w:val="000000" w:themeColor="text1"/>
        </w:rPr>
        <w:t xml:space="preserve">es </w:t>
      </w:r>
      <w:r w:rsidRPr="0011027E">
        <w:rPr>
          <w:rFonts w:ascii="Book Antiqua" w:hAnsi="Book Antiqua"/>
          <w:color w:val="000000" w:themeColor="text1"/>
        </w:rPr>
        <w:t xml:space="preserve">una enmienda técnica al Código Civil, que busca corregir una inadvertencia en la aprobación del Código. Con esta enmienda se atempera la redacción del </w:t>
      </w:r>
      <w:r w:rsidR="000B2D1E">
        <w:rPr>
          <w:rFonts w:ascii="Book Antiqua" w:hAnsi="Book Antiqua"/>
          <w:color w:val="000000" w:themeColor="text1"/>
        </w:rPr>
        <w:t>a</w:t>
      </w:r>
      <w:r w:rsidRPr="0011027E">
        <w:rPr>
          <w:rFonts w:ascii="Book Antiqua" w:hAnsi="Book Antiqua"/>
          <w:color w:val="000000" w:themeColor="text1"/>
        </w:rPr>
        <w:t>rtículo 1343</w:t>
      </w:r>
      <w:r w:rsidR="00D85275" w:rsidRPr="0011027E">
        <w:rPr>
          <w:rFonts w:ascii="Book Antiqua" w:hAnsi="Book Antiqua"/>
          <w:color w:val="000000" w:themeColor="text1"/>
        </w:rPr>
        <w:t xml:space="preserve"> de</w:t>
      </w:r>
      <w:r w:rsidR="000B2D1E">
        <w:rPr>
          <w:rFonts w:ascii="Book Antiqua" w:hAnsi="Book Antiqua"/>
          <w:color w:val="000000" w:themeColor="text1"/>
        </w:rPr>
        <w:t>l</w:t>
      </w:r>
      <w:r w:rsidR="00D85275" w:rsidRPr="0011027E">
        <w:rPr>
          <w:rFonts w:ascii="Book Antiqua" w:hAnsi="Book Antiqua"/>
          <w:color w:val="000000" w:themeColor="text1"/>
        </w:rPr>
        <w:t xml:space="preserve"> Código</w:t>
      </w:r>
      <w:r w:rsidR="000B2D1E">
        <w:rPr>
          <w:rFonts w:ascii="Book Antiqua" w:hAnsi="Book Antiqua"/>
          <w:color w:val="000000" w:themeColor="text1"/>
        </w:rPr>
        <w:t xml:space="preserve"> Civil</w:t>
      </w:r>
      <w:r w:rsidRPr="0011027E">
        <w:rPr>
          <w:rFonts w:ascii="Book Antiqua" w:hAnsi="Book Antiqua"/>
          <w:color w:val="000000" w:themeColor="text1"/>
        </w:rPr>
        <w:t xml:space="preserve"> </w:t>
      </w:r>
      <w:r w:rsidR="0029482F" w:rsidRPr="0011027E">
        <w:rPr>
          <w:rFonts w:ascii="Book Antiqua" w:hAnsi="Book Antiqua"/>
          <w:color w:val="000000" w:themeColor="text1"/>
        </w:rPr>
        <w:t xml:space="preserve">al derecho </w:t>
      </w:r>
      <w:r w:rsidR="000B2D1E">
        <w:rPr>
          <w:rFonts w:ascii="Book Antiqua" w:hAnsi="Book Antiqua"/>
          <w:color w:val="000000" w:themeColor="text1"/>
        </w:rPr>
        <w:t>r</w:t>
      </w:r>
      <w:r w:rsidR="0029482F" w:rsidRPr="0011027E">
        <w:rPr>
          <w:rFonts w:ascii="Book Antiqua" w:hAnsi="Book Antiqua"/>
          <w:color w:val="000000" w:themeColor="text1"/>
        </w:rPr>
        <w:t>egistral y con ella, se logra una mayor claridad en nuestro acervo jurídico.</w:t>
      </w:r>
    </w:p>
    <w:p w14:paraId="31D4EF82" w14:textId="40A12989" w:rsidR="00C93D61" w:rsidRDefault="00C93D61" w:rsidP="000B2D1E">
      <w:pPr>
        <w:spacing w:after="100" w:afterAutospacing="1" w:line="288" w:lineRule="auto"/>
        <w:ind w:firstLine="720"/>
        <w:jc w:val="both"/>
        <w:rPr>
          <w:rFonts w:ascii="Book Antiqua" w:eastAsia="Calibri" w:hAnsi="Book Antiqua" w:cs="Times New Roman"/>
          <w:bCs/>
          <w:color w:val="000000" w:themeColor="text1"/>
          <w:kern w:val="0"/>
          <w14:ligatures w14:val="none"/>
        </w:rPr>
      </w:pPr>
      <w:r>
        <w:rPr>
          <w:rFonts w:ascii="Book Antiqua" w:eastAsia="Calibri" w:hAnsi="Book Antiqua" w:cs="Times New Roman"/>
          <w:color w:val="000000" w:themeColor="text1"/>
          <w:kern w:val="0"/>
          <w14:ligatures w14:val="none"/>
        </w:rPr>
        <w:t xml:space="preserve">Por lo anterior, </w:t>
      </w:r>
      <w:r w:rsidR="00E90136" w:rsidRPr="0011027E">
        <w:rPr>
          <w:rFonts w:ascii="Book Antiqua" w:eastAsia="Calibri" w:hAnsi="Book Antiqua" w:cs="Times New Roman"/>
          <w:color w:val="000000" w:themeColor="text1"/>
          <w:kern w:val="0"/>
          <w14:ligatures w14:val="none"/>
        </w:rPr>
        <w:t xml:space="preserve">la Comisión </w:t>
      </w:r>
      <w:r w:rsidR="007D4A76" w:rsidRPr="0011027E">
        <w:rPr>
          <w:rFonts w:ascii="Book Antiqua" w:eastAsia="Calibri" w:hAnsi="Book Antiqua" w:cs="Times New Roman"/>
          <w:color w:val="000000" w:themeColor="text1"/>
          <w:kern w:val="0"/>
          <w14:ligatures w14:val="none"/>
        </w:rPr>
        <w:t xml:space="preserve">de lo Jurídico </w:t>
      </w:r>
      <w:r w:rsidR="00E90136" w:rsidRPr="0011027E">
        <w:rPr>
          <w:rFonts w:ascii="Book Antiqua" w:eastAsia="Calibri" w:hAnsi="Book Antiqua" w:cs="Times New Roman"/>
          <w:color w:val="000000" w:themeColor="text1"/>
          <w:kern w:val="0"/>
          <w14:ligatures w14:val="none"/>
        </w:rPr>
        <w:t xml:space="preserve">recomienda </w:t>
      </w:r>
      <w:r>
        <w:rPr>
          <w:rFonts w:ascii="Book Antiqua" w:eastAsia="Calibri" w:hAnsi="Book Antiqua" w:cs="Times New Roman"/>
          <w:color w:val="000000" w:themeColor="text1"/>
          <w:kern w:val="0"/>
          <w14:ligatures w14:val="none"/>
        </w:rPr>
        <w:t>que se</w:t>
      </w:r>
      <w:r w:rsidR="00E90136" w:rsidRPr="0011027E">
        <w:rPr>
          <w:rFonts w:ascii="Book Antiqua" w:eastAsia="Calibri" w:hAnsi="Book Antiqua" w:cs="Times New Roman"/>
          <w:color w:val="000000" w:themeColor="text1"/>
          <w:kern w:val="0"/>
          <w14:ligatures w14:val="none"/>
        </w:rPr>
        <w:t xml:space="preserve"> apr</w:t>
      </w:r>
      <w:r>
        <w:rPr>
          <w:rFonts w:ascii="Book Antiqua" w:eastAsia="Calibri" w:hAnsi="Book Antiqua" w:cs="Times New Roman"/>
          <w:color w:val="000000" w:themeColor="text1"/>
          <w:kern w:val="0"/>
          <w14:ligatures w14:val="none"/>
        </w:rPr>
        <w:t>uebe el P. del S. 1016</w:t>
      </w:r>
      <w:r w:rsidR="00CC2BEA">
        <w:rPr>
          <w:rFonts w:ascii="Book Antiqua" w:eastAsia="Calibri" w:hAnsi="Book Antiqua" w:cs="Times New Roman"/>
          <w:bCs/>
          <w:color w:val="000000" w:themeColor="text1"/>
          <w:kern w:val="0"/>
          <w14:ligatures w14:val="none"/>
        </w:rPr>
        <w:t xml:space="preserve"> con las</w:t>
      </w:r>
      <w:r w:rsidR="00A338D9" w:rsidRPr="0011027E">
        <w:rPr>
          <w:rFonts w:ascii="Book Antiqua" w:eastAsia="Calibri" w:hAnsi="Book Antiqua" w:cs="Times New Roman"/>
          <w:bCs/>
          <w:color w:val="000000" w:themeColor="text1"/>
          <w:kern w:val="0"/>
          <w14:ligatures w14:val="none"/>
        </w:rPr>
        <w:t xml:space="preserve"> </w:t>
      </w:r>
      <w:r w:rsidR="00D8123C" w:rsidRPr="0011027E">
        <w:rPr>
          <w:rFonts w:ascii="Book Antiqua" w:eastAsia="Calibri" w:hAnsi="Book Antiqua" w:cs="Times New Roman"/>
          <w:bCs/>
          <w:color w:val="000000" w:themeColor="text1"/>
          <w:kern w:val="0"/>
          <w14:ligatures w14:val="none"/>
        </w:rPr>
        <w:t>enmiendas</w:t>
      </w:r>
      <w:r w:rsidR="00CC2BEA">
        <w:rPr>
          <w:rFonts w:ascii="Book Antiqua" w:eastAsia="Calibri" w:hAnsi="Book Antiqua" w:cs="Times New Roman"/>
          <w:bCs/>
          <w:color w:val="000000" w:themeColor="text1"/>
          <w:kern w:val="0"/>
          <w14:ligatures w14:val="none"/>
        </w:rPr>
        <w:t xml:space="preserve"> en el </w:t>
      </w:r>
      <w:proofErr w:type="spellStart"/>
      <w:r w:rsidR="00CC2BEA">
        <w:rPr>
          <w:rFonts w:ascii="Book Antiqua" w:eastAsia="Calibri" w:hAnsi="Book Antiqua" w:cs="Times New Roman"/>
          <w:bCs/>
          <w:color w:val="000000" w:themeColor="text1"/>
          <w:kern w:val="0"/>
          <w14:ligatures w14:val="none"/>
        </w:rPr>
        <w:t>entirillado</w:t>
      </w:r>
      <w:proofErr w:type="spellEnd"/>
      <w:r w:rsidR="00CC2BEA">
        <w:rPr>
          <w:rFonts w:ascii="Book Antiqua" w:eastAsia="Calibri" w:hAnsi="Book Antiqua" w:cs="Times New Roman"/>
          <w:bCs/>
          <w:color w:val="000000" w:themeColor="text1"/>
          <w:kern w:val="0"/>
          <w14:ligatures w14:val="none"/>
        </w:rPr>
        <w:t xml:space="preserve"> electrónico adjunto</w:t>
      </w:r>
      <w:r w:rsidR="00D8123C" w:rsidRPr="0011027E">
        <w:rPr>
          <w:rFonts w:ascii="Book Antiqua" w:eastAsia="Calibri" w:hAnsi="Book Antiqua" w:cs="Times New Roman"/>
          <w:bCs/>
          <w:color w:val="000000" w:themeColor="text1"/>
          <w:kern w:val="0"/>
          <w14:ligatures w14:val="none"/>
        </w:rPr>
        <w:t>.</w:t>
      </w:r>
    </w:p>
    <w:p w14:paraId="48803026" w14:textId="5A020863" w:rsidR="00E90136" w:rsidRPr="0011027E" w:rsidRDefault="00C93D61" w:rsidP="00C93D61">
      <w:pPr>
        <w:spacing w:after="0" w:line="360" w:lineRule="auto"/>
        <w:jc w:val="both"/>
        <w:rPr>
          <w:rFonts w:ascii="Book Antiqua" w:eastAsia="Calibri" w:hAnsi="Book Antiqua" w:cs="Times New Roman"/>
          <w:color w:val="000000" w:themeColor="text1"/>
          <w:kern w:val="0"/>
          <w14:ligatures w14:val="none"/>
        </w:rPr>
      </w:pPr>
      <w:r>
        <w:rPr>
          <w:rFonts w:ascii="Book Antiqua" w:eastAsia="Calibri" w:hAnsi="Book Antiqua" w:cs="Times New Roman"/>
          <w:bCs/>
          <w:color w:val="000000" w:themeColor="text1"/>
          <w:kern w:val="0"/>
          <w14:ligatures w14:val="none"/>
        </w:rPr>
        <w:t>Respetuosamente presentado.</w:t>
      </w:r>
      <w:r w:rsidR="00D8123C" w:rsidRPr="0011027E">
        <w:rPr>
          <w:rFonts w:ascii="Book Antiqua" w:eastAsia="Calibri" w:hAnsi="Book Antiqua" w:cs="Times New Roman"/>
          <w:bCs/>
          <w:color w:val="000000" w:themeColor="text1"/>
          <w:kern w:val="0"/>
          <w14:ligatures w14:val="none"/>
        </w:rPr>
        <w:t xml:space="preserve"> </w:t>
      </w:r>
    </w:p>
    <w:p w14:paraId="06283EF8" w14:textId="77777777" w:rsidR="00E90136" w:rsidRPr="0011027E" w:rsidRDefault="00E90136" w:rsidP="00E90136">
      <w:pPr>
        <w:spacing w:after="0" w:line="240" w:lineRule="auto"/>
        <w:outlineLvl w:val="0"/>
        <w:rPr>
          <w:rFonts w:ascii="Book Antiqua" w:eastAsia="Calibri" w:hAnsi="Book Antiqua" w:cs="Times New Roman"/>
          <w:color w:val="000000" w:themeColor="text1"/>
          <w:kern w:val="0"/>
          <w14:ligatures w14:val="none"/>
        </w:rPr>
      </w:pPr>
    </w:p>
    <w:p w14:paraId="5104649E" w14:textId="77777777" w:rsidR="00E90136" w:rsidRPr="0011027E" w:rsidRDefault="00E90136" w:rsidP="00E90136">
      <w:pPr>
        <w:spacing w:after="0" w:line="240" w:lineRule="auto"/>
        <w:outlineLvl w:val="0"/>
        <w:rPr>
          <w:rFonts w:ascii="Book Antiqua" w:eastAsia="Calibri" w:hAnsi="Book Antiqua" w:cs="Times New Roman"/>
          <w:color w:val="000000" w:themeColor="text1"/>
          <w:kern w:val="0"/>
          <w14:ligatures w14:val="none"/>
        </w:rPr>
      </w:pPr>
    </w:p>
    <w:p w14:paraId="3094E7E7" w14:textId="373AAA05" w:rsidR="00E90136" w:rsidRPr="00C93D61" w:rsidRDefault="00E43546" w:rsidP="00E43546">
      <w:pPr>
        <w:spacing w:after="0" w:line="240" w:lineRule="auto"/>
        <w:jc w:val="both"/>
        <w:outlineLvl w:val="0"/>
        <w:rPr>
          <w:rFonts w:ascii="Book Antiqua" w:eastAsia="Calibri" w:hAnsi="Book Antiqua" w:cs="Times New Roman"/>
          <w:b/>
          <w:smallCaps/>
          <w:color w:val="000000" w:themeColor="text1"/>
          <w:kern w:val="0"/>
          <w14:ligatures w14:val="none"/>
        </w:rPr>
      </w:pPr>
      <w:r w:rsidRPr="00C93D61">
        <w:rPr>
          <w:rFonts w:ascii="Book Antiqua" w:eastAsia="Calibri" w:hAnsi="Book Antiqua" w:cs="Times New Roman"/>
          <w:b/>
          <w:smallCaps/>
          <w:color w:val="000000" w:themeColor="text1"/>
          <w:kern w:val="0"/>
          <w14:ligatures w14:val="none"/>
        </w:rPr>
        <w:t>José J. Pérez Cordero</w:t>
      </w:r>
    </w:p>
    <w:p w14:paraId="5A8EF0AE" w14:textId="77777777" w:rsidR="00C93D61" w:rsidRDefault="00E90136" w:rsidP="00E43546">
      <w:pPr>
        <w:spacing w:after="0" w:line="240" w:lineRule="auto"/>
        <w:jc w:val="both"/>
        <w:outlineLvl w:val="0"/>
        <w:rPr>
          <w:rFonts w:ascii="Book Antiqua" w:eastAsia="Calibri" w:hAnsi="Book Antiqua" w:cs="Times New Roman"/>
          <w:color w:val="000000" w:themeColor="text1"/>
          <w:kern w:val="0"/>
          <w14:ligatures w14:val="none"/>
        </w:rPr>
      </w:pPr>
      <w:r w:rsidRPr="0011027E">
        <w:rPr>
          <w:rFonts w:ascii="Book Antiqua" w:eastAsia="Calibri" w:hAnsi="Book Antiqua" w:cs="Times New Roman"/>
          <w:color w:val="000000" w:themeColor="text1"/>
          <w:kern w:val="0"/>
          <w14:ligatures w14:val="none"/>
        </w:rPr>
        <w:t>Presidente</w:t>
      </w:r>
    </w:p>
    <w:p w14:paraId="03FA4187" w14:textId="32817445" w:rsidR="00221FDC" w:rsidRPr="00995675" w:rsidRDefault="00C93D61" w:rsidP="00E43546">
      <w:pPr>
        <w:spacing w:after="0" w:line="240" w:lineRule="auto"/>
        <w:jc w:val="both"/>
        <w:outlineLvl w:val="0"/>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Comisión de lo Jurídico</w:t>
      </w:r>
      <w:r w:rsidR="00E90136" w:rsidRPr="0011027E">
        <w:rPr>
          <w:rFonts w:ascii="Book Antiqua" w:eastAsia="Calibri" w:hAnsi="Book Antiqua" w:cs="Times New Roman"/>
          <w:color w:val="000000" w:themeColor="text1"/>
          <w:kern w:val="0"/>
          <w14:ligatures w14:val="none"/>
        </w:rPr>
        <w:t xml:space="preserve"> </w:t>
      </w:r>
    </w:p>
    <w:sectPr w:rsidR="00221FDC" w:rsidRPr="00995675"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36174" w14:textId="77777777" w:rsidR="00B121B0" w:rsidRPr="0011027E" w:rsidRDefault="00B121B0" w:rsidP="00A21EB9">
      <w:pPr>
        <w:spacing w:after="0" w:line="240" w:lineRule="auto"/>
      </w:pPr>
      <w:r w:rsidRPr="0011027E">
        <w:separator/>
      </w:r>
    </w:p>
  </w:endnote>
  <w:endnote w:type="continuationSeparator" w:id="0">
    <w:p w14:paraId="143C59DA" w14:textId="77777777" w:rsidR="00B121B0" w:rsidRPr="0011027E" w:rsidRDefault="00B121B0" w:rsidP="00A21EB9">
      <w:pPr>
        <w:spacing w:after="0" w:line="240" w:lineRule="auto"/>
      </w:pPr>
      <w:r w:rsidRPr="00110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sdtContent>
      <w:p w14:paraId="53613B29" w14:textId="09BA7F2D" w:rsidR="00596BE2" w:rsidRPr="0011027E" w:rsidRDefault="00596BE2">
        <w:pPr>
          <w:pStyle w:val="Footer"/>
          <w:jc w:val="center"/>
        </w:pPr>
        <w:r w:rsidRPr="0011027E">
          <w:fldChar w:fldCharType="begin"/>
        </w:r>
        <w:r w:rsidRPr="0011027E">
          <w:instrText xml:space="preserve"> PAGE   \* MERGEFORMAT </w:instrText>
        </w:r>
        <w:r w:rsidRPr="0011027E">
          <w:fldChar w:fldCharType="separate"/>
        </w:r>
        <w:r w:rsidRPr="0011027E">
          <w:t>2</w:t>
        </w:r>
        <w:r w:rsidRPr="0011027E">
          <w:fldChar w:fldCharType="end"/>
        </w:r>
      </w:p>
    </w:sdtContent>
  </w:sdt>
  <w:p w14:paraId="289C9C76" w14:textId="77777777" w:rsidR="00596BE2" w:rsidRPr="0011027E"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6BF6" w14:textId="77777777" w:rsidR="00B121B0" w:rsidRPr="0011027E" w:rsidRDefault="00B121B0" w:rsidP="00A21EB9">
      <w:pPr>
        <w:spacing w:after="0" w:line="240" w:lineRule="auto"/>
      </w:pPr>
      <w:r w:rsidRPr="0011027E">
        <w:separator/>
      </w:r>
    </w:p>
  </w:footnote>
  <w:footnote w:type="continuationSeparator" w:id="0">
    <w:p w14:paraId="73505EDF" w14:textId="77777777" w:rsidR="00B121B0" w:rsidRPr="0011027E" w:rsidRDefault="00B121B0" w:rsidP="00A21EB9">
      <w:pPr>
        <w:spacing w:after="0" w:line="240" w:lineRule="auto"/>
      </w:pPr>
      <w:r w:rsidRPr="0011027E">
        <w:continuationSeparator/>
      </w:r>
    </w:p>
  </w:footnote>
  <w:footnote w:id="1">
    <w:p w14:paraId="13619982" w14:textId="22F28D3D" w:rsidR="00AC1ED7" w:rsidRPr="00DA45E0" w:rsidRDefault="00AC1ED7">
      <w:pPr>
        <w:pStyle w:val="FootnoteText"/>
        <w:rPr>
          <w:rFonts w:ascii="Book Antiqua" w:hAnsi="Book Antiqua"/>
        </w:rPr>
      </w:pPr>
      <w:r w:rsidRPr="00DA45E0">
        <w:rPr>
          <w:rStyle w:val="FootnoteReference"/>
          <w:rFonts w:ascii="Book Antiqua" w:hAnsi="Book Antiqua"/>
        </w:rPr>
        <w:footnoteRef/>
      </w:r>
      <w:r w:rsidRPr="00DA45E0">
        <w:rPr>
          <w:rFonts w:ascii="Book Antiqua" w:hAnsi="Book Antiqua"/>
        </w:rPr>
        <w:t xml:space="preserve"> </w:t>
      </w:r>
      <w:r w:rsidR="00DA45E0" w:rsidRPr="00DA45E0">
        <w:rPr>
          <w:rFonts w:ascii="Book Antiqua" w:hAnsi="Book Antiqua"/>
        </w:rPr>
        <w:t xml:space="preserve">Conocida como </w:t>
      </w:r>
      <w:r w:rsidR="00DA45E0" w:rsidRPr="00DA45E0">
        <w:rPr>
          <w:rFonts w:ascii="Book Antiqua" w:hAnsi="Book Antiqua"/>
          <w:i/>
          <w:iCs/>
        </w:rPr>
        <w:t>Ley del Registro de la Propiedad Inmobiliaria</w:t>
      </w:r>
      <w:r w:rsidR="00DA45E0" w:rsidRPr="00DA45E0">
        <w:rPr>
          <w:rFonts w:ascii="Book Antiqua" w:hAnsi="Book Antiqua"/>
        </w:rPr>
        <w:t>.</w:t>
      </w:r>
    </w:p>
  </w:footnote>
  <w:footnote w:id="2">
    <w:p w14:paraId="5C723EF4" w14:textId="21CCB9D8" w:rsidR="008F6CB2" w:rsidRPr="008A68C3" w:rsidRDefault="008F6CB2" w:rsidP="008F6CB2">
      <w:pPr>
        <w:spacing w:before="100" w:beforeAutospacing="1" w:after="100" w:afterAutospacing="1" w:line="240" w:lineRule="auto"/>
        <w:jc w:val="both"/>
        <w:rPr>
          <w:rFonts w:ascii="Book Antiqua" w:eastAsia="Times New Roman" w:hAnsi="Book Antiqua" w:cs="Times New Roman"/>
          <w:color w:val="000000" w:themeColor="text1"/>
          <w:kern w:val="0"/>
          <w:sz w:val="20"/>
          <w:szCs w:val="20"/>
          <w14:ligatures w14:val="none"/>
        </w:rPr>
      </w:pPr>
      <w:r w:rsidRPr="008A68C3">
        <w:rPr>
          <w:rStyle w:val="FootnoteReference"/>
          <w:rFonts w:ascii="Book Antiqua" w:hAnsi="Book Antiqua" w:cs="Times New Roman"/>
          <w:color w:val="000000" w:themeColor="text1"/>
          <w:sz w:val="20"/>
          <w:szCs w:val="20"/>
        </w:rPr>
        <w:footnoteRef/>
      </w:r>
      <w:r w:rsidRPr="008A68C3">
        <w:rPr>
          <w:rFonts w:ascii="Book Antiqua" w:hAnsi="Book Antiqua" w:cs="Times New Roman"/>
          <w:color w:val="000000" w:themeColor="text1"/>
          <w:sz w:val="20"/>
          <w:szCs w:val="20"/>
        </w:rPr>
        <w:t xml:space="preserve"> </w:t>
      </w:r>
      <w:r w:rsidRPr="008A68C3">
        <w:rPr>
          <w:rFonts w:ascii="Book Antiqua" w:eastAsia="Times New Roman" w:hAnsi="Book Antiqua" w:cs="Times New Roman"/>
          <w:color w:val="000000" w:themeColor="text1"/>
          <w:kern w:val="0"/>
          <w:sz w:val="20"/>
          <w:szCs w:val="20"/>
          <w14:ligatures w14:val="none"/>
        </w:rPr>
        <w:t xml:space="preserve">Este proyecto de ley fue presentado ante el Senado de Puerto Rico el 19 de enero de 2026 por el Senador </w:t>
      </w:r>
      <w:r w:rsidRPr="00D7493A">
        <w:rPr>
          <w:rFonts w:ascii="Book Antiqua" w:eastAsia="Times New Roman" w:hAnsi="Book Antiqua" w:cs="Times New Roman"/>
          <w:color w:val="000000" w:themeColor="text1"/>
          <w:kern w:val="0"/>
          <w:sz w:val="20"/>
          <w:szCs w:val="20"/>
          <w14:ligatures w14:val="none"/>
        </w:rPr>
        <w:t>Rivera Schatz,</w:t>
      </w:r>
      <w:r w:rsidRPr="008A68C3">
        <w:rPr>
          <w:rFonts w:ascii="Book Antiqua" w:eastAsia="Times New Roman" w:hAnsi="Book Antiqua" w:cs="Times New Roman"/>
          <w:color w:val="000000" w:themeColor="text1"/>
          <w:kern w:val="0"/>
          <w:sz w:val="20"/>
          <w:szCs w:val="20"/>
          <w14:ligatures w14:val="none"/>
        </w:rPr>
        <w:t xml:space="preserve"> y tiene como autores a los siguientes </w:t>
      </w:r>
      <w:proofErr w:type="gramStart"/>
      <w:r w:rsidRPr="008A68C3">
        <w:rPr>
          <w:rFonts w:ascii="Book Antiqua" w:eastAsia="Times New Roman" w:hAnsi="Book Antiqua" w:cs="Times New Roman"/>
          <w:color w:val="000000" w:themeColor="text1"/>
          <w:kern w:val="0"/>
          <w:sz w:val="20"/>
          <w:szCs w:val="20"/>
          <w14:ligatures w14:val="none"/>
        </w:rPr>
        <w:t>senadores y senadoras</w:t>
      </w:r>
      <w:proofErr w:type="gramEnd"/>
      <w:r w:rsidRPr="008A68C3">
        <w:rPr>
          <w:rFonts w:ascii="Book Antiqua" w:eastAsia="Times New Roman" w:hAnsi="Book Antiqua" w:cs="Times New Roman"/>
          <w:color w:val="000000" w:themeColor="text1"/>
          <w:kern w:val="0"/>
          <w:sz w:val="20"/>
          <w:szCs w:val="20"/>
          <w14:ligatures w14:val="none"/>
        </w:rPr>
        <w:t xml:space="preserve">: </w:t>
      </w:r>
      <w:r w:rsidRPr="00D7493A">
        <w:rPr>
          <w:rFonts w:ascii="Book Antiqua" w:eastAsia="Times New Roman" w:hAnsi="Book Antiqua" w:cs="Times New Roman"/>
          <w:color w:val="000000" w:themeColor="text1"/>
          <w:kern w:val="0"/>
          <w:sz w:val="20"/>
          <w:szCs w:val="20"/>
          <w14:ligatures w14:val="none"/>
        </w:rPr>
        <w:t>Colón La Santa, Pérez</w:t>
      </w:r>
      <w:r w:rsidRPr="00D7493A">
        <w:rPr>
          <w:rFonts w:ascii="Book Antiqua" w:hAnsi="Book Antiqua" w:cs="Times New Roman"/>
          <w:color w:val="000000" w:themeColor="text1"/>
          <w:sz w:val="20"/>
          <w:szCs w:val="20"/>
        </w:rPr>
        <w:t xml:space="preserve"> Soto, Reyes Berríos, Sánchez Álvarez y Santos Ortiz.</w:t>
      </w:r>
    </w:p>
  </w:footnote>
  <w:footnote w:id="3">
    <w:p w14:paraId="4E960FDE" w14:textId="4091A1B1" w:rsidR="00995675" w:rsidRPr="00D97A1E" w:rsidRDefault="00995675" w:rsidP="00D97A1E">
      <w:pPr>
        <w:pStyle w:val="FootnoteText"/>
        <w:spacing w:after="60"/>
        <w:jc w:val="both"/>
        <w:rPr>
          <w:rFonts w:ascii="Book Antiqua" w:hAnsi="Book Antiqua" w:cs="Times New Roman"/>
          <w:color w:val="000000" w:themeColor="text1"/>
        </w:rPr>
      </w:pPr>
      <w:r w:rsidRPr="00D97A1E">
        <w:rPr>
          <w:rStyle w:val="FootnoteReference"/>
          <w:rFonts w:ascii="Book Antiqua" w:hAnsi="Book Antiqua" w:cs="Times New Roman"/>
          <w:color w:val="000000" w:themeColor="text1"/>
        </w:rPr>
        <w:footnoteRef/>
      </w:r>
      <w:r w:rsidRPr="00D97A1E">
        <w:rPr>
          <w:rFonts w:ascii="Book Antiqua" w:hAnsi="Book Antiqua" w:cs="Times New Roman"/>
          <w:color w:val="000000" w:themeColor="text1"/>
        </w:rPr>
        <w:t xml:space="preserve"> </w:t>
      </w:r>
      <w:r w:rsidR="007870EC" w:rsidRPr="00D97A1E">
        <w:rPr>
          <w:rFonts w:ascii="Book Antiqua" w:eastAsia="Times New Roman" w:hAnsi="Book Antiqua" w:cs="Times New Roman"/>
          <w:color w:val="000000" w:themeColor="text1"/>
          <w:kern w:val="0"/>
          <w14:ligatures w14:val="none"/>
        </w:rPr>
        <w:t>Véase artículo 1237 del Código Civil de Puerto Rico. (</w:t>
      </w:r>
      <w:r w:rsidRPr="00D97A1E">
        <w:rPr>
          <w:rFonts w:ascii="Book Antiqua" w:hAnsi="Book Antiqua" w:cs="Times New Roman"/>
          <w:color w:val="000000" w:themeColor="text1"/>
        </w:rPr>
        <w:t>El contrato queda perfeccionado desde que las partes manifiestan su consentimiento sobre el objeto y la causa, salvo en los casos en que se requiere el cumplimiento de una formalidad solemne o cuando se pacta una condición suspensiva.</w:t>
      </w:r>
      <w:r w:rsidR="007870EC" w:rsidRPr="00D97A1E">
        <w:rPr>
          <w:rFonts w:ascii="Book Antiqua" w:hAnsi="Book Antiqua" w:cs="Times New Roman"/>
          <w:color w:val="000000" w:themeColor="text1"/>
        </w:rPr>
        <w:t>)</w:t>
      </w:r>
      <w:r w:rsidRPr="00D97A1E">
        <w:rPr>
          <w:rFonts w:ascii="Book Antiqua" w:hAnsi="Book Antiqua" w:cs="Times New Roman"/>
          <w:color w:val="000000" w:themeColor="text1"/>
        </w:rPr>
        <w:t>.</w:t>
      </w:r>
    </w:p>
  </w:footnote>
  <w:footnote w:id="4">
    <w:p w14:paraId="3F4798A4" w14:textId="2DADEE19" w:rsidR="008C501D" w:rsidRPr="00D97A1E" w:rsidRDefault="008C501D" w:rsidP="00D97A1E">
      <w:pPr>
        <w:pStyle w:val="FootnoteText"/>
        <w:spacing w:after="60"/>
        <w:jc w:val="both"/>
        <w:rPr>
          <w:rFonts w:ascii="Book Antiqua" w:hAnsi="Book Antiqua" w:cs="Times New Roman"/>
          <w:color w:val="000000" w:themeColor="text1"/>
        </w:rPr>
      </w:pPr>
      <w:r w:rsidRPr="00D97A1E">
        <w:rPr>
          <w:rStyle w:val="FootnoteReference"/>
          <w:rFonts w:ascii="Book Antiqua" w:hAnsi="Book Antiqua" w:cs="Times New Roman"/>
          <w:color w:val="000000" w:themeColor="text1"/>
        </w:rPr>
        <w:footnoteRef/>
      </w:r>
      <w:r w:rsidRPr="00D97A1E">
        <w:rPr>
          <w:rFonts w:ascii="Book Antiqua" w:hAnsi="Book Antiqua" w:cs="Times New Roman"/>
          <w:color w:val="000000" w:themeColor="text1"/>
        </w:rPr>
        <w:t xml:space="preserve"> Artículo 1209 del Código Civil de Puerto Rico de 1930,</w:t>
      </w:r>
      <w:r w:rsidR="00572CD2" w:rsidRPr="00D97A1E">
        <w:rPr>
          <w:rFonts w:ascii="Book Antiqua" w:hAnsi="Book Antiqua" w:cs="Times New Roman"/>
          <w:color w:val="000000" w:themeColor="text1"/>
        </w:rPr>
        <w:t xml:space="preserve"> el cual fue derogado en 2020. </w:t>
      </w:r>
      <w:r w:rsidRPr="00D97A1E">
        <w:rPr>
          <w:rFonts w:ascii="Book Antiqua" w:hAnsi="Book Antiqua" w:cs="Times New Roman"/>
          <w:color w:val="000000" w:themeColor="text1"/>
        </w:rPr>
        <w:t xml:space="preserve"> </w:t>
      </w:r>
    </w:p>
  </w:footnote>
  <w:footnote w:id="5">
    <w:p w14:paraId="041499A0" w14:textId="5308A0C2" w:rsidR="00572CD2" w:rsidRPr="008A68C3" w:rsidRDefault="00572CD2" w:rsidP="00D97A1E">
      <w:pPr>
        <w:pStyle w:val="FootnoteText"/>
        <w:spacing w:after="60"/>
        <w:jc w:val="both"/>
        <w:rPr>
          <w:rFonts w:ascii="Book Antiqua" w:hAnsi="Book Antiqua" w:cs="Times New Roman"/>
        </w:rPr>
      </w:pPr>
      <w:r w:rsidRPr="00D97A1E">
        <w:rPr>
          <w:rStyle w:val="FootnoteReference"/>
          <w:rFonts w:ascii="Book Antiqua" w:hAnsi="Book Antiqua" w:cs="Times New Roman"/>
        </w:rPr>
        <w:footnoteRef/>
      </w:r>
      <w:r w:rsidRPr="00D97A1E">
        <w:rPr>
          <w:rFonts w:ascii="Book Antiqua" w:hAnsi="Book Antiqua" w:cs="Times New Roman"/>
        </w:rPr>
        <w:t xml:space="preserve"> Informe Positivo de la Comisión sobre Relaciones Federales, Política y Económicas del Senado de Puerto Rico sobre el Sustitutivo de la Cámara al P. de la C. 1654, con fecha de 28 de febrero de 2020, </w:t>
      </w:r>
      <w:r w:rsidR="007D2884">
        <w:rPr>
          <w:rFonts w:ascii="Book Antiqua" w:hAnsi="Book Antiqua" w:cs="Times New Roman"/>
        </w:rPr>
        <w:t>p</w:t>
      </w:r>
      <w:r w:rsidRPr="00D97A1E">
        <w:rPr>
          <w:rFonts w:ascii="Book Antiqua" w:hAnsi="Book Antiqua" w:cs="Times New Roman"/>
        </w:rPr>
        <w:t xml:space="preserve">ágina 24. En dicho informe se </w:t>
      </w:r>
      <w:r w:rsidR="00CE5A0A">
        <w:rPr>
          <w:rFonts w:ascii="Book Antiqua" w:hAnsi="Book Antiqua" w:cs="Times New Roman"/>
        </w:rPr>
        <w:t xml:space="preserve">hizo </w:t>
      </w:r>
      <w:r w:rsidRPr="00D97A1E">
        <w:rPr>
          <w:rFonts w:ascii="Book Antiqua" w:hAnsi="Book Antiqua" w:cs="Times New Roman"/>
        </w:rPr>
        <w:t>referencia a la posición de la Cámara de Comercio de Puerto Rico, que parecía advertir sobre la necesidad de verificar este lenguaje de manera tal que fuera cónsona con el texto de la Ley</w:t>
      </w:r>
      <w:r w:rsidR="00CE5A0A">
        <w:rPr>
          <w:rFonts w:ascii="Book Antiqua" w:hAnsi="Book Antiqua" w:cs="Times New Roman"/>
        </w:rPr>
        <w:t xml:space="preserve"> Núm. </w:t>
      </w:r>
      <w:r w:rsidRPr="00D97A1E">
        <w:rPr>
          <w:rFonts w:ascii="Book Antiqua" w:hAnsi="Book Antiqua" w:cs="Times New Roman"/>
        </w:rPr>
        <w:t>210-2015, según enmendada.</w:t>
      </w:r>
      <w:r w:rsidRPr="008A68C3">
        <w:rPr>
          <w:rFonts w:ascii="Book Antiqua" w:hAnsi="Book Antiqua" w:cs="Times New Roman"/>
        </w:rPr>
        <w:t xml:space="preserve"> </w:t>
      </w:r>
    </w:p>
  </w:footnote>
  <w:footnote w:id="6">
    <w:p w14:paraId="394CAB91" w14:textId="49762375" w:rsidR="00572CD2" w:rsidRPr="0011027E" w:rsidRDefault="00572CD2" w:rsidP="008A68C3">
      <w:pPr>
        <w:pStyle w:val="FootnoteText"/>
        <w:spacing w:after="60"/>
        <w:jc w:val="both"/>
        <w:rPr>
          <w:rFonts w:ascii="Times New Roman" w:hAnsi="Times New Roman" w:cs="Times New Roman"/>
          <w:i/>
          <w:iCs/>
        </w:rPr>
      </w:pPr>
      <w:r w:rsidRPr="008A68C3">
        <w:rPr>
          <w:rStyle w:val="FootnoteReference"/>
          <w:rFonts w:ascii="Book Antiqua" w:hAnsi="Book Antiqua" w:cs="Times New Roman"/>
        </w:rPr>
        <w:footnoteRef/>
      </w:r>
      <w:r w:rsidRPr="008A68C3">
        <w:rPr>
          <w:rFonts w:ascii="Book Antiqua" w:hAnsi="Book Antiqua" w:cs="Times New Roman"/>
        </w:rPr>
        <w:t xml:space="preserve"> </w:t>
      </w:r>
      <w:r w:rsidR="005A7B2B">
        <w:rPr>
          <w:rFonts w:ascii="Book Antiqua" w:hAnsi="Book Antiqua" w:cs="Times New Roman"/>
        </w:rPr>
        <w:t>É</w:t>
      </w:r>
      <w:r w:rsidR="005A7B2B" w:rsidRPr="008A68C3">
        <w:rPr>
          <w:rFonts w:ascii="Book Antiqua" w:hAnsi="Book Antiqua" w:cs="Times New Roman"/>
          <w:color w:val="000000" w:themeColor="text1"/>
        </w:rPr>
        <w:t>nfasis</w:t>
      </w:r>
      <w:r w:rsidRPr="008A68C3">
        <w:rPr>
          <w:rFonts w:ascii="Book Antiqua" w:hAnsi="Book Antiqua" w:cs="Times New Roman"/>
          <w:color w:val="000000" w:themeColor="text1"/>
        </w:rPr>
        <w:t xml:space="preserve"> suplido.</w:t>
      </w:r>
      <w:r w:rsidRPr="0011027E">
        <w:rPr>
          <w:rFonts w:ascii="Times New Roman" w:hAnsi="Times New Roman" w:cs="Times New Roman"/>
          <w:color w:val="000000" w:themeColor="text1"/>
        </w:rPr>
        <w:t xml:space="preserve"> </w:t>
      </w:r>
    </w:p>
  </w:footnote>
  <w:footnote w:id="7">
    <w:p w14:paraId="28FF52D5" w14:textId="11655652" w:rsidR="00E97D6F" w:rsidRPr="008A68C3" w:rsidRDefault="00E97D6F" w:rsidP="009B5094">
      <w:pPr>
        <w:pStyle w:val="FootnoteText"/>
        <w:jc w:val="both"/>
        <w:rPr>
          <w:rFonts w:ascii="Book Antiqua" w:hAnsi="Book Antiqua" w:cs="Times New Roman"/>
        </w:rPr>
      </w:pPr>
      <w:r w:rsidRPr="008A68C3">
        <w:rPr>
          <w:rStyle w:val="FootnoteReference"/>
          <w:rFonts w:ascii="Book Antiqua" w:hAnsi="Book Antiqua" w:cs="Times New Roman"/>
        </w:rPr>
        <w:footnoteRef/>
      </w:r>
      <w:r w:rsidRPr="008A68C3">
        <w:rPr>
          <w:rFonts w:ascii="Book Antiqua" w:hAnsi="Book Antiqua" w:cs="Times New Roman"/>
        </w:rPr>
        <w:t xml:space="preserve"> La posición del DJ </w:t>
      </w:r>
      <w:r w:rsidR="008A68C3">
        <w:rPr>
          <w:rFonts w:ascii="Book Antiqua" w:hAnsi="Book Antiqua" w:cs="Times New Roman"/>
        </w:rPr>
        <w:t xml:space="preserve">consta de </w:t>
      </w:r>
      <w:r w:rsidRPr="008A68C3">
        <w:rPr>
          <w:rFonts w:ascii="Book Antiqua" w:hAnsi="Book Antiqua" w:cs="Times New Roman"/>
        </w:rPr>
        <w:t>un memorial de 5 páginas, remitid</w:t>
      </w:r>
      <w:r w:rsidR="008A68C3">
        <w:rPr>
          <w:rFonts w:ascii="Book Antiqua" w:hAnsi="Book Antiqua" w:cs="Times New Roman"/>
        </w:rPr>
        <w:t>o</w:t>
      </w:r>
      <w:r w:rsidRPr="008A68C3">
        <w:rPr>
          <w:rFonts w:ascii="Book Antiqua" w:hAnsi="Book Antiqua" w:cs="Times New Roman"/>
        </w:rPr>
        <w:t xml:space="preserve"> el 6 de abril de 2026 y suscrito por la Honorable Lourdes L. Gómez Torres, </w:t>
      </w:r>
      <w:proofErr w:type="gramStart"/>
      <w:r w:rsidRPr="008A68C3">
        <w:rPr>
          <w:rFonts w:ascii="Book Antiqua" w:hAnsi="Book Antiqua" w:cs="Times New Roman"/>
        </w:rPr>
        <w:t>Secretaria</w:t>
      </w:r>
      <w:proofErr w:type="gramEnd"/>
      <w:r w:rsidRPr="008A68C3">
        <w:rPr>
          <w:rFonts w:ascii="Book Antiqua" w:hAnsi="Book Antiqua" w:cs="Times New Roman"/>
        </w:rPr>
        <w:t xml:space="preserve"> de dicho departamento. </w:t>
      </w:r>
    </w:p>
  </w:footnote>
  <w:footnote w:id="8">
    <w:p w14:paraId="5BF24CE5" w14:textId="3F258F56" w:rsidR="00A27C1D" w:rsidRPr="00A27C1D" w:rsidRDefault="00A27C1D" w:rsidP="00A27C1D">
      <w:pPr>
        <w:pStyle w:val="FootnoteText"/>
        <w:spacing w:after="60"/>
        <w:rPr>
          <w:rFonts w:ascii="Book Antiqua" w:hAnsi="Book Antiqua"/>
        </w:rPr>
      </w:pPr>
      <w:r w:rsidRPr="00A27C1D">
        <w:rPr>
          <w:rStyle w:val="FootnoteReference"/>
          <w:rFonts w:ascii="Book Antiqua" w:hAnsi="Book Antiqua"/>
        </w:rPr>
        <w:footnoteRef/>
      </w:r>
      <w:r w:rsidRPr="00A27C1D">
        <w:rPr>
          <w:rFonts w:ascii="Book Antiqua" w:hAnsi="Book Antiqua"/>
        </w:rPr>
        <w:t xml:space="preserve"> Énfasis nuestro.</w:t>
      </w:r>
    </w:p>
  </w:footnote>
  <w:footnote w:id="9">
    <w:p w14:paraId="6DDF2BB3" w14:textId="302ACF27" w:rsidR="001C02AB" w:rsidRPr="00C93D61" w:rsidRDefault="001C02AB" w:rsidP="009B5094">
      <w:pPr>
        <w:pStyle w:val="FootnoteText"/>
        <w:jc w:val="both"/>
        <w:rPr>
          <w:rFonts w:ascii="Book Antiqua" w:hAnsi="Book Antiqua" w:cs="Times New Roman"/>
          <w:color w:val="000000" w:themeColor="text1"/>
        </w:rPr>
      </w:pPr>
      <w:r w:rsidRPr="00C93D61">
        <w:rPr>
          <w:rStyle w:val="FootnoteReference"/>
          <w:rFonts w:ascii="Book Antiqua" w:hAnsi="Book Antiqua" w:cs="Times New Roman"/>
          <w:color w:val="000000" w:themeColor="text1"/>
        </w:rPr>
        <w:footnoteRef/>
      </w:r>
      <w:r w:rsidRPr="00C93D61">
        <w:rPr>
          <w:rFonts w:ascii="Book Antiqua" w:hAnsi="Book Antiqua" w:cs="Times New Roman"/>
          <w:color w:val="000000" w:themeColor="text1"/>
        </w:rPr>
        <w:t xml:space="preserve"> Memorial explicativo sobre el P. del S. </w:t>
      </w:r>
      <w:r w:rsidR="0029482F" w:rsidRPr="00C93D61">
        <w:rPr>
          <w:rFonts w:ascii="Book Antiqua" w:hAnsi="Book Antiqua" w:cs="Times New Roman"/>
          <w:color w:val="000000" w:themeColor="text1"/>
        </w:rPr>
        <w:t>101</w:t>
      </w:r>
      <w:r w:rsidRPr="00C93D61">
        <w:rPr>
          <w:rFonts w:ascii="Book Antiqua" w:hAnsi="Book Antiqua" w:cs="Times New Roman"/>
          <w:color w:val="000000" w:themeColor="text1"/>
        </w:rPr>
        <w:t xml:space="preserve">6, documento de </w:t>
      </w:r>
      <w:r w:rsidR="0029482F" w:rsidRPr="00C93D61">
        <w:rPr>
          <w:rFonts w:ascii="Book Antiqua" w:hAnsi="Book Antiqua" w:cs="Times New Roman"/>
          <w:color w:val="000000" w:themeColor="text1"/>
        </w:rPr>
        <w:t>9</w:t>
      </w:r>
      <w:r w:rsidRPr="00C93D61">
        <w:rPr>
          <w:rFonts w:ascii="Book Antiqua" w:hAnsi="Book Antiqua" w:cs="Times New Roman"/>
          <w:color w:val="000000" w:themeColor="text1"/>
        </w:rPr>
        <w:t xml:space="preserve"> páginas suscrito por la Lcda. Olga E. López Iglesias, </w:t>
      </w:r>
      <w:proofErr w:type="gramStart"/>
      <w:r w:rsidRPr="00C93D61">
        <w:rPr>
          <w:rFonts w:ascii="Book Antiqua" w:hAnsi="Book Antiqua" w:cs="Times New Roman"/>
          <w:color w:val="000000" w:themeColor="text1"/>
        </w:rPr>
        <w:t>Directora</w:t>
      </w:r>
      <w:proofErr w:type="gramEnd"/>
      <w:r w:rsidRPr="00C93D61">
        <w:rPr>
          <w:rFonts w:ascii="Book Antiqua" w:hAnsi="Book Antiqua" w:cs="Times New Roman"/>
          <w:color w:val="000000" w:themeColor="text1"/>
        </w:rPr>
        <w:t xml:space="preserve"> de la </w:t>
      </w:r>
      <w:r w:rsidR="0029482F" w:rsidRPr="00C93D61">
        <w:rPr>
          <w:rFonts w:ascii="Book Antiqua" w:hAnsi="Book Antiqua" w:cs="Times New Roman"/>
          <w:color w:val="000000" w:themeColor="text1"/>
        </w:rPr>
        <w:t>OSL.</w:t>
      </w:r>
    </w:p>
  </w:footnote>
  <w:footnote w:id="10">
    <w:p w14:paraId="2CCFCAA2" w14:textId="4C113798" w:rsidR="00C93D61" w:rsidRPr="008A68C3" w:rsidRDefault="00C93D61" w:rsidP="00217D0D">
      <w:pPr>
        <w:pStyle w:val="FootnoteText"/>
        <w:spacing w:after="60"/>
        <w:rPr>
          <w:rFonts w:ascii="Book Antiqua" w:hAnsi="Book Antiqua"/>
        </w:rPr>
      </w:pPr>
      <w:r w:rsidRPr="008A68C3">
        <w:rPr>
          <w:rStyle w:val="FootnoteReference"/>
          <w:rFonts w:ascii="Book Antiqua" w:hAnsi="Book Antiqua"/>
        </w:rPr>
        <w:footnoteRef/>
      </w:r>
      <w:r w:rsidRPr="008A68C3">
        <w:rPr>
          <w:rFonts w:ascii="Book Antiqua" w:hAnsi="Book Antiqua"/>
        </w:rPr>
        <w:t xml:space="preserve"> Memorial de la OSL, páginas 4-5; énfasis en el original.</w:t>
      </w:r>
    </w:p>
  </w:footnote>
  <w:footnote w:id="11">
    <w:p w14:paraId="5B393B79" w14:textId="3CB54752" w:rsidR="009B5094" w:rsidRPr="00C93D61" w:rsidRDefault="009B5094" w:rsidP="009B5094">
      <w:pPr>
        <w:pStyle w:val="FootnoteText"/>
        <w:jc w:val="both"/>
        <w:rPr>
          <w:rFonts w:ascii="Book Antiqua" w:hAnsi="Book Antiqua" w:cs="Times New Roman"/>
          <w:lang w:val="es-ES"/>
        </w:rPr>
      </w:pPr>
      <w:r w:rsidRPr="00C93D61">
        <w:rPr>
          <w:rStyle w:val="FootnoteReference"/>
          <w:rFonts w:ascii="Book Antiqua" w:hAnsi="Book Antiqua" w:cs="Times New Roman"/>
        </w:rPr>
        <w:footnoteRef/>
      </w:r>
      <w:r w:rsidRPr="00C93D61">
        <w:rPr>
          <w:rFonts w:ascii="Book Antiqua" w:hAnsi="Book Antiqua" w:cs="Times New Roman"/>
        </w:rPr>
        <w:t xml:space="preserve"> Memorial del Colegio, documento de 6 páginas, con fecha de 13 de marzo de 2026 y suscrito por la Lcda. Vivian Godineaux Villaronga (presidenta) y la Lcda. Migdalia Fraticelli Torres (presidenta de la comisión de derecho civil). </w:t>
      </w:r>
    </w:p>
  </w:footnote>
  <w:footnote w:id="12">
    <w:p w14:paraId="6DE870FE" w14:textId="6359F934" w:rsidR="00C93D61" w:rsidRPr="00C93D61" w:rsidRDefault="00C93D61">
      <w:pPr>
        <w:pStyle w:val="FootnoteText"/>
        <w:rPr>
          <w:rFonts w:ascii="Book Antiqua" w:hAnsi="Book Antiqua"/>
        </w:rPr>
      </w:pPr>
      <w:r w:rsidRPr="00C93D61">
        <w:rPr>
          <w:rStyle w:val="FootnoteReference"/>
          <w:rFonts w:ascii="Book Antiqua" w:hAnsi="Book Antiqua"/>
        </w:rPr>
        <w:footnoteRef/>
      </w:r>
      <w:r w:rsidRPr="00C93D61">
        <w:rPr>
          <w:rFonts w:ascii="Book Antiqua" w:hAnsi="Book Antiqua"/>
        </w:rPr>
        <w:t xml:space="preserve"> Memorial del Colegio, </w:t>
      </w:r>
      <w:r>
        <w:rPr>
          <w:rFonts w:ascii="Book Antiqua" w:hAnsi="Book Antiqua"/>
        </w:rPr>
        <w:t>páginas</w:t>
      </w:r>
      <w:r w:rsidRPr="00C93D61">
        <w:rPr>
          <w:rFonts w:ascii="Book Antiqua" w:hAnsi="Book Antiqua"/>
        </w:rPr>
        <w:t xml:space="preserve"> 3-5; citas en el original, omitidas.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6097DC9C" w:rsidR="00596BE2" w:rsidRPr="0011027E"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Cámara de Representantes</w:t>
    </w:r>
    <w:r w:rsidR="000D346E" w:rsidRPr="0011027E">
      <w:rPr>
        <w:rFonts w:ascii="Book Antiqua" w:hAnsi="Book Antiqua"/>
        <w:color w:val="000000" w:themeColor="text1"/>
        <w:sz w:val="20"/>
        <w:szCs w:val="20"/>
      </w:rPr>
      <w:t xml:space="preserve"> de Puerto Rico</w:t>
    </w:r>
  </w:p>
  <w:p w14:paraId="27A1706D" w14:textId="73925F52" w:rsidR="00596BE2" w:rsidRPr="0011027E"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Comisión de lo Jurídico</w:t>
    </w:r>
  </w:p>
  <w:p w14:paraId="42179AB2" w14:textId="5D44CD87" w:rsidR="0032132D" w:rsidRPr="0011027E"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 xml:space="preserve">Informe Positivo sobre el P. del S. </w:t>
    </w:r>
    <w:r w:rsidR="007B6CBC" w:rsidRPr="0011027E">
      <w:rPr>
        <w:rFonts w:ascii="Book Antiqua" w:hAnsi="Book Antiqua"/>
        <w:color w:val="000000" w:themeColor="text1"/>
        <w:sz w:val="20"/>
        <w:szCs w:val="20"/>
      </w:rPr>
      <w:t>101</w:t>
    </w:r>
    <w:r w:rsidR="000D346E" w:rsidRPr="0011027E">
      <w:rPr>
        <w:rFonts w:ascii="Book Antiqua" w:hAnsi="Book Antiqua"/>
        <w:color w:val="000000" w:themeColor="text1"/>
        <w:sz w:val="20"/>
        <w:szCs w:val="20"/>
      </w:rPr>
      <w:t>6</w:t>
    </w:r>
  </w:p>
  <w:p w14:paraId="5C347BE3" w14:textId="77777777" w:rsidR="0032132D" w:rsidRPr="0011027E"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223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123A7"/>
    <w:rsid w:val="00022258"/>
    <w:rsid w:val="00046A95"/>
    <w:rsid w:val="00053FF1"/>
    <w:rsid w:val="00054CAB"/>
    <w:rsid w:val="0007002A"/>
    <w:rsid w:val="00075469"/>
    <w:rsid w:val="00082DF9"/>
    <w:rsid w:val="00086E81"/>
    <w:rsid w:val="000950F5"/>
    <w:rsid w:val="000A6658"/>
    <w:rsid w:val="000B2D1E"/>
    <w:rsid w:val="000B793B"/>
    <w:rsid w:val="000B7E5C"/>
    <w:rsid w:val="000C044E"/>
    <w:rsid w:val="000C247D"/>
    <w:rsid w:val="000D21C5"/>
    <w:rsid w:val="000D2767"/>
    <w:rsid w:val="000D346E"/>
    <w:rsid w:val="000E435D"/>
    <w:rsid w:val="000E4787"/>
    <w:rsid w:val="000E580F"/>
    <w:rsid w:val="001026C5"/>
    <w:rsid w:val="0011027E"/>
    <w:rsid w:val="00120109"/>
    <w:rsid w:val="0012168C"/>
    <w:rsid w:val="00122F2A"/>
    <w:rsid w:val="00130D16"/>
    <w:rsid w:val="00132E2F"/>
    <w:rsid w:val="001438C7"/>
    <w:rsid w:val="001611C6"/>
    <w:rsid w:val="00161F7B"/>
    <w:rsid w:val="001631A9"/>
    <w:rsid w:val="001658E0"/>
    <w:rsid w:val="00171D5D"/>
    <w:rsid w:val="0017485E"/>
    <w:rsid w:val="0017537D"/>
    <w:rsid w:val="001816B5"/>
    <w:rsid w:val="00184557"/>
    <w:rsid w:val="00194C6D"/>
    <w:rsid w:val="00194EC7"/>
    <w:rsid w:val="001964A3"/>
    <w:rsid w:val="001A5D51"/>
    <w:rsid w:val="001B0E20"/>
    <w:rsid w:val="001B4FE0"/>
    <w:rsid w:val="001C02AB"/>
    <w:rsid w:val="001C15D9"/>
    <w:rsid w:val="001C2D3C"/>
    <w:rsid w:val="001C3390"/>
    <w:rsid w:val="001C7784"/>
    <w:rsid w:val="001C7CEB"/>
    <w:rsid w:val="001D31C2"/>
    <w:rsid w:val="001D3FD3"/>
    <w:rsid w:val="001D4AF8"/>
    <w:rsid w:val="001D76BB"/>
    <w:rsid w:val="001E708B"/>
    <w:rsid w:val="001E7A99"/>
    <w:rsid w:val="001F006D"/>
    <w:rsid w:val="002066EB"/>
    <w:rsid w:val="0021754B"/>
    <w:rsid w:val="00217D0D"/>
    <w:rsid w:val="00220C5A"/>
    <w:rsid w:val="00221FDC"/>
    <w:rsid w:val="00223530"/>
    <w:rsid w:val="0022774A"/>
    <w:rsid w:val="0023252C"/>
    <w:rsid w:val="0023707A"/>
    <w:rsid w:val="002370C3"/>
    <w:rsid w:val="00250A8E"/>
    <w:rsid w:val="00256E2B"/>
    <w:rsid w:val="00261B7B"/>
    <w:rsid w:val="0026515A"/>
    <w:rsid w:val="00280ED5"/>
    <w:rsid w:val="00285A7F"/>
    <w:rsid w:val="00285DC0"/>
    <w:rsid w:val="00290FF0"/>
    <w:rsid w:val="0029482F"/>
    <w:rsid w:val="002B0558"/>
    <w:rsid w:val="002C0E5E"/>
    <w:rsid w:val="002C2AB3"/>
    <w:rsid w:val="002C50DD"/>
    <w:rsid w:val="002C7622"/>
    <w:rsid w:val="002D2394"/>
    <w:rsid w:val="002D29FE"/>
    <w:rsid w:val="002D2C02"/>
    <w:rsid w:val="002D2CD2"/>
    <w:rsid w:val="002E251E"/>
    <w:rsid w:val="002E72E2"/>
    <w:rsid w:val="002E7E93"/>
    <w:rsid w:val="002F2C24"/>
    <w:rsid w:val="002F6ABB"/>
    <w:rsid w:val="002F6C59"/>
    <w:rsid w:val="0030106C"/>
    <w:rsid w:val="0030170C"/>
    <w:rsid w:val="00304870"/>
    <w:rsid w:val="00312D59"/>
    <w:rsid w:val="0032132D"/>
    <w:rsid w:val="00323C97"/>
    <w:rsid w:val="00324697"/>
    <w:rsid w:val="003263A0"/>
    <w:rsid w:val="00326948"/>
    <w:rsid w:val="0033510C"/>
    <w:rsid w:val="00352CB7"/>
    <w:rsid w:val="00354E0A"/>
    <w:rsid w:val="00361B08"/>
    <w:rsid w:val="003623BC"/>
    <w:rsid w:val="003700EA"/>
    <w:rsid w:val="00377585"/>
    <w:rsid w:val="00381831"/>
    <w:rsid w:val="00387E0F"/>
    <w:rsid w:val="003A30A7"/>
    <w:rsid w:val="003A31BA"/>
    <w:rsid w:val="003A3E51"/>
    <w:rsid w:val="003B29C2"/>
    <w:rsid w:val="003B576D"/>
    <w:rsid w:val="003B60FC"/>
    <w:rsid w:val="003B686A"/>
    <w:rsid w:val="003C58BC"/>
    <w:rsid w:val="003D1FB7"/>
    <w:rsid w:val="003D3C6C"/>
    <w:rsid w:val="003D4D0D"/>
    <w:rsid w:val="003D53C5"/>
    <w:rsid w:val="003E382E"/>
    <w:rsid w:val="003E67EB"/>
    <w:rsid w:val="003F0737"/>
    <w:rsid w:val="00400146"/>
    <w:rsid w:val="0041310F"/>
    <w:rsid w:val="00415027"/>
    <w:rsid w:val="0041671E"/>
    <w:rsid w:val="00432F45"/>
    <w:rsid w:val="00444025"/>
    <w:rsid w:val="00462E85"/>
    <w:rsid w:val="00470D01"/>
    <w:rsid w:val="00472D17"/>
    <w:rsid w:val="00473356"/>
    <w:rsid w:val="00485B68"/>
    <w:rsid w:val="004875A6"/>
    <w:rsid w:val="00494824"/>
    <w:rsid w:val="0049497C"/>
    <w:rsid w:val="004A4966"/>
    <w:rsid w:val="004B3612"/>
    <w:rsid w:val="004C7DF0"/>
    <w:rsid w:val="004D1F54"/>
    <w:rsid w:val="004D490B"/>
    <w:rsid w:val="004E5DD5"/>
    <w:rsid w:val="004E70E6"/>
    <w:rsid w:val="004E7C04"/>
    <w:rsid w:val="004F0106"/>
    <w:rsid w:val="004F6B62"/>
    <w:rsid w:val="0050459A"/>
    <w:rsid w:val="0050497D"/>
    <w:rsid w:val="005068C7"/>
    <w:rsid w:val="00520983"/>
    <w:rsid w:val="00520E2A"/>
    <w:rsid w:val="00521CF4"/>
    <w:rsid w:val="0054260A"/>
    <w:rsid w:val="00543B62"/>
    <w:rsid w:val="0054426C"/>
    <w:rsid w:val="0054495D"/>
    <w:rsid w:val="00553550"/>
    <w:rsid w:val="005600B5"/>
    <w:rsid w:val="00570C89"/>
    <w:rsid w:val="00572CD2"/>
    <w:rsid w:val="0057516C"/>
    <w:rsid w:val="00576B49"/>
    <w:rsid w:val="00596BE2"/>
    <w:rsid w:val="005A0B54"/>
    <w:rsid w:val="005A7298"/>
    <w:rsid w:val="005A7B2B"/>
    <w:rsid w:val="005B45A3"/>
    <w:rsid w:val="005B47AC"/>
    <w:rsid w:val="005B777C"/>
    <w:rsid w:val="005C229C"/>
    <w:rsid w:val="005C3114"/>
    <w:rsid w:val="005C5E7E"/>
    <w:rsid w:val="005C751E"/>
    <w:rsid w:val="005D1528"/>
    <w:rsid w:val="005D1A8C"/>
    <w:rsid w:val="005D1AEB"/>
    <w:rsid w:val="005D1FA0"/>
    <w:rsid w:val="005D2330"/>
    <w:rsid w:val="005D476C"/>
    <w:rsid w:val="005D624F"/>
    <w:rsid w:val="005D6D77"/>
    <w:rsid w:val="005E301A"/>
    <w:rsid w:val="005E3AA4"/>
    <w:rsid w:val="005E522F"/>
    <w:rsid w:val="005F29B5"/>
    <w:rsid w:val="0060083D"/>
    <w:rsid w:val="0061063C"/>
    <w:rsid w:val="006124BA"/>
    <w:rsid w:val="00615E51"/>
    <w:rsid w:val="00616F9E"/>
    <w:rsid w:val="006260A9"/>
    <w:rsid w:val="00626B12"/>
    <w:rsid w:val="00627A5F"/>
    <w:rsid w:val="00627B37"/>
    <w:rsid w:val="00632155"/>
    <w:rsid w:val="00634425"/>
    <w:rsid w:val="0064047B"/>
    <w:rsid w:val="00646288"/>
    <w:rsid w:val="00646A27"/>
    <w:rsid w:val="00660387"/>
    <w:rsid w:val="0066218A"/>
    <w:rsid w:val="006627B0"/>
    <w:rsid w:val="00664C1E"/>
    <w:rsid w:val="006772BE"/>
    <w:rsid w:val="006826E3"/>
    <w:rsid w:val="00684540"/>
    <w:rsid w:val="006929A9"/>
    <w:rsid w:val="006929BA"/>
    <w:rsid w:val="006A1B89"/>
    <w:rsid w:val="006B0738"/>
    <w:rsid w:val="006B6EF4"/>
    <w:rsid w:val="006C7193"/>
    <w:rsid w:val="006D2817"/>
    <w:rsid w:val="006D40BD"/>
    <w:rsid w:val="006D41A9"/>
    <w:rsid w:val="006D7601"/>
    <w:rsid w:val="006E4E32"/>
    <w:rsid w:val="006E5A5D"/>
    <w:rsid w:val="006E661F"/>
    <w:rsid w:val="0070240A"/>
    <w:rsid w:val="00702C2F"/>
    <w:rsid w:val="00722157"/>
    <w:rsid w:val="007222D4"/>
    <w:rsid w:val="0073195E"/>
    <w:rsid w:val="00733762"/>
    <w:rsid w:val="007344AE"/>
    <w:rsid w:val="00735F93"/>
    <w:rsid w:val="00736840"/>
    <w:rsid w:val="00752AF3"/>
    <w:rsid w:val="0075582E"/>
    <w:rsid w:val="00767EBE"/>
    <w:rsid w:val="007710DB"/>
    <w:rsid w:val="00780C15"/>
    <w:rsid w:val="00780C3D"/>
    <w:rsid w:val="00782E3E"/>
    <w:rsid w:val="00783C07"/>
    <w:rsid w:val="00785F7D"/>
    <w:rsid w:val="007868EB"/>
    <w:rsid w:val="007870EC"/>
    <w:rsid w:val="00787242"/>
    <w:rsid w:val="007903E4"/>
    <w:rsid w:val="007906FD"/>
    <w:rsid w:val="0079308C"/>
    <w:rsid w:val="00795487"/>
    <w:rsid w:val="00797DCA"/>
    <w:rsid w:val="007A638F"/>
    <w:rsid w:val="007A795F"/>
    <w:rsid w:val="007B10CC"/>
    <w:rsid w:val="007B2669"/>
    <w:rsid w:val="007B459B"/>
    <w:rsid w:val="007B6CBC"/>
    <w:rsid w:val="007C09AB"/>
    <w:rsid w:val="007C19FA"/>
    <w:rsid w:val="007C345E"/>
    <w:rsid w:val="007C4192"/>
    <w:rsid w:val="007C47B6"/>
    <w:rsid w:val="007D235D"/>
    <w:rsid w:val="007D2884"/>
    <w:rsid w:val="007D4A76"/>
    <w:rsid w:val="007F6E0F"/>
    <w:rsid w:val="00806AF5"/>
    <w:rsid w:val="00807506"/>
    <w:rsid w:val="0081089E"/>
    <w:rsid w:val="00814E8F"/>
    <w:rsid w:val="00827518"/>
    <w:rsid w:val="008309E1"/>
    <w:rsid w:val="00836A47"/>
    <w:rsid w:val="008375B9"/>
    <w:rsid w:val="00841AAB"/>
    <w:rsid w:val="00842711"/>
    <w:rsid w:val="00844BDC"/>
    <w:rsid w:val="00847B58"/>
    <w:rsid w:val="00855E37"/>
    <w:rsid w:val="00864B96"/>
    <w:rsid w:val="0086545A"/>
    <w:rsid w:val="00865869"/>
    <w:rsid w:val="00870A6E"/>
    <w:rsid w:val="00885228"/>
    <w:rsid w:val="00885C36"/>
    <w:rsid w:val="00890E16"/>
    <w:rsid w:val="008926C6"/>
    <w:rsid w:val="00892FFE"/>
    <w:rsid w:val="008944CA"/>
    <w:rsid w:val="00896B5E"/>
    <w:rsid w:val="00896CCA"/>
    <w:rsid w:val="008A2D69"/>
    <w:rsid w:val="008A68C3"/>
    <w:rsid w:val="008B1CD0"/>
    <w:rsid w:val="008C1CAB"/>
    <w:rsid w:val="008C2397"/>
    <w:rsid w:val="008C4BB3"/>
    <w:rsid w:val="008C501D"/>
    <w:rsid w:val="008C6A66"/>
    <w:rsid w:val="008C73B5"/>
    <w:rsid w:val="008D1B75"/>
    <w:rsid w:val="008D564F"/>
    <w:rsid w:val="008D6DB1"/>
    <w:rsid w:val="008F4472"/>
    <w:rsid w:val="008F6934"/>
    <w:rsid w:val="008F6CB2"/>
    <w:rsid w:val="00905CB1"/>
    <w:rsid w:val="00915AE3"/>
    <w:rsid w:val="00917900"/>
    <w:rsid w:val="009215F3"/>
    <w:rsid w:val="00921F97"/>
    <w:rsid w:val="00925780"/>
    <w:rsid w:val="00930E1C"/>
    <w:rsid w:val="009365FE"/>
    <w:rsid w:val="0094140E"/>
    <w:rsid w:val="00942F6F"/>
    <w:rsid w:val="0094560B"/>
    <w:rsid w:val="00952CE4"/>
    <w:rsid w:val="009538CD"/>
    <w:rsid w:val="00972BED"/>
    <w:rsid w:val="009744BA"/>
    <w:rsid w:val="00975FC9"/>
    <w:rsid w:val="009813DE"/>
    <w:rsid w:val="00984139"/>
    <w:rsid w:val="00995675"/>
    <w:rsid w:val="009972FC"/>
    <w:rsid w:val="00997612"/>
    <w:rsid w:val="00997BD4"/>
    <w:rsid w:val="009A1AFC"/>
    <w:rsid w:val="009A2FD7"/>
    <w:rsid w:val="009A4751"/>
    <w:rsid w:val="009A4B69"/>
    <w:rsid w:val="009A7B8F"/>
    <w:rsid w:val="009B1761"/>
    <w:rsid w:val="009B5094"/>
    <w:rsid w:val="009B68E0"/>
    <w:rsid w:val="009D111F"/>
    <w:rsid w:val="009E0317"/>
    <w:rsid w:val="009F248A"/>
    <w:rsid w:val="009F33BB"/>
    <w:rsid w:val="009F6819"/>
    <w:rsid w:val="00A00AAC"/>
    <w:rsid w:val="00A1366A"/>
    <w:rsid w:val="00A174F1"/>
    <w:rsid w:val="00A21B9B"/>
    <w:rsid w:val="00A21EB9"/>
    <w:rsid w:val="00A22C21"/>
    <w:rsid w:val="00A27C1D"/>
    <w:rsid w:val="00A3295F"/>
    <w:rsid w:val="00A338D9"/>
    <w:rsid w:val="00A43A92"/>
    <w:rsid w:val="00A47675"/>
    <w:rsid w:val="00A674E2"/>
    <w:rsid w:val="00A70362"/>
    <w:rsid w:val="00A71278"/>
    <w:rsid w:val="00A73B2D"/>
    <w:rsid w:val="00A821DA"/>
    <w:rsid w:val="00A8587C"/>
    <w:rsid w:val="00A91737"/>
    <w:rsid w:val="00A97431"/>
    <w:rsid w:val="00AB14BA"/>
    <w:rsid w:val="00AB646A"/>
    <w:rsid w:val="00AB7391"/>
    <w:rsid w:val="00AC142C"/>
    <w:rsid w:val="00AC1ED7"/>
    <w:rsid w:val="00AC33BA"/>
    <w:rsid w:val="00AE0796"/>
    <w:rsid w:val="00AE37B8"/>
    <w:rsid w:val="00AF0518"/>
    <w:rsid w:val="00AF1BCE"/>
    <w:rsid w:val="00AF5535"/>
    <w:rsid w:val="00AF5CCA"/>
    <w:rsid w:val="00B00D90"/>
    <w:rsid w:val="00B05E6E"/>
    <w:rsid w:val="00B076E4"/>
    <w:rsid w:val="00B121B0"/>
    <w:rsid w:val="00B122B8"/>
    <w:rsid w:val="00B24582"/>
    <w:rsid w:val="00B255AE"/>
    <w:rsid w:val="00B40133"/>
    <w:rsid w:val="00B45017"/>
    <w:rsid w:val="00B54769"/>
    <w:rsid w:val="00B66CC0"/>
    <w:rsid w:val="00B86123"/>
    <w:rsid w:val="00B90089"/>
    <w:rsid w:val="00B90F2F"/>
    <w:rsid w:val="00B91F7D"/>
    <w:rsid w:val="00B930B4"/>
    <w:rsid w:val="00B94484"/>
    <w:rsid w:val="00B94BE4"/>
    <w:rsid w:val="00B952BB"/>
    <w:rsid w:val="00BB1B86"/>
    <w:rsid w:val="00BD08B2"/>
    <w:rsid w:val="00BD7505"/>
    <w:rsid w:val="00BD7B99"/>
    <w:rsid w:val="00BE7EF3"/>
    <w:rsid w:val="00BF49D3"/>
    <w:rsid w:val="00C026B1"/>
    <w:rsid w:val="00C03EF4"/>
    <w:rsid w:val="00C045AD"/>
    <w:rsid w:val="00C04CC8"/>
    <w:rsid w:val="00C12C92"/>
    <w:rsid w:val="00C174F2"/>
    <w:rsid w:val="00C25EC3"/>
    <w:rsid w:val="00C26E6F"/>
    <w:rsid w:val="00C32489"/>
    <w:rsid w:val="00C33B71"/>
    <w:rsid w:val="00C35E26"/>
    <w:rsid w:val="00C43639"/>
    <w:rsid w:val="00C51648"/>
    <w:rsid w:val="00C52419"/>
    <w:rsid w:val="00C672C4"/>
    <w:rsid w:val="00C739E9"/>
    <w:rsid w:val="00C80B87"/>
    <w:rsid w:val="00C84BA1"/>
    <w:rsid w:val="00C90319"/>
    <w:rsid w:val="00C93D61"/>
    <w:rsid w:val="00C96E42"/>
    <w:rsid w:val="00CA6C7F"/>
    <w:rsid w:val="00CB04C8"/>
    <w:rsid w:val="00CC04BA"/>
    <w:rsid w:val="00CC2BEA"/>
    <w:rsid w:val="00CC3182"/>
    <w:rsid w:val="00CC3DE9"/>
    <w:rsid w:val="00CD2A67"/>
    <w:rsid w:val="00CD4E2A"/>
    <w:rsid w:val="00CD7B7D"/>
    <w:rsid w:val="00CE2149"/>
    <w:rsid w:val="00CE5A0A"/>
    <w:rsid w:val="00CE60EA"/>
    <w:rsid w:val="00CE71B0"/>
    <w:rsid w:val="00D12EC0"/>
    <w:rsid w:val="00D13460"/>
    <w:rsid w:val="00D14364"/>
    <w:rsid w:val="00D207AE"/>
    <w:rsid w:val="00D403B7"/>
    <w:rsid w:val="00D4097E"/>
    <w:rsid w:val="00D437B8"/>
    <w:rsid w:val="00D45467"/>
    <w:rsid w:val="00D53AD5"/>
    <w:rsid w:val="00D551E3"/>
    <w:rsid w:val="00D61BAF"/>
    <w:rsid w:val="00D61C11"/>
    <w:rsid w:val="00D67D2D"/>
    <w:rsid w:val="00D72988"/>
    <w:rsid w:val="00D7493A"/>
    <w:rsid w:val="00D8123C"/>
    <w:rsid w:val="00D85275"/>
    <w:rsid w:val="00D952BD"/>
    <w:rsid w:val="00D97A1E"/>
    <w:rsid w:val="00DA45E0"/>
    <w:rsid w:val="00DC0300"/>
    <w:rsid w:val="00DC1042"/>
    <w:rsid w:val="00DD55D1"/>
    <w:rsid w:val="00DD69B0"/>
    <w:rsid w:val="00DD7CAC"/>
    <w:rsid w:val="00DE3A3E"/>
    <w:rsid w:val="00DE48D2"/>
    <w:rsid w:val="00DE497F"/>
    <w:rsid w:val="00DF43E5"/>
    <w:rsid w:val="00E05BCB"/>
    <w:rsid w:val="00E16686"/>
    <w:rsid w:val="00E27056"/>
    <w:rsid w:val="00E32293"/>
    <w:rsid w:val="00E32F39"/>
    <w:rsid w:val="00E43546"/>
    <w:rsid w:val="00E45F83"/>
    <w:rsid w:val="00E477C5"/>
    <w:rsid w:val="00E5558C"/>
    <w:rsid w:val="00E573B5"/>
    <w:rsid w:val="00E64325"/>
    <w:rsid w:val="00E7554A"/>
    <w:rsid w:val="00E83EBA"/>
    <w:rsid w:val="00E86449"/>
    <w:rsid w:val="00E87890"/>
    <w:rsid w:val="00E90136"/>
    <w:rsid w:val="00E9683D"/>
    <w:rsid w:val="00E97353"/>
    <w:rsid w:val="00E97D6F"/>
    <w:rsid w:val="00EA468B"/>
    <w:rsid w:val="00EA54BA"/>
    <w:rsid w:val="00EB2FF5"/>
    <w:rsid w:val="00EB3FF1"/>
    <w:rsid w:val="00EB6104"/>
    <w:rsid w:val="00EC13D2"/>
    <w:rsid w:val="00EC6553"/>
    <w:rsid w:val="00ED21C4"/>
    <w:rsid w:val="00ED2911"/>
    <w:rsid w:val="00ED63F6"/>
    <w:rsid w:val="00EE6BCE"/>
    <w:rsid w:val="00EE6F0F"/>
    <w:rsid w:val="00EF15F0"/>
    <w:rsid w:val="00EF729A"/>
    <w:rsid w:val="00F00784"/>
    <w:rsid w:val="00F0085A"/>
    <w:rsid w:val="00F1568A"/>
    <w:rsid w:val="00F1589C"/>
    <w:rsid w:val="00F30778"/>
    <w:rsid w:val="00F323F0"/>
    <w:rsid w:val="00F325D4"/>
    <w:rsid w:val="00F34CEB"/>
    <w:rsid w:val="00F34E86"/>
    <w:rsid w:val="00F35611"/>
    <w:rsid w:val="00F36195"/>
    <w:rsid w:val="00F403D7"/>
    <w:rsid w:val="00F41051"/>
    <w:rsid w:val="00F43EFB"/>
    <w:rsid w:val="00F54838"/>
    <w:rsid w:val="00F55EFB"/>
    <w:rsid w:val="00F72BE9"/>
    <w:rsid w:val="00F73649"/>
    <w:rsid w:val="00F82BDE"/>
    <w:rsid w:val="00F8456C"/>
    <w:rsid w:val="00F86F54"/>
    <w:rsid w:val="00F948BE"/>
    <w:rsid w:val="00F956D9"/>
    <w:rsid w:val="00FA18AC"/>
    <w:rsid w:val="00FA2F84"/>
    <w:rsid w:val="00FB639F"/>
    <w:rsid w:val="00FC3809"/>
    <w:rsid w:val="00FD15C6"/>
    <w:rsid w:val="00FD1A4E"/>
    <w:rsid w:val="00FD2128"/>
    <w:rsid w:val="00FD4D84"/>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 w:type="paragraph" w:styleId="BodyText">
    <w:name w:val="Body Text"/>
    <w:basedOn w:val="Normal"/>
    <w:link w:val="BodyTextChar"/>
    <w:uiPriority w:val="1"/>
    <w:qFormat/>
    <w:rsid w:val="00D8123C"/>
    <w:pPr>
      <w:widowControl w:val="0"/>
      <w:autoSpaceDE w:val="0"/>
      <w:autoSpaceDN w:val="0"/>
      <w:spacing w:after="0" w:line="240" w:lineRule="auto"/>
    </w:pPr>
    <w:rPr>
      <w:rFonts w:ascii="Bookman Old Style" w:eastAsia="Bookman Old Style" w:hAnsi="Bookman Old Style" w:cs="Bookman Old Style"/>
      <w:kern w:val="0"/>
      <w:lang w:val="es-ES"/>
      <w14:ligatures w14:val="none"/>
    </w:rPr>
  </w:style>
  <w:style w:type="character" w:customStyle="1" w:styleId="BodyTextChar">
    <w:name w:val="Body Text Char"/>
    <w:basedOn w:val="DefaultParagraphFont"/>
    <w:link w:val="BodyText"/>
    <w:uiPriority w:val="1"/>
    <w:rsid w:val="00D8123C"/>
    <w:rPr>
      <w:rFonts w:ascii="Bookman Old Style" w:eastAsia="Bookman Old Style" w:hAnsi="Bookman Old Style" w:cs="Bookman Old Style"/>
      <w:kern w:val="0"/>
      <w:lang w:val="es-ES"/>
      <w14:ligatures w14:val="none"/>
    </w:rPr>
  </w:style>
  <w:style w:type="paragraph" w:customStyle="1" w:styleId="Default">
    <w:name w:val="Default"/>
    <w:rsid w:val="009B5094"/>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2.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5397BE9-8AF9-4AA2-85B0-04D20D2FC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2407</Words>
  <Characters>13720</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2026-05-29T14:55:00Z</cp:lastPrinted>
  <dcterms:created xsi:type="dcterms:W3CDTF">2026-05-29T17:27:00Z</dcterms:created>
  <dcterms:modified xsi:type="dcterms:W3CDTF">2026-05-29T17:27:00Z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_dlc_DocIdItemGuid">
    <vt:lpwstr>6319fc7a-f0fa-40b0-a5d1-e4d79c926ed2</vt:lpwstr>
  </property>
  <property fmtid="{D5CDD505-2E9C-101B-9397-08002B2CF9AE}" pid="4" name="MediaServiceImageTags">
    <vt:lpwstr/>
  </property>
  <property fmtid="{D5CDD505-2E9C-101B-9397-08002B2CF9AE}" pid="5" name="ContentTypeId">
    <vt:lpwstr>0x010100831C0761637D684EABBCE64BDDA1E45F</vt:lpwstr>
  </property>
</Properties>
</file>