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AA04" w14:textId="77777777" w:rsidR="00DB541B" w:rsidRPr="00F02D29" w:rsidRDefault="00DB541B" w:rsidP="00F02D29">
      <w:pPr>
        <w:tabs>
          <w:tab w:val="center" w:pos="4680"/>
        </w:tabs>
        <w:jc w:val="center"/>
        <w:rPr>
          <w:rFonts w:ascii="Book Antiqua" w:hAnsi="Book Antiqua"/>
          <w:sz w:val="28"/>
          <w:szCs w:val="28"/>
          <w:lang w:val="es-ES_tradnl"/>
        </w:rPr>
      </w:pPr>
      <w:r w:rsidRPr="00F02D29">
        <w:rPr>
          <w:rFonts w:ascii="Book Antiqua" w:hAnsi="Book Antiqua"/>
          <w:sz w:val="28"/>
          <w:szCs w:val="28"/>
          <w:lang w:val="es-ES_tradnl"/>
        </w:rPr>
        <w:t>GOBIERNO DE PUERTO RICO</w:t>
      </w:r>
    </w:p>
    <w:p w14:paraId="34891D3E" w14:textId="77777777" w:rsidR="00DB541B" w:rsidRPr="00F02D29" w:rsidRDefault="00DB541B" w:rsidP="00F02D29">
      <w:pPr>
        <w:tabs>
          <w:tab w:val="center" w:pos="4680"/>
        </w:tabs>
        <w:jc w:val="center"/>
        <w:rPr>
          <w:rFonts w:ascii="Book Antiqua" w:hAnsi="Book Antiqua"/>
          <w:szCs w:val="24"/>
          <w:lang w:val="es-ES_tradnl"/>
        </w:rPr>
      </w:pPr>
    </w:p>
    <w:p w14:paraId="0B33996F" w14:textId="2E118E0B" w:rsidR="00DB541B" w:rsidRPr="00F02D29" w:rsidRDefault="00DB541B" w:rsidP="00F02D29">
      <w:pPr>
        <w:pStyle w:val="Title2"/>
        <w:rPr>
          <w:rFonts w:ascii="Book Antiqua" w:hAnsi="Book Antiqua"/>
          <w:lang w:val="es-ES_tradnl"/>
        </w:rPr>
      </w:pPr>
      <w:r w:rsidRPr="00F02D29">
        <w:rPr>
          <w:rFonts w:ascii="Book Antiqua" w:hAnsi="Book Antiqua"/>
          <w:lang w:val="es-ES_tradnl"/>
        </w:rPr>
        <w:t xml:space="preserve">20 </w:t>
      </w:r>
      <w:r w:rsidRPr="00F02D29">
        <w:rPr>
          <w:rFonts w:ascii="Book Antiqua" w:hAnsi="Book Antiqua"/>
          <w:vertAlign w:val="superscript"/>
          <w:lang w:val="es-ES_tradnl"/>
        </w:rPr>
        <w:t>ma</w:t>
      </w:r>
      <w:r w:rsidRPr="00F02D29">
        <w:rPr>
          <w:rFonts w:ascii="Book Antiqua" w:hAnsi="Book Antiqua"/>
          <w:lang w:val="es-ES_tradnl"/>
        </w:rPr>
        <w:tab/>
        <w:t>Asamblea</w:t>
      </w:r>
      <w:r w:rsidRPr="00F02D29">
        <w:rPr>
          <w:rFonts w:ascii="Book Antiqua" w:hAnsi="Book Antiqua"/>
          <w:lang w:val="es-ES_tradnl"/>
        </w:rPr>
        <w:tab/>
      </w:r>
      <w:r w:rsidR="00156BBF" w:rsidRPr="00F02D29">
        <w:rPr>
          <w:rFonts w:ascii="Book Antiqua" w:hAnsi="Book Antiqua"/>
          <w:lang w:val="es-ES_tradnl"/>
        </w:rPr>
        <w:t>3</w:t>
      </w:r>
      <w:r w:rsidR="00CD5EC0" w:rsidRPr="00F02D29">
        <w:rPr>
          <w:rFonts w:ascii="Book Antiqua" w:hAnsi="Book Antiqua"/>
          <w:lang w:val="es-ES_tradnl"/>
        </w:rPr>
        <w:t xml:space="preserve"> </w:t>
      </w:r>
      <w:r w:rsidR="00156BBF" w:rsidRPr="00F02D29">
        <w:rPr>
          <w:rFonts w:ascii="Book Antiqua" w:hAnsi="Book Antiqua"/>
          <w:vertAlign w:val="superscript"/>
          <w:lang w:val="es-ES_tradnl"/>
        </w:rPr>
        <w:t>r</w:t>
      </w:r>
      <w:r w:rsidRPr="00F02D29">
        <w:rPr>
          <w:rFonts w:ascii="Book Antiqua" w:hAnsi="Book Antiqua"/>
          <w:vertAlign w:val="superscript"/>
          <w:lang w:val="es-ES_tradnl"/>
        </w:rPr>
        <w:t>a</w:t>
      </w:r>
      <w:r w:rsidRPr="00F02D29">
        <w:rPr>
          <w:rFonts w:ascii="Book Antiqua" w:hAnsi="Book Antiqua"/>
          <w:lang w:val="es-ES_tradnl"/>
        </w:rPr>
        <w:tab/>
        <w:t>Sesión</w:t>
      </w:r>
    </w:p>
    <w:p w14:paraId="5591FCDB" w14:textId="77777777" w:rsidR="00DB541B" w:rsidRPr="00F02D29" w:rsidRDefault="00DB541B" w:rsidP="00F02D29">
      <w:pPr>
        <w:tabs>
          <w:tab w:val="left" w:pos="7560"/>
        </w:tabs>
        <w:rPr>
          <w:rFonts w:ascii="Book Antiqua" w:hAnsi="Book Antiqua"/>
          <w:szCs w:val="24"/>
          <w:lang w:val="es-ES_tradnl"/>
        </w:rPr>
      </w:pPr>
      <w:r w:rsidRPr="00F02D29">
        <w:rPr>
          <w:rFonts w:ascii="Book Antiqua" w:hAnsi="Book Antiqua"/>
          <w:lang w:val="es-ES_tradnl"/>
        </w:rPr>
        <w:t xml:space="preserve">            Legislativa</w:t>
      </w:r>
      <w:r w:rsidRPr="00F02D29">
        <w:rPr>
          <w:rFonts w:ascii="Book Antiqua" w:hAnsi="Book Antiqua"/>
          <w:lang w:val="es-ES_tradnl"/>
        </w:rPr>
        <w:tab/>
      </w:r>
      <w:r w:rsidRPr="00F02D29">
        <w:rPr>
          <w:rFonts w:ascii="Book Antiqua" w:hAnsi="Book Antiqua"/>
          <w:lang w:val="es-ES_tradnl"/>
        </w:rPr>
        <w:tab/>
        <w:t xml:space="preserve"> Ordinaria</w:t>
      </w:r>
      <w:r w:rsidRPr="00F02D29">
        <w:rPr>
          <w:rFonts w:ascii="Book Antiqua" w:hAnsi="Book Antiqua"/>
          <w:szCs w:val="24"/>
          <w:lang w:val="es-ES_tradnl"/>
        </w:rPr>
        <w:t xml:space="preserve"> </w:t>
      </w:r>
    </w:p>
    <w:p w14:paraId="5C9E4CFA" w14:textId="77777777" w:rsidR="00DB541B" w:rsidRPr="00F02D29" w:rsidRDefault="00DB541B" w:rsidP="00F02D29">
      <w:pPr>
        <w:rPr>
          <w:rFonts w:ascii="Book Antiqua" w:hAnsi="Book Antiqua"/>
          <w:szCs w:val="24"/>
          <w:lang w:val="es-ES_tradnl"/>
        </w:rPr>
      </w:pPr>
    </w:p>
    <w:p w14:paraId="3FFBF07B" w14:textId="77777777" w:rsidR="00DB541B" w:rsidRPr="00F02D29" w:rsidRDefault="00DB541B" w:rsidP="00F02D29">
      <w:pPr>
        <w:jc w:val="center"/>
        <w:rPr>
          <w:rFonts w:ascii="Book Antiqua" w:hAnsi="Book Antiqua"/>
          <w:b/>
          <w:sz w:val="36"/>
          <w:szCs w:val="36"/>
          <w:lang w:val="es-ES_tradnl"/>
        </w:rPr>
      </w:pPr>
      <w:r w:rsidRPr="00F02D29">
        <w:rPr>
          <w:rFonts w:ascii="Book Antiqua" w:hAnsi="Book Antiqua"/>
          <w:b/>
          <w:sz w:val="36"/>
          <w:szCs w:val="36"/>
          <w:lang w:val="es-ES_tradnl"/>
        </w:rPr>
        <w:t>CÁMARA DE REPRESENTANTES</w:t>
      </w:r>
    </w:p>
    <w:p w14:paraId="3F457A79" w14:textId="77777777" w:rsidR="00DB541B" w:rsidRPr="00F02D29" w:rsidRDefault="00DB541B" w:rsidP="00F02D29">
      <w:pPr>
        <w:jc w:val="center"/>
        <w:rPr>
          <w:rFonts w:ascii="Book Antiqua" w:hAnsi="Book Antiqua"/>
          <w:szCs w:val="24"/>
          <w:lang w:val="es-ES_tradnl"/>
        </w:rPr>
      </w:pPr>
    </w:p>
    <w:p w14:paraId="67783AFD" w14:textId="3DB90855" w:rsidR="00DB541B" w:rsidRPr="00F02D29" w:rsidRDefault="00DB541B" w:rsidP="00F02D29">
      <w:pPr>
        <w:jc w:val="center"/>
        <w:rPr>
          <w:rFonts w:ascii="Book Antiqua" w:hAnsi="Book Antiqua"/>
          <w:b/>
          <w:sz w:val="52"/>
          <w:szCs w:val="52"/>
          <w:lang w:val="es-ES_tradnl"/>
        </w:rPr>
      </w:pPr>
      <w:r w:rsidRPr="00F02D29">
        <w:rPr>
          <w:rFonts w:ascii="Book Antiqua" w:hAnsi="Book Antiqua"/>
          <w:b/>
          <w:sz w:val="52"/>
          <w:szCs w:val="52"/>
          <w:lang w:val="es-ES_tradnl"/>
        </w:rPr>
        <w:t xml:space="preserve">P. de la C. </w:t>
      </w:r>
      <w:r w:rsidR="000E27ED" w:rsidRPr="00F02D29">
        <w:rPr>
          <w:rFonts w:ascii="Book Antiqua" w:hAnsi="Book Antiqua"/>
          <w:b/>
          <w:sz w:val="52"/>
          <w:szCs w:val="52"/>
          <w:lang w:val="es-ES_tradnl"/>
        </w:rPr>
        <w:t>1091</w:t>
      </w:r>
    </w:p>
    <w:p w14:paraId="0A7BDD3F" w14:textId="77777777" w:rsidR="00DB541B" w:rsidRPr="00F02D29" w:rsidRDefault="00DB541B" w:rsidP="00F02D29">
      <w:pPr>
        <w:jc w:val="center"/>
        <w:rPr>
          <w:rFonts w:ascii="Book Antiqua" w:hAnsi="Book Antiqua"/>
          <w:szCs w:val="24"/>
          <w:lang w:val="es-ES_tradnl"/>
        </w:rPr>
      </w:pPr>
    </w:p>
    <w:p w14:paraId="4CE36B7D" w14:textId="4DE82CA0" w:rsidR="00DB541B" w:rsidRPr="00F02D29" w:rsidRDefault="00E644D0" w:rsidP="00F02D29">
      <w:pPr>
        <w:jc w:val="center"/>
        <w:rPr>
          <w:rFonts w:ascii="Book Antiqua" w:hAnsi="Book Antiqua"/>
          <w:szCs w:val="24"/>
          <w:lang w:val="es-ES_tradnl"/>
        </w:rPr>
      </w:pPr>
      <w:r w:rsidRPr="00F02D29">
        <w:rPr>
          <w:rFonts w:ascii="Book Antiqua" w:hAnsi="Book Antiqua"/>
          <w:szCs w:val="24"/>
          <w:lang w:val="es-ES_tradnl"/>
        </w:rPr>
        <w:t>29</w:t>
      </w:r>
      <w:r w:rsidR="00DB541B" w:rsidRPr="00F02D29">
        <w:rPr>
          <w:rFonts w:ascii="Book Antiqua" w:hAnsi="Book Antiqua"/>
          <w:szCs w:val="24"/>
          <w:lang w:val="es-ES_tradnl"/>
        </w:rPr>
        <w:t xml:space="preserve"> DE </w:t>
      </w:r>
      <w:r w:rsidR="000138DC" w:rsidRPr="00F02D29">
        <w:rPr>
          <w:rFonts w:ascii="Book Antiqua" w:hAnsi="Book Antiqua"/>
          <w:szCs w:val="24"/>
          <w:lang w:val="es-ES_tradnl"/>
        </w:rPr>
        <w:t>ENERO</w:t>
      </w:r>
      <w:r w:rsidR="00DB541B" w:rsidRPr="00F02D29">
        <w:rPr>
          <w:rFonts w:ascii="Book Antiqua" w:hAnsi="Book Antiqua"/>
          <w:szCs w:val="24"/>
          <w:lang w:val="es-ES_tradnl"/>
        </w:rPr>
        <w:t xml:space="preserve"> DE 202</w:t>
      </w:r>
      <w:r w:rsidR="000138DC" w:rsidRPr="00F02D29">
        <w:rPr>
          <w:rFonts w:ascii="Book Antiqua" w:hAnsi="Book Antiqua"/>
          <w:szCs w:val="24"/>
          <w:lang w:val="es-ES_tradnl"/>
        </w:rPr>
        <w:t>6</w:t>
      </w:r>
    </w:p>
    <w:p w14:paraId="4B9F7DB1" w14:textId="77777777" w:rsidR="00DB541B" w:rsidRPr="00F02D29" w:rsidRDefault="00DB541B" w:rsidP="00F02D29">
      <w:pPr>
        <w:jc w:val="center"/>
        <w:rPr>
          <w:rFonts w:ascii="Book Antiqua" w:hAnsi="Book Antiqua"/>
          <w:i/>
          <w:szCs w:val="24"/>
          <w:lang w:val="es-ES_tradnl"/>
        </w:rPr>
      </w:pPr>
    </w:p>
    <w:p w14:paraId="40A5BCA1" w14:textId="77777777" w:rsidR="00DB541B" w:rsidRPr="00F02D29" w:rsidRDefault="00DB541B" w:rsidP="00F02D29">
      <w:pPr>
        <w:ind w:left="720" w:hanging="720"/>
        <w:jc w:val="center"/>
        <w:rPr>
          <w:rFonts w:ascii="Book Antiqua" w:hAnsi="Book Antiqua"/>
          <w:i/>
          <w:szCs w:val="24"/>
          <w:lang w:val="es-ES_tradnl"/>
        </w:rPr>
      </w:pPr>
      <w:r w:rsidRPr="00F02D29">
        <w:rPr>
          <w:rFonts w:ascii="Book Antiqua" w:hAnsi="Book Antiqua"/>
          <w:szCs w:val="24"/>
          <w:lang w:val="es-ES_tradnl"/>
        </w:rPr>
        <w:t xml:space="preserve">Presentado por el representante </w:t>
      </w:r>
      <w:r w:rsidRPr="00F02D29">
        <w:rPr>
          <w:rFonts w:ascii="Book Antiqua" w:hAnsi="Book Antiqua"/>
          <w:i/>
          <w:szCs w:val="24"/>
          <w:lang w:val="es-ES_tradnl"/>
        </w:rPr>
        <w:t>Santiago Guzmán</w:t>
      </w:r>
    </w:p>
    <w:p w14:paraId="536BFA66" w14:textId="77777777" w:rsidR="00DB541B" w:rsidRPr="00F02D29" w:rsidRDefault="00DB541B" w:rsidP="00F02D29">
      <w:pPr>
        <w:ind w:left="720" w:hanging="720"/>
        <w:jc w:val="center"/>
        <w:rPr>
          <w:rFonts w:ascii="Book Antiqua" w:hAnsi="Book Antiqua"/>
          <w:i/>
          <w:szCs w:val="24"/>
          <w:lang w:val="es-ES_tradnl"/>
        </w:rPr>
      </w:pPr>
    </w:p>
    <w:p w14:paraId="7071F770" w14:textId="06886981" w:rsidR="00DB541B" w:rsidRPr="00F02D29" w:rsidRDefault="00DB541B" w:rsidP="00F02D29">
      <w:pPr>
        <w:jc w:val="center"/>
        <w:rPr>
          <w:rFonts w:ascii="Book Antiqua" w:hAnsi="Book Antiqua"/>
          <w:szCs w:val="24"/>
          <w:lang w:val="es-ES_tradnl"/>
        </w:rPr>
      </w:pPr>
      <w:r w:rsidRPr="00F02D29">
        <w:rPr>
          <w:rFonts w:ascii="Book Antiqua" w:hAnsi="Book Antiqua"/>
          <w:szCs w:val="24"/>
          <w:lang w:val="es-ES_tradnl"/>
        </w:rPr>
        <w:t xml:space="preserve">Referido a </w:t>
      </w:r>
      <w:r w:rsidR="00A8116A">
        <w:rPr>
          <w:rFonts w:ascii="Book Antiqua" w:hAnsi="Book Antiqua"/>
          <w:szCs w:val="24"/>
          <w:lang w:val="es-ES_tradnl"/>
        </w:rPr>
        <w:t>la Comisión de lo Jurídico</w:t>
      </w:r>
    </w:p>
    <w:p w14:paraId="5F2E8277" w14:textId="77777777" w:rsidR="00DB541B" w:rsidRPr="00F02D29" w:rsidRDefault="00DB541B" w:rsidP="00F02D29">
      <w:pPr>
        <w:jc w:val="center"/>
        <w:rPr>
          <w:rFonts w:ascii="Book Antiqua" w:hAnsi="Book Antiqua"/>
          <w:bCs/>
          <w:szCs w:val="24"/>
          <w:lang w:val="es-ES_tradnl"/>
        </w:rPr>
      </w:pPr>
    </w:p>
    <w:p w14:paraId="164FF5F6" w14:textId="77777777" w:rsidR="00DB541B" w:rsidRPr="00F02D29" w:rsidRDefault="00DB541B" w:rsidP="00F02D29">
      <w:pPr>
        <w:jc w:val="center"/>
        <w:rPr>
          <w:rFonts w:ascii="Book Antiqua" w:hAnsi="Book Antiqua"/>
          <w:b/>
          <w:sz w:val="28"/>
          <w:lang w:val="es-ES_tradnl"/>
        </w:rPr>
      </w:pPr>
      <w:r w:rsidRPr="00F02D29">
        <w:rPr>
          <w:rFonts w:ascii="Book Antiqua" w:hAnsi="Book Antiqua"/>
          <w:b/>
          <w:sz w:val="28"/>
          <w:lang w:val="es-ES_tradnl"/>
        </w:rPr>
        <w:t>LEY</w:t>
      </w:r>
    </w:p>
    <w:p w14:paraId="15B4D609" w14:textId="265AEB77" w:rsidR="00BF7072" w:rsidRPr="00F02D29" w:rsidRDefault="00C57AD5" w:rsidP="00F02D29">
      <w:pPr>
        <w:tabs>
          <w:tab w:val="left" w:pos="5550"/>
        </w:tabs>
        <w:rPr>
          <w:rFonts w:ascii="Book Antiqua" w:hAnsi="Book Antiqua"/>
          <w:lang w:val="es-ES_tradnl"/>
        </w:rPr>
      </w:pPr>
      <w:r w:rsidRPr="00F02D29">
        <w:rPr>
          <w:rFonts w:ascii="Book Antiqua" w:hAnsi="Book Antiqua"/>
          <w:b/>
          <w:szCs w:val="18"/>
          <w:lang w:val="es-ES_tradnl"/>
        </w:rPr>
        <w:tab/>
      </w:r>
    </w:p>
    <w:p w14:paraId="3C05D30F" w14:textId="53393147" w:rsidR="00BF7072" w:rsidRPr="00F02D29" w:rsidRDefault="00BF7072" w:rsidP="00F02D29">
      <w:pPr>
        <w:ind w:left="540" w:hanging="540"/>
        <w:jc w:val="both"/>
        <w:rPr>
          <w:rFonts w:ascii="Book Antiqua" w:hAnsi="Book Antiqua"/>
          <w:lang w:val="es-ES_tradnl"/>
        </w:rPr>
      </w:pPr>
      <w:r w:rsidRPr="00F02D29">
        <w:rPr>
          <w:rFonts w:ascii="Book Antiqua" w:hAnsi="Book Antiqua"/>
          <w:lang w:val="es-ES_tradnl"/>
        </w:rPr>
        <w:t xml:space="preserve">Para </w:t>
      </w:r>
      <w:r w:rsidR="000C786D" w:rsidRPr="00F02D29">
        <w:rPr>
          <w:rFonts w:ascii="Book Antiqua" w:hAnsi="Book Antiqua"/>
          <w:lang w:val="es-ES_tradnl"/>
        </w:rPr>
        <w:t>añadir</w:t>
      </w:r>
      <w:r w:rsidR="000C786D" w:rsidRPr="00F02D29">
        <w:rPr>
          <w:rFonts w:ascii="Book Antiqua" w:hAnsi="Book Antiqua"/>
          <w:lang w:val="es-PR"/>
        </w:rPr>
        <w:t xml:space="preserve"> un Artículo 130</w:t>
      </w:r>
      <w:r w:rsidR="008B3E05" w:rsidRPr="00F02D29">
        <w:rPr>
          <w:rFonts w:ascii="Book Antiqua" w:hAnsi="Book Antiqua"/>
          <w:lang w:val="es-PR"/>
        </w:rPr>
        <w:t>A</w:t>
      </w:r>
      <w:r w:rsidR="00BB1574" w:rsidRPr="00F02D29">
        <w:rPr>
          <w:rFonts w:ascii="Book Antiqua" w:hAnsi="Book Antiqua"/>
          <w:lang w:val="es-PR"/>
        </w:rPr>
        <w:t xml:space="preserve"> y </w:t>
      </w:r>
      <w:r w:rsidR="008B3E05" w:rsidRPr="00F02D29">
        <w:rPr>
          <w:rFonts w:ascii="Book Antiqua" w:hAnsi="Book Antiqua"/>
          <w:lang w:val="es-PR"/>
        </w:rPr>
        <w:t>añadir un Artículo 133A</w:t>
      </w:r>
      <w:r w:rsidR="000C786D" w:rsidRPr="00F02D29">
        <w:rPr>
          <w:rFonts w:ascii="Book Antiqua" w:hAnsi="Book Antiqua"/>
          <w:lang w:val="es-PR"/>
        </w:rPr>
        <w:t xml:space="preserve"> a la </w:t>
      </w:r>
      <w:hyperlink r:id="rId9" w:history="1">
        <w:r w:rsidR="000C786D" w:rsidRPr="00F02D29">
          <w:rPr>
            <w:rStyle w:val="Hyperlink"/>
            <w:rFonts w:ascii="Book Antiqua" w:hAnsi="Book Antiqua"/>
            <w:color w:val="auto"/>
            <w:u w:val="none"/>
            <w:lang w:val="es-PR"/>
          </w:rPr>
          <w:t>Ley 146-2012</w:t>
        </w:r>
      </w:hyperlink>
      <w:r w:rsidR="000C786D" w:rsidRPr="00F02D29">
        <w:rPr>
          <w:rFonts w:ascii="Book Antiqua" w:hAnsi="Book Antiqua"/>
          <w:lang w:val="es-PR"/>
        </w:rPr>
        <w:t>, según enmendada, conocida como "Código Penal de Puerto Rico"</w:t>
      </w:r>
      <w:r w:rsidR="00030B50" w:rsidRPr="00F02D29">
        <w:rPr>
          <w:rFonts w:ascii="Book Antiqua" w:hAnsi="Book Antiqua"/>
          <w:color w:val="222222"/>
          <w:lang w:val="es-PR"/>
        </w:rPr>
        <w:t>,</w:t>
      </w:r>
      <w:r w:rsidR="00030B50" w:rsidRPr="00F02D29">
        <w:rPr>
          <w:rFonts w:ascii="Book Antiqua" w:hAnsi="Book Antiqua"/>
          <w:lang w:val="es-PR"/>
        </w:rPr>
        <w:t xml:space="preserve"> </w:t>
      </w:r>
      <w:r w:rsidR="000C786D" w:rsidRPr="00F02D29">
        <w:rPr>
          <w:rFonts w:ascii="Book Antiqua" w:hAnsi="Book Antiqua"/>
          <w:lang w:val="es-ES_tradnl"/>
        </w:rPr>
        <w:t>a los</w:t>
      </w:r>
      <w:r w:rsidR="000C786D" w:rsidRPr="00F02D29">
        <w:rPr>
          <w:rFonts w:ascii="Book Antiqua" w:hAnsi="Book Antiqua"/>
          <w:lang w:val="es-PR"/>
        </w:rPr>
        <w:t xml:space="preserve"> fines de tipificar como delito</w:t>
      </w:r>
      <w:r w:rsidR="001D5D7B" w:rsidRPr="00F02D29">
        <w:rPr>
          <w:rFonts w:ascii="Book Antiqua" w:hAnsi="Book Antiqua"/>
          <w:lang w:val="es-PR"/>
        </w:rPr>
        <w:t xml:space="preserve"> en su modalidad agravada</w:t>
      </w:r>
      <w:r w:rsidR="00D73CB3" w:rsidRPr="00F02D29">
        <w:rPr>
          <w:rFonts w:ascii="Book Antiqua" w:hAnsi="Book Antiqua"/>
          <w:lang w:val="es-PR"/>
        </w:rPr>
        <w:t xml:space="preserve"> cuando la víctima </w:t>
      </w:r>
      <w:r w:rsidR="00CD5AD1" w:rsidRPr="00F02D29">
        <w:rPr>
          <w:rFonts w:ascii="Book Antiqua" w:hAnsi="Book Antiqua"/>
          <w:lang w:val="es-PR"/>
        </w:rPr>
        <w:t xml:space="preserve">es menor de </w:t>
      </w:r>
      <w:r w:rsidR="009B2C7B" w:rsidRPr="00F02D29">
        <w:rPr>
          <w:rFonts w:ascii="Book Antiqua" w:hAnsi="Book Antiqua"/>
          <w:lang w:val="es-PR"/>
        </w:rPr>
        <w:t>d</w:t>
      </w:r>
      <w:r w:rsidR="00CD5AD1" w:rsidRPr="00F02D29">
        <w:rPr>
          <w:rFonts w:ascii="Book Antiqua" w:hAnsi="Book Antiqua"/>
          <w:lang w:val="es-PR"/>
        </w:rPr>
        <w:t xml:space="preserve">oce (12) </w:t>
      </w:r>
      <w:proofErr w:type="gramStart"/>
      <w:r w:rsidR="00CD5AD1" w:rsidRPr="00F02D29">
        <w:rPr>
          <w:rFonts w:ascii="Book Antiqua" w:hAnsi="Book Antiqua"/>
          <w:lang w:val="es-PR"/>
        </w:rPr>
        <w:t>años de edad</w:t>
      </w:r>
      <w:proofErr w:type="gramEnd"/>
      <w:r w:rsidR="00CD5AD1" w:rsidRPr="00F02D29">
        <w:rPr>
          <w:rFonts w:ascii="Book Antiqua" w:hAnsi="Book Antiqua"/>
          <w:lang w:val="es-PR"/>
        </w:rPr>
        <w:t xml:space="preserve"> o </w:t>
      </w:r>
      <w:r w:rsidR="00216FFB" w:rsidRPr="00F02D29">
        <w:rPr>
          <w:rFonts w:ascii="Book Antiqua" w:hAnsi="Book Antiqua"/>
          <w:color w:val="222222"/>
          <w:szCs w:val="24"/>
          <w:lang w:val="es-PR"/>
        </w:rPr>
        <w:t>cuando</w:t>
      </w:r>
      <w:r w:rsidR="00481F56" w:rsidRPr="00F02D29">
        <w:rPr>
          <w:rFonts w:ascii="Book Antiqua" w:hAnsi="Book Antiqua"/>
          <w:color w:val="222222"/>
          <w:szCs w:val="24"/>
          <w:lang w:val="es-PR"/>
        </w:rPr>
        <w:t xml:space="preserve"> el menor</w:t>
      </w:r>
      <w:r w:rsidR="00216FFB" w:rsidRPr="00F02D29">
        <w:rPr>
          <w:rFonts w:ascii="Book Antiqua" w:hAnsi="Book Antiqua"/>
          <w:color w:val="222222"/>
          <w:szCs w:val="24"/>
          <w:lang w:val="es-PR"/>
        </w:rPr>
        <w:t xml:space="preserve"> sufre una diversidad funcional que limita su capacidad para comunicar o resistir</w:t>
      </w:r>
      <w:r w:rsidR="00394CB0" w:rsidRPr="00F02D29">
        <w:rPr>
          <w:rFonts w:ascii="Book Antiqua" w:hAnsi="Book Antiqua"/>
          <w:lang w:val="es-PR"/>
        </w:rPr>
        <w:t>;</w:t>
      </w:r>
      <w:r w:rsidR="00BE7807" w:rsidRPr="00F02D29">
        <w:rPr>
          <w:rFonts w:ascii="Book Antiqua" w:hAnsi="Book Antiqua"/>
          <w:lang w:val="es-PR"/>
        </w:rPr>
        <w:t xml:space="preserve"> </w:t>
      </w:r>
      <w:r w:rsidR="000C786D" w:rsidRPr="00F02D29">
        <w:rPr>
          <w:rFonts w:ascii="Book Antiqua" w:hAnsi="Book Antiqua"/>
          <w:lang w:val="es-ES"/>
        </w:rPr>
        <w:t>y para otros fines relacionados</w:t>
      </w:r>
      <w:r w:rsidR="000C786D" w:rsidRPr="00F02D29">
        <w:rPr>
          <w:rFonts w:ascii="Book Antiqua" w:hAnsi="Book Antiqua"/>
          <w:lang w:val="es-PR"/>
        </w:rPr>
        <w:t>.</w:t>
      </w:r>
    </w:p>
    <w:p w14:paraId="2273C9BA" w14:textId="77777777" w:rsidR="00011676" w:rsidRPr="00F02D29" w:rsidRDefault="00011676" w:rsidP="00F02D29">
      <w:pPr>
        <w:ind w:left="540" w:hanging="540"/>
        <w:jc w:val="both"/>
        <w:rPr>
          <w:rFonts w:ascii="Book Antiqua" w:hAnsi="Book Antiqua"/>
          <w:lang w:val="es-ES_tradnl"/>
        </w:rPr>
      </w:pPr>
    </w:p>
    <w:p w14:paraId="467EBFD7" w14:textId="77777777" w:rsidR="00BF7072" w:rsidRPr="00F02D29" w:rsidRDefault="00BF7072" w:rsidP="00F02D29">
      <w:pPr>
        <w:ind w:firstLine="360"/>
        <w:jc w:val="center"/>
        <w:rPr>
          <w:rFonts w:ascii="Book Antiqua" w:hAnsi="Book Antiqua"/>
          <w:lang w:val="es-ES_tradnl"/>
        </w:rPr>
      </w:pPr>
      <w:r w:rsidRPr="00F02D29">
        <w:rPr>
          <w:rFonts w:ascii="Book Antiqua" w:hAnsi="Book Antiqua"/>
          <w:lang w:val="es-ES_tradnl"/>
        </w:rPr>
        <w:t>EXPOSICIÓN DE MOTIVOS</w:t>
      </w:r>
    </w:p>
    <w:p w14:paraId="6880E92A" w14:textId="77777777" w:rsidR="00FB572D" w:rsidRPr="00F02D29" w:rsidRDefault="00FB572D" w:rsidP="00F02D29">
      <w:pPr>
        <w:ind w:firstLine="360"/>
        <w:jc w:val="center"/>
        <w:rPr>
          <w:rFonts w:ascii="Book Antiqua" w:hAnsi="Book Antiqua"/>
          <w:lang w:val="es-ES_tradnl"/>
        </w:rPr>
      </w:pPr>
    </w:p>
    <w:p w14:paraId="500FCB45" w14:textId="0663E658" w:rsidR="00FD2868" w:rsidRDefault="00FD2868"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 xml:space="preserve">La protección de los niños, niñas y adolescentes constituye uno de los intereses más apremiantes del Gobierno de Puerto Rico. La Constitución </w:t>
      </w:r>
      <w:r w:rsidR="00515151" w:rsidRPr="00F02D29">
        <w:rPr>
          <w:rFonts w:ascii="Book Antiqua" w:hAnsi="Book Antiqua"/>
          <w:color w:val="222222"/>
          <w:lang w:val="es-PR"/>
        </w:rPr>
        <w:t>de</w:t>
      </w:r>
      <w:r w:rsidR="0011442B" w:rsidRPr="00F02D29">
        <w:rPr>
          <w:rFonts w:ascii="Book Antiqua" w:hAnsi="Book Antiqua"/>
          <w:color w:val="222222"/>
          <w:lang w:val="es-PR"/>
        </w:rPr>
        <w:t xml:space="preserve"> Puerto Rico</w:t>
      </w:r>
      <w:r w:rsidRPr="00F02D29">
        <w:rPr>
          <w:rFonts w:ascii="Book Antiqua" w:hAnsi="Book Antiqua"/>
          <w:color w:val="222222"/>
          <w:lang w:val="es-PR"/>
        </w:rPr>
        <w:t xml:space="preserve"> garantiza la protección de la dignidad humana como valor fundamental, y, desde la política pública expresada en leyes como la Ley </w:t>
      </w:r>
      <w:r w:rsidR="00883859" w:rsidRPr="00F02D29">
        <w:rPr>
          <w:rFonts w:ascii="Book Antiqua" w:hAnsi="Book Antiqua"/>
          <w:color w:val="222222"/>
          <w:lang w:val="es-PR"/>
        </w:rPr>
        <w:t>57</w:t>
      </w:r>
      <w:r w:rsidR="00107A65" w:rsidRPr="00F02D29">
        <w:rPr>
          <w:rFonts w:ascii="Book Antiqua" w:hAnsi="Book Antiqua"/>
          <w:color w:val="222222"/>
          <w:lang w:val="es-PR"/>
        </w:rPr>
        <w:t>-2023</w:t>
      </w:r>
      <w:r w:rsidRPr="00F02D29">
        <w:rPr>
          <w:rFonts w:ascii="Book Antiqua" w:hAnsi="Book Antiqua"/>
          <w:color w:val="222222"/>
          <w:lang w:val="es-PR"/>
        </w:rPr>
        <w:t xml:space="preserve">, </w:t>
      </w:r>
      <w:r w:rsidR="00C04355" w:rsidRPr="00F02D29">
        <w:rPr>
          <w:rFonts w:ascii="Book Antiqua" w:hAnsi="Book Antiqua"/>
          <w:color w:val="222222"/>
          <w:lang w:val="es-PR"/>
        </w:rPr>
        <w:t>según enmendada, conocida como “</w:t>
      </w:r>
      <w:r w:rsidRPr="00F02D29">
        <w:rPr>
          <w:rFonts w:ascii="Book Antiqua" w:hAnsi="Book Antiqua"/>
          <w:color w:val="222222"/>
          <w:lang w:val="es-PR"/>
        </w:rPr>
        <w:t>Ley para</w:t>
      </w:r>
      <w:r w:rsidR="00107A65" w:rsidRPr="00F02D29">
        <w:rPr>
          <w:rFonts w:ascii="Book Antiqua" w:hAnsi="Book Antiqua"/>
          <w:color w:val="222222"/>
          <w:lang w:val="es-PR"/>
        </w:rPr>
        <w:t xml:space="preserve"> </w:t>
      </w:r>
      <w:r w:rsidR="00D60287" w:rsidRPr="00F02D29">
        <w:rPr>
          <w:rFonts w:ascii="Book Antiqua" w:hAnsi="Book Antiqua"/>
          <w:color w:val="222222"/>
          <w:lang w:val="es-PR"/>
        </w:rPr>
        <w:t xml:space="preserve">la </w:t>
      </w:r>
      <w:r w:rsidR="00107A65" w:rsidRPr="00F02D29">
        <w:rPr>
          <w:rFonts w:ascii="Book Antiqua" w:hAnsi="Book Antiqua"/>
          <w:color w:val="222222"/>
          <w:lang w:val="es-PR"/>
        </w:rPr>
        <w:t>Prevención del Maltrato, Preservación de la Unidad</w:t>
      </w:r>
      <w:r w:rsidR="00D60287" w:rsidRPr="00F02D29">
        <w:rPr>
          <w:rFonts w:ascii="Book Antiqua" w:hAnsi="Book Antiqua"/>
          <w:color w:val="222222"/>
          <w:lang w:val="es-PR"/>
        </w:rPr>
        <w:t xml:space="preserve"> Familiar y para</w:t>
      </w:r>
      <w:r w:rsidRPr="00F02D29">
        <w:rPr>
          <w:rFonts w:ascii="Book Antiqua" w:hAnsi="Book Antiqua"/>
          <w:color w:val="222222"/>
          <w:lang w:val="es-PR"/>
        </w:rPr>
        <w:t xml:space="preserve"> la Seguridad, Bienestar y Protección de</w:t>
      </w:r>
      <w:r w:rsidR="00B35C03" w:rsidRPr="00F02D29">
        <w:rPr>
          <w:rFonts w:ascii="Book Antiqua" w:hAnsi="Book Antiqua"/>
          <w:color w:val="222222"/>
          <w:lang w:val="es-PR"/>
        </w:rPr>
        <w:t xml:space="preserve"> los</w:t>
      </w:r>
      <w:r w:rsidRPr="00F02D29">
        <w:rPr>
          <w:rFonts w:ascii="Book Antiqua" w:hAnsi="Book Antiqua"/>
          <w:color w:val="222222"/>
          <w:lang w:val="es-PR"/>
        </w:rPr>
        <w:t xml:space="preserve"> Menores</w:t>
      </w:r>
      <w:r w:rsidR="00C04355" w:rsidRPr="00F02D29">
        <w:rPr>
          <w:rFonts w:ascii="Book Antiqua" w:hAnsi="Book Antiqua"/>
          <w:color w:val="222222"/>
          <w:lang w:val="es-PR"/>
        </w:rPr>
        <w:t>”</w:t>
      </w:r>
      <w:r w:rsidRPr="00F02D29">
        <w:rPr>
          <w:rFonts w:ascii="Book Antiqua" w:hAnsi="Book Antiqua"/>
          <w:color w:val="222222"/>
          <w:lang w:val="es-PR"/>
        </w:rPr>
        <w:t xml:space="preserve">, se reafirma el compromiso estatal de velar por la seguridad integral de la niñez. A nivel federal, la jurisprudencia relacionada al </w:t>
      </w:r>
      <w:r w:rsidR="00744C0E" w:rsidRPr="00F02D29">
        <w:rPr>
          <w:rFonts w:ascii="Book Antiqua" w:hAnsi="Book Antiqua"/>
          <w:color w:val="222222"/>
          <w:lang w:val="es-PR"/>
        </w:rPr>
        <w:t>“</w:t>
      </w:r>
      <w:r w:rsidRPr="00F02D29">
        <w:rPr>
          <w:rFonts w:ascii="Book Antiqua" w:hAnsi="Book Antiqua"/>
          <w:color w:val="222222"/>
          <w:lang w:val="es-PR"/>
        </w:rPr>
        <w:t>Child Abuse Prevention and Treatment Act</w:t>
      </w:r>
      <w:r w:rsidR="00744C0E" w:rsidRPr="00F02D29">
        <w:rPr>
          <w:rFonts w:ascii="Book Antiqua" w:hAnsi="Book Antiqua"/>
          <w:color w:val="222222"/>
          <w:lang w:val="es-PR"/>
        </w:rPr>
        <w:t>”</w:t>
      </w:r>
      <w:r w:rsidRPr="00F02D29">
        <w:rPr>
          <w:rFonts w:ascii="Book Antiqua" w:hAnsi="Book Antiqua"/>
          <w:color w:val="222222"/>
          <w:lang w:val="es-PR"/>
        </w:rPr>
        <w:t xml:space="preserve"> (CAPTA</w:t>
      </w:r>
      <w:r w:rsidR="00744C0E" w:rsidRPr="00F02D29">
        <w:rPr>
          <w:rFonts w:ascii="Book Antiqua" w:hAnsi="Book Antiqua"/>
          <w:color w:val="222222"/>
          <w:lang w:val="es-PR"/>
        </w:rPr>
        <w:t>, por sus siglas en inglés</w:t>
      </w:r>
      <w:r w:rsidRPr="00F02D29">
        <w:rPr>
          <w:rFonts w:ascii="Book Antiqua" w:hAnsi="Book Antiqua"/>
          <w:color w:val="222222"/>
          <w:lang w:val="es-PR"/>
        </w:rPr>
        <w:t>)</w:t>
      </w:r>
      <w:r w:rsidR="00744C0E" w:rsidRPr="00F02D29">
        <w:rPr>
          <w:rFonts w:ascii="Book Antiqua" w:hAnsi="Book Antiqua"/>
          <w:color w:val="222222"/>
          <w:lang w:val="es-PR"/>
        </w:rPr>
        <w:t>,</w:t>
      </w:r>
      <w:r w:rsidRPr="00F02D29">
        <w:rPr>
          <w:rFonts w:ascii="Book Antiqua" w:hAnsi="Book Antiqua"/>
          <w:color w:val="222222"/>
          <w:lang w:val="es-PR"/>
        </w:rPr>
        <w:t xml:space="preserve"> ha servido de marco orientador para la creación de sistemas robustos de protección a menores en todas las jurisdicciones de Estados Unidos, incluyendo Puerto Rico.</w:t>
      </w:r>
    </w:p>
    <w:p w14:paraId="5201C905"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5C40FD20" w14:textId="77777777" w:rsidR="00FD2868" w:rsidRDefault="00FD2868"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 xml:space="preserve">Las estadísticas más recientes divulgadas por agencias locales dedicadas a la protección infantil reflejan un panorama alarmante. Durante el último periodo fiscal reportado, el Departamento de la Familia atendió más de 10,000 casos activos de maltrato infantil en Puerto Rico, de los cuales un número significativo correspondió a alegaciones de abuso sexual. Estas cifras evidencian que la violencia sexual contra menores continúa </w:t>
      </w:r>
      <w:r w:rsidRPr="00F02D29">
        <w:rPr>
          <w:rFonts w:ascii="Book Antiqua" w:hAnsi="Book Antiqua"/>
          <w:color w:val="222222"/>
          <w:lang w:val="es-PR"/>
        </w:rPr>
        <w:lastRenderedPageBreak/>
        <w:t>siendo una realidad extendida, persistente y devastadora. Asimismo, informes académicos y clínicos de universidades locales señalan un aumento sostenido en la detección de indicadores de abuso sexual en menores de 12 años, particularmente en aquellos con necesidades especiales o impedimentos del desarrollo.</w:t>
      </w:r>
    </w:p>
    <w:p w14:paraId="5B4001CE"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0BA0458B" w14:textId="42E0E441" w:rsidR="00FD2868" w:rsidRDefault="00FD2868"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Los estudios más recientes reafirman que los menores que poseen incapacidades de comunicación</w:t>
      </w:r>
      <w:r w:rsidR="00F76B91" w:rsidRPr="00F02D29">
        <w:rPr>
          <w:rFonts w:ascii="Book Antiqua" w:hAnsi="Book Antiqua"/>
          <w:color w:val="222222"/>
          <w:lang w:val="es-PR"/>
        </w:rPr>
        <w:t xml:space="preserve">; </w:t>
      </w:r>
      <w:r w:rsidRPr="00F02D29">
        <w:rPr>
          <w:rFonts w:ascii="Book Antiqua" w:hAnsi="Book Antiqua"/>
          <w:color w:val="222222"/>
          <w:lang w:val="es-PR"/>
        </w:rPr>
        <w:t>ya sea por condiciones del neurodesarrollo, discapacidades intelectuales, trastornos del lenguaje, autismo severo, déficits cognitivos o por una etapa muy temprana de desarrollo</w:t>
      </w:r>
      <w:r w:rsidR="007444E7" w:rsidRPr="00F02D29">
        <w:rPr>
          <w:rFonts w:ascii="Book Antiqua" w:hAnsi="Book Antiqua"/>
          <w:color w:val="222222"/>
          <w:lang w:val="es-PR"/>
        </w:rPr>
        <w:t>,</w:t>
      </w:r>
      <w:r w:rsidRPr="00F02D29">
        <w:rPr>
          <w:rFonts w:ascii="Book Antiqua" w:hAnsi="Book Antiqua"/>
          <w:color w:val="222222"/>
          <w:lang w:val="es-PR"/>
        </w:rPr>
        <w:t xml:space="preserve"> son desproporcionadamente vulnerables a la agresión sexual. La limitada capacidad de expresar verbalmente lo ocurrido, describir al agresor o identificar el evento en sí, aumenta significativamente el riesgo de victimización y dificulta la detección inmediata por parte de familiares, cuidadores y autoridades.</w:t>
      </w:r>
    </w:p>
    <w:p w14:paraId="1ECECE89"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1E98A962" w14:textId="48962CF7" w:rsidR="00FD2868" w:rsidRDefault="00EC5EDE"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Lo cierto es</w:t>
      </w:r>
      <w:r w:rsidR="00FD2868" w:rsidRPr="00F02D29">
        <w:rPr>
          <w:rFonts w:ascii="Book Antiqua" w:hAnsi="Book Antiqua"/>
          <w:color w:val="222222"/>
          <w:lang w:val="es-PR"/>
        </w:rPr>
        <w:t xml:space="preserve"> que</w:t>
      </w:r>
      <w:r w:rsidRPr="00F02D29">
        <w:rPr>
          <w:rFonts w:ascii="Book Antiqua" w:hAnsi="Book Antiqua"/>
          <w:color w:val="222222"/>
          <w:lang w:val="es-PR"/>
        </w:rPr>
        <w:t xml:space="preserve"> los</w:t>
      </w:r>
      <w:r w:rsidR="00FD2868" w:rsidRPr="00F02D29">
        <w:rPr>
          <w:rFonts w:ascii="Book Antiqua" w:hAnsi="Book Antiqua"/>
          <w:color w:val="222222"/>
          <w:lang w:val="es-PR"/>
        </w:rPr>
        <w:t xml:space="preserve"> ofensores sexuales suelen seleccionar víctimas que presentan limitaciones comunicativas porque:</w:t>
      </w:r>
    </w:p>
    <w:p w14:paraId="25C827B2"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5998136F" w14:textId="77777777" w:rsidR="00FD2868" w:rsidRPr="00F02D29" w:rsidRDefault="00FD2868" w:rsidP="00F02D29">
      <w:pPr>
        <w:pStyle w:val="NormalWeb"/>
        <w:numPr>
          <w:ilvl w:val="0"/>
          <w:numId w:val="6"/>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Reducen el riesgo de divulgación del delito.</w:t>
      </w:r>
    </w:p>
    <w:p w14:paraId="3A2E5CDF" w14:textId="77777777" w:rsidR="00FD2868" w:rsidRPr="00F02D29" w:rsidRDefault="00FD2868" w:rsidP="00F02D29">
      <w:pPr>
        <w:pStyle w:val="NormalWeb"/>
        <w:numPr>
          <w:ilvl w:val="0"/>
          <w:numId w:val="6"/>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Dificultan la obtención de evidencia testimonial directa.</w:t>
      </w:r>
    </w:p>
    <w:p w14:paraId="1FAD9ECC" w14:textId="77777777" w:rsidR="00FD2868" w:rsidRPr="00F02D29" w:rsidRDefault="00FD2868" w:rsidP="00F02D29">
      <w:pPr>
        <w:pStyle w:val="NormalWeb"/>
        <w:numPr>
          <w:ilvl w:val="0"/>
          <w:numId w:val="6"/>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Permiten la repetición del abuso debido a su baja detectabilidad.</w:t>
      </w:r>
    </w:p>
    <w:p w14:paraId="07927EFF" w14:textId="017B3786" w:rsidR="00FD2868" w:rsidRDefault="00FD2868" w:rsidP="00F02D29">
      <w:pPr>
        <w:pStyle w:val="NormalWeb"/>
        <w:numPr>
          <w:ilvl w:val="0"/>
          <w:numId w:val="6"/>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Incrementan el control del agresor, quien explota deliberadamente la incapacidad física, cognitiva o comunicativa de la víctima.</w:t>
      </w:r>
    </w:p>
    <w:p w14:paraId="0439A8CD" w14:textId="77777777" w:rsidR="00F02D29" w:rsidRPr="00F02D29" w:rsidRDefault="00F02D29" w:rsidP="00F02D29">
      <w:pPr>
        <w:pStyle w:val="NormalWeb"/>
        <w:spacing w:before="0" w:beforeAutospacing="0" w:after="0" w:afterAutospacing="0"/>
        <w:ind w:left="720"/>
        <w:jc w:val="both"/>
        <w:rPr>
          <w:rFonts w:ascii="Book Antiqua" w:hAnsi="Book Antiqua"/>
          <w:color w:val="222222"/>
          <w:lang w:val="es-PR"/>
        </w:rPr>
      </w:pPr>
    </w:p>
    <w:p w14:paraId="24EFCA60" w14:textId="7378AF41" w:rsidR="00FD2868" w:rsidRDefault="00FD2868"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 xml:space="preserve">Por tanto, cuando la agresión sexual se comete contra un menor que, además de no haber cumplido </w:t>
      </w:r>
      <w:r w:rsidR="004B4E2B" w:rsidRPr="00F02D29">
        <w:rPr>
          <w:rFonts w:ascii="Book Antiqua" w:hAnsi="Book Antiqua"/>
          <w:color w:val="222222"/>
          <w:lang w:val="es-PR"/>
        </w:rPr>
        <w:t>doce</w:t>
      </w:r>
      <w:r w:rsidRPr="00F02D29">
        <w:rPr>
          <w:rFonts w:ascii="Book Antiqua" w:hAnsi="Book Antiqua"/>
          <w:color w:val="222222"/>
          <w:lang w:val="es-PR"/>
        </w:rPr>
        <w:t xml:space="preserve"> (1</w:t>
      </w:r>
      <w:r w:rsidR="004B4E2B" w:rsidRPr="00F02D29">
        <w:rPr>
          <w:rFonts w:ascii="Book Antiqua" w:hAnsi="Book Antiqua"/>
          <w:color w:val="222222"/>
          <w:lang w:val="es-PR"/>
        </w:rPr>
        <w:t>2</w:t>
      </w:r>
      <w:r w:rsidRPr="00F02D29">
        <w:rPr>
          <w:rFonts w:ascii="Book Antiqua" w:hAnsi="Book Antiqua"/>
          <w:color w:val="222222"/>
          <w:lang w:val="es-PR"/>
        </w:rPr>
        <w:t>) años, carece de la capacidad de comunicar lo ocurrido, el acto delictivo adquiere una naturaleza particularmente vil, abusiva y calculada. Se trata de una violación no solo a la integridad física, emocional y psicológica del menor, sino también una explotación de su indefensión más absoluta.</w:t>
      </w:r>
    </w:p>
    <w:p w14:paraId="2DCFDFAD"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3A012AD2" w14:textId="314EDBEE" w:rsidR="00FD2868" w:rsidRDefault="008827AA" w:rsidP="00F02D29">
      <w:pPr>
        <w:pStyle w:val="NormalWeb"/>
        <w:shd w:val="clear" w:color="auto" w:fill="FFFFFF"/>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Nuestro ordenamiento jurídico</w:t>
      </w:r>
      <w:r w:rsidR="00FD2868" w:rsidRPr="00F02D29">
        <w:rPr>
          <w:rFonts w:ascii="Book Antiqua" w:hAnsi="Book Antiqua"/>
          <w:color w:val="222222"/>
          <w:lang w:val="es-PR"/>
        </w:rPr>
        <w:t xml:space="preserve"> contempla diversos escenarios de agresión sexual y circunstancias agravantes, pero actualmente no recoge de manera independiente y explícita un tipo penal que abarque la agresión sexual contra menores de </w:t>
      </w:r>
      <w:r w:rsidRPr="00F02D29">
        <w:rPr>
          <w:rFonts w:ascii="Book Antiqua" w:hAnsi="Book Antiqua"/>
          <w:color w:val="222222"/>
          <w:lang w:val="es-PR"/>
        </w:rPr>
        <w:t>do</w:t>
      </w:r>
      <w:r w:rsidR="00FD2868" w:rsidRPr="00F02D29">
        <w:rPr>
          <w:rFonts w:ascii="Book Antiqua" w:hAnsi="Book Antiqua"/>
          <w:color w:val="222222"/>
          <w:lang w:val="es-PR"/>
        </w:rPr>
        <w:t>ce años como figura separada, ni mucho menos que refleje la gravedad específica del aprovechamiento de una incapacidad comunicativa. La política pública exige la adopción de una disposición clara, contundente y diferenciada que atienda esta laguna</w:t>
      </w:r>
      <w:r w:rsidR="000621AC" w:rsidRPr="00F02D29">
        <w:rPr>
          <w:rFonts w:ascii="Book Antiqua" w:hAnsi="Book Antiqua"/>
          <w:color w:val="222222"/>
          <w:lang w:val="es-PR"/>
        </w:rPr>
        <w:t>; por lo cual se estima necesario re</w:t>
      </w:r>
      <w:r w:rsidR="001321AE" w:rsidRPr="00F02D29">
        <w:rPr>
          <w:rFonts w:ascii="Book Antiqua" w:hAnsi="Book Antiqua"/>
          <w:color w:val="222222"/>
          <w:lang w:val="es-PR"/>
        </w:rPr>
        <w:t xml:space="preserve">forzar la protección de los menores más vulnerables mediante la creación de una figura </w:t>
      </w:r>
      <w:r w:rsidR="00E90A6C" w:rsidRPr="00F02D29">
        <w:rPr>
          <w:rFonts w:ascii="Book Antiqua" w:hAnsi="Book Antiqua"/>
          <w:color w:val="222222"/>
          <w:lang w:val="es-PR"/>
        </w:rPr>
        <w:t xml:space="preserve">penal específica que permita tipificar de manera clara la realización de actos de agresión sexual contra menores que no hayan cumplido </w:t>
      </w:r>
      <w:r w:rsidR="000F5BA6" w:rsidRPr="00F02D29">
        <w:rPr>
          <w:rFonts w:ascii="Book Antiqua" w:hAnsi="Book Antiqua"/>
          <w:color w:val="222222"/>
          <w:lang w:val="es-PR"/>
        </w:rPr>
        <w:t>do</w:t>
      </w:r>
      <w:r w:rsidR="00E90A6C" w:rsidRPr="00F02D29">
        <w:rPr>
          <w:rFonts w:ascii="Book Antiqua" w:hAnsi="Book Antiqua"/>
          <w:color w:val="222222"/>
          <w:lang w:val="es-PR"/>
        </w:rPr>
        <w:t>ce</w:t>
      </w:r>
      <w:r w:rsidR="004F4297" w:rsidRPr="00F02D29">
        <w:rPr>
          <w:rFonts w:ascii="Book Antiqua" w:hAnsi="Book Antiqua"/>
          <w:color w:val="222222"/>
          <w:lang w:val="es-PR"/>
        </w:rPr>
        <w:t xml:space="preserve"> (1</w:t>
      </w:r>
      <w:r w:rsidR="00F73480" w:rsidRPr="00F02D29">
        <w:rPr>
          <w:rFonts w:ascii="Book Antiqua" w:hAnsi="Book Antiqua"/>
          <w:color w:val="222222"/>
          <w:lang w:val="es-PR"/>
        </w:rPr>
        <w:t>2</w:t>
      </w:r>
      <w:r w:rsidR="004F4297" w:rsidRPr="00F02D29">
        <w:rPr>
          <w:rFonts w:ascii="Book Antiqua" w:hAnsi="Book Antiqua"/>
          <w:color w:val="222222"/>
          <w:lang w:val="es-PR"/>
        </w:rPr>
        <w:t>)</w:t>
      </w:r>
      <w:r w:rsidR="00E90A6C" w:rsidRPr="00F02D29">
        <w:rPr>
          <w:rFonts w:ascii="Book Antiqua" w:hAnsi="Book Antiqua"/>
          <w:color w:val="222222"/>
          <w:lang w:val="es-PR"/>
        </w:rPr>
        <w:t xml:space="preserve"> años, y establecer una pena fija proporcional a la gravedad del daño.</w:t>
      </w:r>
    </w:p>
    <w:p w14:paraId="08ED8876" w14:textId="77777777" w:rsidR="00F02D29" w:rsidRPr="00F02D29" w:rsidRDefault="00F02D29" w:rsidP="00F02D29">
      <w:pPr>
        <w:pStyle w:val="NormalWeb"/>
        <w:shd w:val="clear" w:color="auto" w:fill="FFFFFF"/>
        <w:spacing w:before="0" w:beforeAutospacing="0" w:after="0" w:afterAutospacing="0"/>
        <w:ind w:firstLine="720"/>
        <w:jc w:val="both"/>
        <w:rPr>
          <w:rFonts w:ascii="Book Antiqua" w:hAnsi="Book Antiqua"/>
          <w:color w:val="222222"/>
          <w:lang w:val="es-PR"/>
        </w:rPr>
      </w:pPr>
    </w:p>
    <w:p w14:paraId="59D4983F" w14:textId="3FA06ABA" w:rsidR="00FD2868" w:rsidRDefault="0034575E"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Cabe destacar que o</w:t>
      </w:r>
      <w:r w:rsidR="00FD2868" w:rsidRPr="00F02D29">
        <w:rPr>
          <w:rFonts w:ascii="Book Antiqua" w:hAnsi="Book Antiqua"/>
          <w:color w:val="222222"/>
          <w:lang w:val="es-PR"/>
        </w:rPr>
        <w:t xml:space="preserve">tras jurisdicciones dentro de </w:t>
      </w:r>
      <w:r w:rsidRPr="00F02D29">
        <w:rPr>
          <w:rFonts w:ascii="Book Antiqua" w:hAnsi="Book Antiqua"/>
          <w:color w:val="222222"/>
          <w:lang w:val="es-PR"/>
        </w:rPr>
        <w:t xml:space="preserve">los </w:t>
      </w:r>
      <w:r w:rsidR="00FD2868" w:rsidRPr="00F02D29">
        <w:rPr>
          <w:rFonts w:ascii="Book Antiqua" w:hAnsi="Book Antiqua"/>
          <w:color w:val="222222"/>
          <w:lang w:val="es-PR"/>
        </w:rPr>
        <w:t>Estados Unidos</w:t>
      </w:r>
      <w:r w:rsidRPr="00F02D29">
        <w:rPr>
          <w:rFonts w:ascii="Book Antiqua" w:hAnsi="Book Antiqua"/>
          <w:color w:val="222222"/>
          <w:lang w:val="es-PR"/>
        </w:rPr>
        <w:t xml:space="preserve"> de América</w:t>
      </w:r>
      <w:r w:rsidR="00FD2868" w:rsidRPr="00F02D29">
        <w:rPr>
          <w:rFonts w:ascii="Book Antiqua" w:hAnsi="Book Antiqua"/>
          <w:color w:val="222222"/>
          <w:lang w:val="es-PR"/>
        </w:rPr>
        <w:t xml:space="preserve"> han legislado en esta dirección. Estados como Florida, Texas, California y Nueva York contemplan delitos sexuales agravados cuando la víctima es menor de cierta edad o cuando sufre una discapacidad que limita su capacidad para comunicar o resistir. Estas </w:t>
      </w:r>
      <w:r w:rsidR="00FD2868" w:rsidRPr="00F02D29">
        <w:rPr>
          <w:rFonts w:ascii="Book Antiqua" w:hAnsi="Book Antiqua"/>
          <w:color w:val="222222"/>
          <w:lang w:val="es-PR"/>
        </w:rPr>
        <w:lastRenderedPageBreak/>
        <w:t>jurisdicciones han adoptado penas significativamente elevadas, reflejando la gravedad particular de estos crímenes y la necesidad de prevención general.</w:t>
      </w:r>
    </w:p>
    <w:p w14:paraId="150D7D7B"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29D8F7C6" w14:textId="3A57E3AF" w:rsidR="00FD2868" w:rsidRDefault="00FD2868"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 xml:space="preserve">En el caso de Puerto Rico, </w:t>
      </w:r>
      <w:r w:rsidR="00F73480" w:rsidRPr="00F02D29">
        <w:rPr>
          <w:rFonts w:ascii="Book Antiqua" w:hAnsi="Book Antiqua"/>
          <w:color w:val="222222"/>
          <w:lang w:val="es-PR"/>
        </w:rPr>
        <w:t xml:space="preserve">mediante </w:t>
      </w:r>
      <w:r w:rsidRPr="00F02D29">
        <w:rPr>
          <w:rFonts w:ascii="Book Antiqua" w:hAnsi="Book Antiqua"/>
          <w:color w:val="222222"/>
          <w:lang w:val="es-PR"/>
        </w:rPr>
        <w:t>la creación de un nuevo Artículo 130</w:t>
      </w:r>
      <w:r w:rsidR="001F21BC" w:rsidRPr="00F02D29">
        <w:rPr>
          <w:rFonts w:ascii="Book Antiqua" w:hAnsi="Book Antiqua"/>
          <w:color w:val="222222"/>
          <w:lang w:val="es-PR"/>
        </w:rPr>
        <w:t>A</w:t>
      </w:r>
      <w:r w:rsidR="00F73480" w:rsidRPr="00F02D29">
        <w:rPr>
          <w:rFonts w:ascii="Book Antiqua" w:hAnsi="Book Antiqua"/>
          <w:color w:val="222222"/>
          <w:lang w:val="es-PR"/>
        </w:rPr>
        <w:t xml:space="preserve">, que </w:t>
      </w:r>
      <w:r w:rsidR="001F21BC" w:rsidRPr="00F02D29">
        <w:rPr>
          <w:rFonts w:ascii="Book Antiqua" w:hAnsi="Book Antiqua"/>
          <w:color w:val="222222"/>
          <w:lang w:val="es-PR"/>
        </w:rPr>
        <w:t>incorpore el delito de</w:t>
      </w:r>
      <w:r w:rsidRPr="00F02D29">
        <w:rPr>
          <w:rFonts w:ascii="Book Antiqua" w:hAnsi="Book Antiqua"/>
          <w:color w:val="222222"/>
          <w:lang w:val="es-PR"/>
        </w:rPr>
        <w:t xml:space="preserve"> Agresión Sexual Agravada contra Menores de </w:t>
      </w:r>
      <w:r w:rsidR="008827AA" w:rsidRPr="00F02D29">
        <w:rPr>
          <w:rFonts w:ascii="Book Antiqua" w:hAnsi="Book Antiqua"/>
          <w:color w:val="222222"/>
          <w:lang w:val="es-PR"/>
        </w:rPr>
        <w:t>Doce (12)</w:t>
      </w:r>
      <w:r w:rsidRPr="00F02D29">
        <w:rPr>
          <w:rFonts w:ascii="Book Antiqua" w:hAnsi="Book Antiqua"/>
          <w:color w:val="222222"/>
          <w:lang w:val="es-PR"/>
        </w:rPr>
        <w:t xml:space="preserve"> Años, </w:t>
      </w:r>
      <w:r w:rsidR="001F21BC" w:rsidRPr="00F02D29">
        <w:rPr>
          <w:rFonts w:ascii="Book Antiqua" w:hAnsi="Book Antiqua"/>
          <w:color w:val="222222"/>
          <w:lang w:val="es-PR"/>
        </w:rPr>
        <w:t xml:space="preserve">y </w:t>
      </w:r>
      <w:r w:rsidRPr="00F02D29">
        <w:rPr>
          <w:rFonts w:ascii="Book Antiqua" w:hAnsi="Book Antiqua"/>
          <w:color w:val="222222"/>
          <w:lang w:val="es-PR"/>
        </w:rPr>
        <w:t>que incluya el escenario en que la víctima se encuentra imposibilitada de comunicarse</w:t>
      </w:r>
      <w:r w:rsidR="0073518D" w:rsidRPr="00F02D29">
        <w:rPr>
          <w:rFonts w:ascii="Book Antiqua" w:hAnsi="Book Antiqua"/>
          <w:color w:val="222222"/>
          <w:lang w:val="es-PR"/>
        </w:rPr>
        <w:t>,</w:t>
      </w:r>
      <w:r w:rsidRPr="00F02D29">
        <w:rPr>
          <w:rFonts w:ascii="Book Antiqua" w:hAnsi="Book Antiqua"/>
          <w:color w:val="222222"/>
          <w:lang w:val="es-PR"/>
        </w:rPr>
        <w:t xml:space="preserve"> </w:t>
      </w:r>
      <w:r w:rsidR="001F21BC" w:rsidRPr="00F02D29">
        <w:rPr>
          <w:rFonts w:ascii="Book Antiqua" w:hAnsi="Book Antiqua"/>
          <w:color w:val="222222"/>
          <w:lang w:val="es-PR"/>
        </w:rPr>
        <w:t>ya sea por condiciones del neurodesarrollo, discapacidades intelectuales, trastornos del lenguaje, autismo severo, déficits cognitivos o por una etapa muy temprana de desarrollo</w:t>
      </w:r>
      <w:r w:rsidR="0073518D" w:rsidRPr="00F02D29">
        <w:rPr>
          <w:rFonts w:ascii="Book Antiqua" w:hAnsi="Book Antiqua"/>
          <w:color w:val="222222"/>
          <w:lang w:val="es-PR"/>
        </w:rPr>
        <w:t>,</w:t>
      </w:r>
      <w:r w:rsidR="001F21BC" w:rsidRPr="00F02D29">
        <w:rPr>
          <w:rFonts w:ascii="Book Antiqua" w:hAnsi="Book Antiqua"/>
          <w:color w:val="222222"/>
          <w:lang w:val="es-PR"/>
        </w:rPr>
        <w:t xml:space="preserve"> </w:t>
      </w:r>
      <w:r w:rsidRPr="00F02D29">
        <w:rPr>
          <w:rFonts w:ascii="Book Antiqua" w:hAnsi="Book Antiqua"/>
          <w:color w:val="222222"/>
          <w:lang w:val="es-PR"/>
        </w:rPr>
        <w:t xml:space="preserve">representa una evolución necesaria del </w:t>
      </w:r>
      <w:r w:rsidR="00267FF6" w:rsidRPr="00F02D29">
        <w:rPr>
          <w:rFonts w:ascii="Book Antiqua" w:hAnsi="Book Antiqua"/>
          <w:color w:val="222222"/>
          <w:lang w:val="es-PR"/>
        </w:rPr>
        <w:t>ordenamiento</w:t>
      </w:r>
      <w:r w:rsidRPr="00F02D29">
        <w:rPr>
          <w:rFonts w:ascii="Book Antiqua" w:hAnsi="Book Antiqua"/>
          <w:color w:val="222222"/>
          <w:lang w:val="es-PR"/>
        </w:rPr>
        <w:t xml:space="preserve"> penal. La imposición de una pena fija de setenta y cinco (75) años de reclusión persigue objetivos esenciales del derecho penal </w:t>
      </w:r>
      <w:r w:rsidR="00636838" w:rsidRPr="00F02D29">
        <w:rPr>
          <w:rFonts w:ascii="Book Antiqua" w:hAnsi="Book Antiqua"/>
          <w:color w:val="222222"/>
          <w:lang w:val="es-PR"/>
        </w:rPr>
        <w:t>de avanzada, incluyendo</w:t>
      </w:r>
      <w:r w:rsidRPr="00F02D29">
        <w:rPr>
          <w:rFonts w:ascii="Book Antiqua" w:hAnsi="Book Antiqua"/>
          <w:color w:val="222222"/>
          <w:lang w:val="es-PR"/>
        </w:rPr>
        <w:t>:</w:t>
      </w:r>
    </w:p>
    <w:p w14:paraId="0457BA46"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17A8C9F0" w14:textId="77777777" w:rsidR="00FD2868" w:rsidRPr="00F02D29" w:rsidRDefault="00FD2868" w:rsidP="00F02D29">
      <w:pPr>
        <w:pStyle w:val="NormalWeb"/>
        <w:numPr>
          <w:ilvl w:val="0"/>
          <w:numId w:val="7"/>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Retribución proporcional al daño causado.</w:t>
      </w:r>
    </w:p>
    <w:p w14:paraId="4157B369" w14:textId="77777777" w:rsidR="00FD2868" w:rsidRPr="00F02D29" w:rsidRDefault="00FD2868" w:rsidP="00F02D29">
      <w:pPr>
        <w:pStyle w:val="NormalWeb"/>
        <w:numPr>
          <w:ilvl w:val="0"/>
          <w:numId w:val="7"/>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Prevención general, enviando un mensaje firme de intolerancia social.</w:t>
      </w:r>
    </w:p>
    <w:p w14:paraId="5C8A97F6" w14:textId="77777777" w:rsidR="00FD2868" w:rsidRPr="00F02D29" w:rsidRDefault="00FD2868" w:rsidP="00F02D29">
      <w:pPr>
        <w:pStyle w:val="NormalWeb"/>
        <w:numPr>
          <w:ilvl w:val="0"/>
          <w:numId w:val="7"/>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Prevención especial, removiendo del entorno social a ofensores altamente peligrosos.</w:t>
      </w:r>
    </w:p>
    <w:p w14:paraId="4BF4A9E2" w14:textId="77777777" w:rsidR="00FD2868" w:rsidRPr="00F02D29" w:rsidRDefault="00FD2868" w:rsidP="00F02D29">
      <w:pPr>
        <w:pStyle w:val="NormalWeb"/>
        <w:numPr>
          <w:ilvl w:val="0"/>
          <w:numId w:val="7"/>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Protección reforzada de los menores cuya impotencia comunicativa impide denunciar.</w:t>
      </w:r>
    </w:p>
    <w:p w14:paraId="740F7EB5" w14:textId="7B0602BB" w:rsidR="00FD2868" w:rsidRDefault="00FD2868" w:rsidP="00F02D29">
      <w:pPr>
        <w:pStyle w:val="NormalWeb"/>
        <w:numPr>
          <w:ilvl w:val="0"/>
          <w:numId w:val="7"/>
        </w:numPr>
        <w:spacing w:before="0" w:beforeAutospacing="0" w:after="0" w:afterAutospacing="0"/>
        <w:jc w:val="both"/>
        <w:rPr>
          <w:rFonts w:ascii="Book Antiqua" w:hAnsi="Book Antiqua"/>
          <w:color w:val="222222"/>
          <w:lang w:val="es-PR"/>
        </w:rPr>
      </w:pPr>
      <w:r w:rsidRPr="00F02D29">
        <w:rPr>
          <w:rFonts w:ascii="Book Antiqua" w:hAnsi="Book Antiqua"/>
          <w:color w:val="222222"/>
          <w:lang w:val="es-PR"/>
        </w:rPr>
        <w:t>Claridad normativa, evitando interpretaciones ambiguas o dispares en los tribunales.</w:t>
      </w:r>
    </w:p>
    <w:p w14:paraId="152C9183" w14:textId="77777777" w:rsidR="00F02D29" w:rsidRPr="00F02D29" w:rsidRDefault="00F02D29" w:rsidP="00F02D29">
      <w:pPr>
        <w:pStyle w:val="NormalWeb"/>
        <w:spacing w:before="0" w:beforeAutospacing="0" w:after="0" w:afterAutospacing="0"/>
        <w:ind w:left="720"/>
        <w:jc w:val="both"/>
        <w:rPr>
          <w:rFonts w:ascii="Book Antiqua" w:hAnsi="Book Antiqua"/>
          <w:color w:val="222222"/>
          <w:lang w:val="es-PR"/>
        </w:rPr>
      </w:pPr>
    </w:p>
    <w:p w14:paraId="7B406AF7" w14:textId="7051D640" w:rsidR="00DF377C" w:rsidRDefault="006B5EA6"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 xml:space="preserve">Una situación similar se enfrenta </w:t>
      </w:r>
      <w:r w:rsidR="004338C0" w:rsidRPr="00F02D29">
        <w:rPr>
          <w:rFonts w:ascii="Book Antiqua" w:hAnsi="Book Antiqua"/>
          <w:color w:val="222222"/>
          <w:lang w:val="es-PR"/>
        </w:rPr>
        <w:t>con</w:t>
      </w:r>
      <w:r w:rsidRPr="00F02D29">
        <w:rPr>
          <w:rFonts w:ascii="Book Antiqua" w:hAnsi="Book Antiqua"/>
          <w:color w:val="222222"/>
          <w:lang w:val="es-PR"/>
        </w:rPr>
        <w:t xml:space="preserve"> la conducta tipificada como delito en el Artículo </w:t>
      </w:r>
      <w:r w:rsidR="004338C0" w:rsidRPr="00F02D29">
        <w:rPr>
          <w:rFonts w:ascii="Book Antiqua" w:hAnsi="Book Antiqua"/>
          <w:color w:val="222222"/>
          <w:lang w:val="es-PR"/>
        </w:rPr>
        <w:t xml:space="preserve">133 del Código Penal de Puerto Rico. Dicho artículo, proscribe </w:t>
      </w:r>
      <w:r w:rsidR="00705E6E" w:rsidRPr="00F02D29">
        <w:rPr>
          <w:rFonts w:ascii="Book Antiqua" w:hAnsi="Book Antiqua"/>
          <w:color w:val="222222"/>
          <w:lang w:val="es-PR"/>
        </w:rPr>
        <w:t xml:space="preserve">el delito de actos lascivos, </w:t>
      </w:r>
      <w:r w:rsidR="002A0739" w:rsidRPr="00F02D29">
        <w:rPr>
          <w:rFonts w:ascii="Book Antiqua" w:hAnsi="Book Antiqua"/>
          <w:color w:val="222222"/>
          <w:lang w:val="es-PR"/>
        </w:rPr>
        <w:t>aplicando a toda persona que, a propósito, con conocimiento o temerariamente, sin intentar consumar el delito de agresión sexual descrito en el Artículo 130, someta a otra persona a un acto que tienda a despertar, excitar o satisfacer la pasión o deseos sexuales del imputado.</w:t>
      </w:r>
    </w:p>
    <w:p w14:paraId="130153C0"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117CD793" w14:textId="1F51C765" w:rsidR="00FD2868" w:rsidRDefault="002A0739"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La presente Ley</w:t>
      </w:r>
      <w:r w:rsidR="00FD2868" w:rsidRPr="00F02D29">
        <w:rPr>
          <w:rFonts w:ascii="Book Antiqua" w:hAnsi="Book Antiqua"/>
          <w:color w:val="222222"/>
          <w:lang w:val="es-PR"/>
        </w:rPr>
        <w:t xml:space="preserve"> complementa la política pública contenida en la Ley </w:t>
      </w:r>
      <w:r w:rsidR="00E25EB3" w:rsidRPr="00F02D29">
        <w:rPr>
          <w:rFonts w:ascii="Book Antiqua" w:hAnsi="Book Antiqua"/>
          <w:color w:val="222222"/>
          <w:lang w:val="es-PR"/>
        </w:rPr>
        <w:t>57-2023</w:t>
      </w:r>
      <w:r w:rsidR="00FD2868" w:rsidRPr="00F02D29">
        <w:rPr>
          <w:rFonts w:ascii="Book Antiqua" w:hAnsi="Book Antiqua"/>
          <w:color w:val="222222"/>
          <w:lang w:val="es-PR"/>
        </w:rPr>
        <w:t xml:space="preserve">, </w:t>
      </w:r>
      <w:r w:rsidR="00F845F5" w:rsidRPr="00F02D29">
        <w:rPr>
          <w:rFonts w:ascii="Book Antiqua" w:hAnsi="Book Antiqua"/>
          <w:i/>
          <w:iCs/>
          <w:color w:val="222222"/>
          <w:lang w:val="es-PR"/>
        </w:rPr>
        <w:t xml:space="preserve">supra, </w:t>
      </w:r>
      <w:r w:rsidR="00FD2868" w:rsidRPr="00F02D29">
        <w:rPr>
          <w:rFonts w:ascii="Book Antiqua" w:hAnsi="Book Antiqua"/>
          <w:color w:val="222222"/>
          <w:lang w:val="es-PR"/>
        </w:rPr>
        <w:t>fortalece los protocolos de intervención interagencial y armoniza el Código Penal con la realidad social de</w:t>
      </w:r>
      <w:r w:rsidR="00F845F5" w:rsidRPr="00F02D29">
        <w:rPr>
          <w:rFonts w:ascii="Book Antiqua" w:hAnsi="Book Antiqua"/>
          <w:color w:val="222222"/>
          <w:lang w:val="es-PR"/>
        </w:rPr>
        <w:t xml:space="preserve"> nuestra Isla</w:t>
      </w:r>
      <w:r w:rsidR="00FD2868" w:rsidRPr="00F02D29">
        <w:rPr>
          <w:rFonts w:ascii="Book Antiqua" w:hAnsi="Book Antiqua"/>
          <w:color w:val="222222"/>
          <w:lang w:val="es-PR"/>
        </w:rPr>
        <w:t>. A través de esta legislación, el Estado manifiesta que la agresión sexual</w:t>
      </w:r>
      <w:r w:rsidR="00B8089C" w:rsidRPr="00F02D29">
        <w:rPr>
          <w:rFonts w:ascii="Book Antiqua" w:hAnsi="Book Antiqua"/>
          <w:color w:val="222222"/>
          <w:lang w:val="es-PR"/>
        </w:rPr>
        <w:t xml:space="preserve"> y los actos lascivos</w:t>
      </w:r>
      <w:r w:rsidR="00FD2868" w:rsidRPr="00F02D29">
        <w:rPr>
          <w:rFonts w:ascii="Book Antiqua" w:hAnsi="Book Antiqua"/>
          <w:color w:val="222222"/>
          <w:lang w:val="es-PR"/>
        </w:rPr>
        <w:t xml:space="preserve"> contra menores</w:t>
      </w:r>
      <w:r w:rsidR="00946367" w:rsidRPr="00F02D29">
        <w:rPr>
          <w:rFonts w:ascii="Book Antiqua" w:hAnsi="Book Antiqua"/>
          <w:color w:val="222222"/>
          <w:lang w:val="es-PR"/>
        </w:rPr>
        <w:t xml:space="preserve">, </w:t>
      </w:r>
      <w:r w:rsidR="00FD2868" w:rsidRPr="00F02D29">
        <w:rPr>
          <w:rFonts w:ascii="Book Antiqua" w:hAnsi="Book Antiqua"/>
          <w:color w:val="222222"/>
          <w:lang w:val="es-PR"/>
        </w:rPr>
        <w:t>particularmente contra aquellos que no pueden hablar, describir, señalar o revelar lo ocurrido</w:t>
      </w:r>
      <w:r w:rsidR="00946367" w:rsidRPr="00F02D29">
        <w:rPr>
          <w:rFonts w:ascii="Book Antiqua" w:hAnsi="Book Antiqua"/>
          <w:color w:val="222222"/>
          <w:lang w:val="es-PR"/>
        </w:rPr>
        <w:t>,</w:t>
      </w:r>
      <w:r w:rsidR="00FD2868" w:rsidRPr="00F02D29">
        <w:rPr>
          <w:rFonts w:ascii="Book Antiqua" w:hAnsi="Book Antiqua"/>
          <w:color w:val="222222"/>
          <w:lang w:val="es-PR"/>
        </w:rPr>
        <w:t xml:space="preserve"> constituye una afrenta intolerable a la dignidad humana y exige la sanción penal más severa permitida dentro de los límites constitucionales.</w:t>
      </w:r>
    </w:p>
    <w:p w14:paraId="760B901E"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3F528F2E" w14:textId="77777777" w:rsidR="00457AAB" w:rsidRDefault="00FD2868" w:rsidP="00F02D29">
      <w:pPr>
        <w:pStyle w:val="NormalWeb"/>
        <w:spacing w:before="0" w:beforeAutospacing="0" w:after="0" w:afterAutospacing="0"/>
        <w:ind w:firstLine="720"/>
        <w:jc w:val="both"/>
        <w:rPr>
          <w:rFonts w:ascii="Book Antiqua" w:hAnsi="Book Antiqua"/>
          <w:color w:val="222222"/>
          <w:lang w:val="es-PR"/>
        </w:rPr>
      </w:pPr>
      <w:r w:rsidRPr="00F02D29">
        <w:rPr>
          <w:rFonts w:ascii="Book Antiqua" w:hAnsi="Book Antiqua"/>
          <w:color w:val="222222"/>
          <w:lang w:val="es-PR"/>
        </w:rPr>
        <w:t xml:space="preserve">Por </w:t>
      </w:r>
      <w:r w:rsidR="00946367" w:rsidRPr="00F02D29">
        <w:rPr>
          <w:rFonts w:ascii="Book Antiqua" w:hAnsi="Book Antiqua"/>
          <w:color w:val="222222"/>
          <w:lang w:val="es-PR"/>
        </w:rPr>
        <w:t>las</w:t>
      </w:r>
      <w:r w:rsidRPr="00F02D29">
        <w:rPr>
          <w:rFonts w:ascii="Book Antiqua" w:hAnsi="Book Antiqua"/>
          <w:color w:val="222222"/>
          <w:lang w:val="es-PR"/>
        </w:rPr>
        <w:t xml:space="preserve"> razones</w:t>
      </w:r>
      <w:r w:rsidR="00946367" w:rsidRPr="00F02D29">
        <w:rPr>
          <w:rFonts w:ascii="Book Antiqua" w:hAnsi="Book Antiqua"/>
          <w:color w:val="222222"/>
          <w:lang w:val="es-PR"/>
        </w:rPr>
        <w:t xml:space="preserve"> antes expuestas</w:t>
      </w:r>
      <w:r w:rsidRPr="00F02D29">
        <w:rPr>
          <w:rFonts w:ascii="Book Antiqua" w:hAnsi="Book Antiqua"/>
          <w:color w:val="222222"/>
          <w:lang w:val="es-PR"/>
        </w:rPr>
        <w:t xml:space="preserve">, la Asamblea Legislativa entiende indispensable aprobar </w:t>
      </w:r>
      <w:r w:rsidR="00652D9D" w:rsidRPr="00F02D29">
        <w:rPr>
          <w:rFonts w:ascii="Book Antiqua" w:hAnsi="Book Antiqua"/>
          <w:color w:val="222222"/>
          <w:lang w:val="es-PR"/>
        </w:rPr>
        <w:t>esta Ley</w:t>
      </w:r>
      <w:r w:rsidRPr="00F02D29">
        <w:rPr>
          <w:rFonts w:ascii="Book Antiqua" w:hAnsi="Book Antiqua"/>
          <w:color w:val="222222"/>
          <w:lang w:val="es-PR"/>
        </w:rPr>
        <w:t xml:space="preserve"> para garantizar una protección adecuada, moderna y contundente para los menores más vulnerables </w:t>
      </w:r>
      <w:r w:rsidR="00652D9D" w:rsidRPr="00F02D29">
        <w:rPr>
          <w:rFonts w:ascii="Book Antiqua" w:hAnsi="Book Antiqua"/>
          <w:color w:val="222222"/>
          <w:lang w:val="es-PR"/>
        </w:rPr>
        <w:t>de Puerto Rico</w:t>
      </w:r>
      <w:r w:rsidRPr="00F02D29">
        <w:rPr>
          <w:rFonts w:ascii="Book Antiqua" w:hAnsi="Book Antiqua"/>
          <w:color w:val="222222"/>
          <w:lang w:val="es-PR"/>
        </w:rPr>
        <w:t>.</w:t>
      </w:r>
    </w:p>
    <w:p w14:paraId="2EE6CA02" w14:textId="77777777" w:rsidR="00F02D29" w:rsidRPr="00F02D29" w:rsidRDefault="00F02D29" w:rsidP="00F02D29">
      <w:pPr>
        <w:pStyle w:val="NormalWeb"/>
        <w:spacing w:before="0" w:beforeAutospacing="0" w:after="0" w:afterAutospacing="0"/>
        <w:ind w:firstLine="720"/>
        <w:jc w:val="both"/>
        <w:rPr>
          <w:rFonts w:ascii="Book Antiqua" w:hAnsi="Book Antiqua"/>
          <w:color w:val="222222"/>
          <w:lang w:val="es-PR"/>
        </w:rPr>
      </w:pPr>
    </w:p>
    <w:p w14:paraId="4C90EF1E" w14:textId="77777777" w:rsidR="00F02D29" w:rsidRDefault="00F02D29" w:rsidP="00F02D29">
      <w:pPr>
        <w:pStyle w:val="NormalWeb"/>
        <w:spacing w:before="0" w:beforeAutospacing="0" w:after="0" w:afterAutospacing="0" w:line="480" w:lineRule="auto"/>
        <w:jc w:val="both"/>
        <w:rPr>
          <w:rFonts w:ascii="Book Antiqua" w:hAnsi="Book Antiqua"/>
          <w:i/>
          <w:lang w:val="es-ES_tradnl"/>
        </w:rPr>
      </w:pPr>
    </w:p>
    <w:p w14:paraId="2EE5CF34" w14:textId="77777777" w:rsidR="00F02D29" w:rsidRDefault="00F02D29" w:rsidP="00F02D29">
      <w:pPr>
        <w:pStyle w:val="NormalWeb"/>
        <w:spacing w:before="0" w:beforeAutospacing="0" w:after="0" w:afterAutospacing="0" w:line="480" w:lineRule="auto"/>
        <w:jc w:val="both"/>
        <w:rPr>
          <w:rFonts w:ascii="Book Antiqua" w:hAnsi="Book Antiqua"/>
          <w:i/>
          <w:lang w:val="es-ES_tradnl"/>
        </w:rPr>
      </w:pPr>
    </w:p>
    <w:p w14:paraId="2E2ECD7D" w14:textId="5314E68C" w:rsidR="00BF7072" w:rsidRPr="00F02D29" w:rsidRDefault="00BF7072" w:rsidP="00F02D29">
      <w:pPr>
        <w:pStyle w:val="NormalWeb"/>
        <w:spacing w:before="0" w:beforeAutospacing="0" w:after="0" w:afterAutospacing="0" w:line="480" w:lineRule="auto"/>
        <w:jc w:val="both"/>
        <w:rPr>
          <w:rFonts w:ascii="Book Antiqua" w:hAnsi="Book Antiqua"/>
          <w:lang w:val="es-ES_tradnl"/>
        </w:rPr>
      </w:pPr>
      <w:r w:rsidRPr="00F02D29">
        <w:rPr>
          <w:rFonts w:ascii="Book Antiqua" w:hAnsi="Book Antiqua"/>
          <w:i/>
          <w:lang w:val="es-ES_tradnl"/>
        </w:rPr>
        <w:lastRenderedPageBreak/>
        <w:t>DECRÉTASE POR LA ASAMBLEA LEGISLATIVA DE PUERTO RICO:</w:t>
      </w:r>
    </w:p>
    <w:p w14:paraId="4134612C" w14:textId="77777777" w:rsidR="00A07D20" w:rsidRPr="00F02D29" w:rsidRDefault="00A07D20" w:rsidP="00F02D29">
      <w:pPr>
        <w:spacing w:line="480" w:lineRule="auto"/>
        <w:jc w:val="both"/>
        <w:rPr>
          <w:rFonts w:ascii="Book Antiqua" w:hAnsi="Book Antiqua"/>
          <w:lang w:val="es-ES_tradnl"/>
        </w:rPr>
        <w:sectPr w:rsidR="00A07D20" w:rsidRPr="00F02D29" w:rsidSect="00A07D20">
          <w:headerReference w:type="default" r:id="rId10"/>
          <w:type w:val="continuous"/>
          <w:pgSz w:w="12240" w:h="15840" w:code="1"/>
          <w:pgMar w:top="1440" w:right="1440" w:bottom="1440" w:left="1440" w:header="720" w:footer="720" w:gutter="0"/>
          <w:cols w:space="720"/>
          <w:titlePg/>
        </w:sectPr>
      </w:pPr>
    </w:p>
    <w:p w14:paraId="21BE2D3C" w14:textId="66DD8E07" w:rsidR="001E18C9" w:rsidRPr="00F02D29" w:rsidRDefault="00D06317" w:rsidP="00F02D29">
      <w:pPr>
        <w:spacing w:line="480" w:lineRule="auto"/>
        <w:ind w:firstLine="567"/>
        <w:jc w:val="both"/>
        <w:rPr>
          <w:rFonts w:ascii="Book Antiqua" w:eastAsia="SimSun" w:hAnsi="Book Antiqua"/>
          <w:iCs/>
          <w:szCs w:val="24"/>
          <w:lang w:val="es-ES_tradnl" w:eastAsia="x-none"/>
        </w:rPr>
      </w:pPr>
      <w:r w:rsidRPr="00F02D29">
        <w:rPr>
          <w:rFonts w:ascii="Book Antiqua" w:hAnsi="Book Antiqua"/>
          <w:lang w:val="es-ES_tradnl"/>
        </w:rPr>
        <w:t>Artículo 1.-</w:t>
      </w:r>
      <w:r w:rsidR="001E18C9" w:rsidRPr="00F02D29">
        <w:rPr>
          <w:rFonts w:ascii="Book Antiqua" w:eastAsia="SimSun" w:hAnsi="Book Antiqua"/>
          <w:iCs/>
          <w:szCs w:val="24"/>
          <w:lang w:val="es-ES_tradnl" w:eastAsia="x-none"/>
        </w:rPr>
        <w:t xml:space="preserve"> Se añade un nuevo Artículo 130A a la Ley 146-2012, según enmendada, conocida como "Código Penal de Puerto Rico”, para que lea como sigue:     </w:t>
      </w:r>
    </w:p>
    <w:p w14:paraId="589C802C" w14:textId="63B72C3F" w:rsidR="00302CD7" w:rsidRPr="00F02D29" w:rsidRDefault="00302CD7" w:rsidP="00F02D29">
      <w:pPr>
        <w:spacing w:line="480" w:lineRule="auto"/>
        <w:ind w:firstLine="567"/>
        <w:jc w:val="both"/>
        <w:rPr>
          <w:rFonts w:ascii="Book Antiqua" w:eastAsia="SimSun" w:hAnsi="Book Antiqua"/>
          <w:iCs/>
          <w:szCs w:val="24"/>
          <w:lang w:val="es-ES_tradnl" w:eastAsia="x-none"/>
        </w:rPr>
      </w:pPr>
      <w:r w:rsidRPr="00F02D29">
        <w:rPr>
          <w:rFonts w:ascii="Book Antiqua" w:eastAsia="SimSun" w:hAnsi="Book Antiqua"/>
          <w:iCs/>
          <w:szCs w:val="24"/>
          <w:lang w:val="es-ES_tradnl" w:eastAsia="x-none"/>
        </w:rPr>
        <w:t>“Artículo 130A.-</w:t>
      </w:r>
      <w:r w:rsidR="00AF7B3F" w:rsidRPr="00F02D29">
        <w:rPr>
          <w:rFonts w:ascii="Book Antiqua" w:eastAsia="SimSun" w:hAnsi="Book Antiqua"/>
          <w:iCs/>
          <w:szCs w:val="24"/>
          <w:lang w:val="es-ES_tradnl" w:eastAsia="x-none"/>
        </w:rPr>
        <w:t xml:space="preserve"> Agresión sexual agravada.</w:t>
      </w:r>
    </w:p>
    <w:p w14:paraId="7F4E1508" w14:textId="685B3377" w:rsidR="00AF7B3F" w:rsidRPr="00F02D29" w:rsidRDefault="00F545AD" w:rsidP="00F02D29">
      <w:pPr>
        <w:spacing w:line="480" w:lineRule="auto"/>
        <w:ind w:firstLine="567"/>
        <w:jc w:val="both"/>
        <w:rPr>
          <w:rFonts w:ascii="Book Antiqua" w:eastAsia="SimSun" w:hAnsi="Book Antiqua"/>
          <w:iCs/>
          <w:szCs w:val="24"/>
          <w:lang w:val="es-PR" w:eastAsia="x-none"/>
        </w:rPr>
      </w:pPr>
      <w:r w:rsidRPr="00F02D29">
        <w:rPr>
          <w:rFonts w:ascii="Book Antiqua" w:eastAsia="SimSun" w:hAnsi="Book Antiqua"/>
          <w:iCs/>
          <w:szCs w:val="24"/>
          <w:lang w:val="es-PR" w:eastAsia="x-none"/>
        </w:rPr>
        <w:t>Será sancionada con pena de reclusión por un término fijo de setenta y cinco (75) años, que deberá cumplir en años naturales, más la pena de restitución, salvo que la víctima renuncie a ello, toda persona que, a propósito, con conocimiento o temerariamente lleve a cabo, o que provoque que otra persona lleve a cabo, un acto orogenital o una penetración sexual vaginal o anal ya sea ésta genital, digital, o instrumental, en cualquiera de las circunstancias que se exponen a continuación:</w:t>
      </w:r>
    </w:p>
    <w:p w14:paraId="2B8373E3" w14:textId="329A2744" w:rsidR="00302CD7" w:rsidRPr="00F02D29" w:rsidRDefault="00F545AD" w:rsidP="00F02D29">
      <w:pPr>
        <w:pStyle w:val="ListParagraph"/>
        <w:numPr>
          <w:ilvl w:val="0"/>
          <w:numId w:val="8"/>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ES_tradnl" w:eastAsia="x-none"/>
        </w:rPr>
        <w:t xml:space="preserve">Si la víctima al momento del hecho no ha cumplido los doce (12) </w:t>
      </w:r>
      <w:proofErr w:type="gramStart"/>
      <w:r w:rsidRPr="00F02D29">
        <w:rPr>
          <w:rFonts w:ascii="Book Antiqua" w:eastAsia="SimSun" w:hAnsi="Book Antiqua"/>
          <w:iCs/>
          <w:szCs w:val="24"/>
          <w:lang w:val="es-ES_tradnl" w:eastAsia="x-none"/>
        </w:rPr>
        <w:t>a</w:t>
      </w:r>
      <w:r w:rsidR="00622FF2" w:rsidRPr="00F02D29">
        <w:rPr>
          <w:rFonts w:ascii="Book Antiqua" w:eastAsia="SimSun" w:hAnsi="Book Antiqua"/>
          <w:iCs/>
          <w:szCs w:val="24"/>
          <w:lang w:val="es-ES_tradnl" w:eastAsia="x-none"/>
        </w:rPr>
        <w:t>ños de edad</w:t>
      </w:r>
      <w:proofErr w:type="gramEnd"/>
      <w:r w:rsidR="00622FF2" w:rsidRPr="00F02D29">
        <w:rPr>
          <w:rFonts w:ascii="Book Antiqua" w:eastAsia="SimSun" w:hAnsi="Book Antiqua"/>
          <w:iCs/>
          <w:szCs w:val="24"/>
          <w:lang w:val="es-ES_tradnl" w:eastAsia="x-none"/>
        </w:rPr>
        <w:t>.</w:t>
      </w:r>
    </w:p>
    <w:p w14:paraId="1E294E10" w14:textId="77777777" w:rsidR="00730CB4" w:rsidRPr="00F02D29" w:rsidRDefault="00622FF2" w:rsidP="00F02D29">
      <w:pPr>
        <w:pStyle w:val="ListParagraph"/>
        <w:numPr>
          <w:ilvl w:val="0"/>
          <w:numId w:val="8"/>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ES_tradnl" w:eastAsia="x-none"/>
        </w:rPr>
        <w:t xml:space="preserve">Si la víctima </w:t>
      </w:r>
      <w:r w:rsidR="00730CB4" w:rsidRPr="00F02D29">
        <w:rPr>
          <w:rFonts w:ascii="Book Antiqua" w:eastAsia="SimSun" w:hAnsi="Book Antiqua"/>
          <w:iCs/>
          <w:szCs w:val="24"/>
          <w:lang w:val="es-ES_tradnl" w:eastAsia="x-none"/>
        </w:rPr>
        <w:t>posee</w:t>
      </w:r>
      <w:r w:rsidR="00730CB4" w:rsidRPr="00F02D29">
        <w:rPr>
          <w:rFonts w:ascii="Book Antiqua" w:hAnsi="Book Antiqua"/>
          <w:iCs/>
          <w:color w:val="222222"/>
          <w:lang w:val="es-PR"/>
        </w:rPr>
        <w:t xml:space="preserve"> incapacidades de comunicación; ya sea por condiciones del neurodesarrollo, discapacidades intelectuales, trastornos del lenguaje, autismo severo, déficits cognitivos o por una etapa muy temprana de desarrollo, son desproporcionadamente vulnerables a la agresión sexual. </w:t>
      </w:r>
    </w:p>
    <w:p w14:paraId="795C661C" w14:textId="41C3234C" w:rsidR="00302CD7" w:rsidRPr="00F02D29" w:rsidRDefault="00730CB4" w:rsidP="00F02D29">
      <w:pPr>
        <w:pStyle w:val="ListParagraph"/>
        <w:numPr>
          <w:ilvl w:val="0"/>
          <w:numId w:val="8"/>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ES_tradnl" w:eastAsia="x-none"/>
        </w:rPr>
        <w:t>Si la víctima tiene l</w:t>
      </w:r>
      <w:r w:rsidRPr="00F02D29">
        <w:rPr>
          <w:rFonts w:ascii="Book Antiqua" w:hAnsi="Book Antiqua"/>
          <w:iCs/>
          <w:color w:val="222222"/>
          <w:lang w:val="es-PR"/>
        </w:rPr>
        <w:t>imitada capacidad de expresar verbalmente lo ocurrido, describir al agresor o identificar el evento en sí, aumenta significativamente el riesgo de victimización y dificulta la detección inmediata por parte de familiares, cuidadores y autoridades.</w:t>
      </w:r>
    </w:p>
    <w:p w14:paraId="5D4289C1" w14:textId="25943098" w:rsidR="00A66820" w:rsidRPr="00F02D29" w:rsidRDefault="00A66820" w:rsidP="00F02D29">
      <w:pPr>
        <w:pStyle w:val="ListParagraph"/>
        <w:numPr>
          <w:ilvl w:val="0"/>
          <w:numId w:val="8"/>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PR" w:eastAsia="x-none"/>
        </w:rPr>
        <w:t xml:space="preserve">Si la víctima se le ha anulado o disminuido sustancialmente, sin su conocimiento o sin su consentimiento, su capacidad de consentir a través de medios </w:t>
      </w:r>
      <w:r w:rsidRPr="00F02D29">
        <w:rPr>
          <w:rFonts w:ascii="Book Antiqua" w:eastAsia="SimSun" w:hAnsi="Book Antiqua"/>
          <w:iCs/>
          <w:szCs w:val="24"/>
          <w:lang w:val="es-PR" w:eastAsia="x-none"/>
        </w:rPr>
        <w:lastRenderedPageBreak/>
        <w:t>hipnóticos, narcóticos, deprimentes o estimulantes o de sustancias o medios similares.</w:t>
      </w:r>
    </w:p>
    <w:p w14:paraId="32552991" w14:textId="0FC5E9FE" w:rsidR="004F6419" w:rsidRPr="00F02D29" w:rsidRDefault="004F6419" w:rsidP="00F02D29">
      <w:pPr>
        <w:pStyle w:val="ListParagraph"/>
        <w:numPr>
          <w:ilvl w:val="0"/>
          <w:numId w:val="8"/>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PR" w:eastAsia="x-none"/>
        </w:rPr>
        <w:t>Si a la víctima se le obliga o induce mediante maltrato, violencia física o psicológica a participar o involucrarse en una relación sexual no deseada con terceras personas.</w:t>
      </w:r>
    </w:p>
    <w:p w14:paraId="2899DF37" w14:textId="3E1FA195" w:rsidR="007B51E5" w:rsidRPr="00F02D29" w:rsidRDefault="007B51E5" w:rsidP="00F02D29">
      <w:pPr>
        <w:spacing w:line="480" w:lineRule="auto"/>
        <w:ind w:firstLine="567"/>
        <w:jc w:val="both"/>
        <w:rPr>
          <w:rFonts w:ascii="Book Antiqua" w:eastAsia="SimSun" w:hAnsi="Book Antiqua"/>
          <w:szCs w:val="24"/>
          <w:lang w:val="es-PR" w:eastAsia="x-none"/>
        </w:rPr>
      </w:pPr>
      <w:r w:rsidRPr="00F02D29">
        <w:rPr>
          <w:rFonts w:ascii="Book Antiqua" w:eastAsia="SimSun" w:hAnsi="Book Antiqua"/>
          <w:szCs w:val="24"/>
          <w:lang w:val="es-PR" w:eastAsia="x-none"/>
        </w:rPr>
        <w:t>La persona convicta por la conducta tipificada en este Artículo cuando la víctima sea menor de doce (12) años, deberá cumplir además con una pena de libertad supervisada mandatoria en años naturales por un término de diez (10) años adicionales, contados a partir de la fecha en que el convicto cumpla con la pena original de setenta y cinco (75) años dispuesta para este delito o la pena que corresponda cuando proceda la adjudicación de atenuantes o agravantes.</w:t>
      </w:r>
    </w:p>
    <w:p w14:paraId="4598EF3B" w14:textId="6A5AF4CE" w:rsidR="00581AE3" w:rsidRPr="00F02D29" w:rsidRDefault="00581AE3" w:rsidP="00F02D29">
      <w:pPr>
        <w:spacing w:line="480" w:lineRule="auto"/>
        <w:ind w:firstLine="567"/>
        <w:jc w:val="both"/>
        <w:rPr>
          <w:rFonts w:ascii="Book Antiqua" w:eastAsia="SimSun" w:hAnsi="Book Antiqua"/>
          <w:szCs w:val="24"/>
          <w:lang w:val="es-PR" w:eastAsia="x-none"/>
        </w:rPr>
      </w:pPr>
      <w:r w:rsidRPr="00F02D29">
        <w:rPr>
          <w:rFonts w:ascii="Book Antiqua" w:eastAsia="SimSun" w:hAnsi="Book Antiqua"/>
          <w:szCs w:val="24"/>
          <w:lang w:val="es-PR" w:eastAsia="x-none"/>
        </w:rPr>
        <w:t xml:space="preserve">En el caso de que la persona sea convicta por tentativa de violación de este Artículo cuando la víctima sea menor de doce (12) años, la persona convicta deberá cumplir además con una pena de libertad supervisada mandatoria en años naturales de </w:t>
      </w:r>
      <w:r w:rsidR="004C004D" w:rsidRPr="00F02D29">
        <w:rPr>
          <w:rFonts w:ascii="Book Antiqua" w:eastAsia="SimSun" w:hAnsi="Book Antiqua"/>
          <w:szCs w:val="24"/>
          <w:lang w:val="es-PR" w:eastAsia="x-none"/>
        </w:rPr>
        <w:t>ci</w:t>
      </w:r>
      <w:r w:rsidR="00085DB7" w:rsidRPr="00F02D29">
        <w:rPr>
          <w:rFonts w:ascii="Book Antiqua" w:eastAsia="SimSun" w:hAnsi="Book Antiqua"/>
          <w:szCs w:val="24"/>
          <w:lang w:val="es-PR" w:eastAsia="x-none"/>
        </w:rPr>
        <w:t>nco</w:t>
      </w:r>
      <w:r w:rsidRPr="00F02D29">
        <w:rPr>
          <w:rFonts w:ascii="Book Antiqua" w:eastAsia="SimSun" w:hAnsi="Book Antiqua"/>
          <w:szCs w:val="24"/>
          <w:lang w:val="es-PR" w:eastAsia="x-none"/>
        </w:rPr>
        <w:t xml:space="preserve"> (</w:t>
      </w:r>
      <w:r w:rsidR="00085DB7" w:rsidRPr="00F02D29">
        <w:rPr>
          <w:rFonts w:ascii="Book Antiqua" w:eastAsia="SimSun" w:hAnsi="Book Antiqua"/>
          <w:szCs w:val="24"/>
          <w:lang w:val="es-PR" w:eastAsia="x-none"/>
        </w:rPr>
        <w:t>5</w:t>
      </w:r>
      <w:r w:rsidRPr="00F02D29">
        <w:rPr>
          <w:rFonts w:ascii="Book Antiqua" w:eastAsia="SimSun" w:hAnsi="Book Antiqua"/>
          <w:szCs w:val="24"/>
          <w:lang w:val="es-PR" w:eastAsia="x-none"/>
        </w:rPr>
        <w:t>) años adicionales, contados a partir de la fecha en que el convicto cumpla con la pena dispuesta para este delito o la pena que corresponda cuando proceda la adjudicación de atenuantes o agravantes.</w:t>
      </w:r>
      <w:r w:rsidR="00D12D67" w:rsidRPr="00F02D29">
        <w:rPr>
          <w:rFonts w:ascii="Book Antiqua" w:eastAsia="SimSun" w:hAnsi="Book Antiqua"/>
          <w:szCs w:val="24"/>
          <w:lang w:val="es-PR" w:eastAsia="x-none"/>
        </w:rPr>
        <w:t>”</w:t>
      </w:r>
    </w:p>
    <w:p w14:paraId="425F2956" w14:textId="478A2BC7" w:rsidR="008B3E05" w:rsidRPr="00F02D29" w:rsidRDefault="00C454E8" w:rsidP="00F02D29">
      <w:pPr>
        <w:spacing w:line="480" w:lineRule="auto"/>
        <w:ind w:firstLine="567"/>
        <w:jc w:val="both"/>
        <w:rPr>
          <w:rFonts w:ascii="Book Antiqua" w:hAnsi="Book Antiqua"/>
          <w:iCs/>
          <w:szCs w:val="24"/>
          <w:lang w:val="es-ES_tradnl"/>
        </w:rPr>
      </w:pPr>
      <w:r w:rsidRPr="00F02D29">
        <w:rPr>
          <w:rFonts w:ascii="Book Antiqua" w:eastAsia="SimSun" w:hAnsi="Book Antiqua"/>
          <w:szCs w:val="24"/>
          <w:lang w:val="es-ES_tradnl" w:eastAsia="x-none"/>
        </w:rPr>
        <w:t>Artículo 2.-</w:t>
      </w:r>
      <w:r w:rsidR="001066D8" w:rsidRPr="00F02D29">
        <w:rPr>
          <w:rFonts w:ascii="Book Antiqua" w:hAnsi="Book Antiqua"/>
          <w:szCs w:val="24"/>
          <w:lang w:val="es-ES_tradnl"/>
        </w:rPr>
        <w:t xml:space="preserve"> </w:t>
      </w:r>
      <w:r w:rsidR="008B3E05" w:rsidRPr="00F02D29">
        <w:rPr>
          <w:rFonts w:ascii="Book Antiqua" w:hAnsi="Book Antiqua"/>
          <w:iCs/>
          <w:szCs w:val="24"/>
          <w:lang w:val="es-ES_tradnl"/>
        </w:rPr>
        <w:t xml:space="preserve">Se añade un nuevo Artículo 133A a la Ley 146-2012, según enmendada, conocida como "Código Penal de Puerto Rico”, para que lea como sigue:     </w:t>
      </w:r>
    </w:p>
    <w:p w14:paraId="57C1AC32" w14:textId="6707FCAE" w:rsidR="008B3E05" w:rsidRPr="00F02D29" w:rsidRDefault="008B3E05" w:rsidP="00F02D29">
      <w:pPr>
        <w:spacing w:line="480" w:lineRule="auto"/>
        <w:ind w:firstLine="567"/>
        <w:jc w:val="both"/>
        <w:rPr>
          <w:rFonts w:ascii="Book Antiqua" w:hAnsi="Book Antiqua"/>
          <w:iCs/>
          <w:szCs w:val="24"/>
          <w:lang w:val="es-ES_tradnl"/>
        </w:rPr>
      </w:pPr>
      <w:r w:rsidRPr="00F02D29">
        <w:rPr>
          <w:rFonts w:ascii="Book Antiqua" w:hAnsi="Book Antiqua"/>
          <w:iCs/>
          <w:szCs w:val="24"/>
          <w:lang w:val="es-ES_tradnl"/>
        </w:rPr>
        <w:t>“Artículo 13</w:t>
      </w:r>
      <w:r w:rsidR="00A32A17" w:rsidRPr="00F02D29">
        <w:rPr>
          <w:rFonts w:ascii="Book Antiqua" w:hAnsi="Book Antiqua"/>
          <w:iCs/>
          <w:szCs w:val="24"/>
          <w:lang w:val="es-ES_tradnl"/>
        </w:rPr>
        <w:t>3</w:t>
      </w:r>
      <w:r w:rsidRPr="00F02D29">
        <w:rPr>
          <w:rFonts w:ascii="Book Antiqua" w:hAnsi="Book Antiqua"/>
          <w:iCs/>
          <w:szCs w:val="24"/>
          <w:lang w:val="es-ES_tradnl"/>
        </w:rPr>
        <w:t xml:space="preserve">A.- </w:t>
      </w:r>
      <w:r w:rsidR="00A32A17" w:rsidRPr="00F02D29">
        <w:rPr>
          <w:rFonts w:ascii="Book Antiqua" w:hAnsi="Book Antiqua"/>
          <w:iCs/>
          <w:szCs w:val="24"/>
          <w:lang w:val="es-ES_tradnl"/>
        </w:rPr>
        <w:t>Actos Lascivos agravados</w:t>
      </w:r>
      <w:r w:rsidRPr="00F02D29">
        <w:rPr>
          <w:rFonts w:ascii="Book Antiqua" w:hAnsi="Book Antiqua"/>
          <w:iCs/>
          <w:szCs w:val="24"/>
          <w:lang w:val="es-ES_tradnl"/>
        </w:rPr>
        <w:t>.</w:t>
      </w:r>
    </w:p>
    <w:p w14:paraId="2C1CDDFB" w14:textId="603D26B3" w:rsidR="008B3E05" w:rsidRPr="00F02D29" w:rsidRDefault="009B40B7" w:rsidP="00F02D29">
      <w:pPr>
        <w:spacing w:line="480" w:lineRule="auto"/>
        <w:ind w:firstLine="567"/>
        <w:jc w:val="both"/>
        <w:rPr>
          <w:rFonts w:ascii="Book Antiqua" w:hAnsi="Book Antiqua"/>
          <w:szCs w:val="24"/>
          <w:lang w:val="es-PR"/>
        </w:rPr>
      </w:pPr>
      <w:r w:rsidRPr="00F02D29">
        <w:rPr>
          <w:rFonts w:ascii="Book Antiqua" w:hAnsi="Book Antiqua"/>
          <w:szCs w:val="24"/>
          <w:lang w:val="es-PR"/>
        </w:rPr>
        <w:t>Toda persona que, a propósito, con conocimiento o temerariamente, sin intentar consumar el delito de actos lascivos descrito en el Artículo 13</w:t>
      </w:r>
      <w:r w:rsidR="004A7E73" w:rsidRPr="00F02D29">
        <w:rPr>
          <w:rFonts w:ascii="Book Antiqua" w:hAnsi="Book Antiqua"/>
          <w:szCs w:val="24"/>
          <w:lang w:val="es-PR"/>
        </w:rPr>
        <w:t>0</w:t>
      </w:r>
      <w:r w:rsidRPr="00F02D29">
        <w:rPr>
          <w:rFonts w:ascii="Book Antiqua" w:hAnsi="Book Antiqua"/>
          <w:szCs w:val="24"/>
          <w:lang w:val="es-PR"/>
        </w:rPr>
        <w:t xml:space="preserve">, someta a otra persona a </w:t>
      </w:r>
      <w:r w:rsidRPr="00F02D29">
        <w:rPr>
          <w:rFonts w:ascii="Book Antiqua" w:hAnsi="Book Antiqua"/>
          <w:szCs w:val="24"/>
          <w:lang w:val="es-PR"/>
        </w:rPr>
        <w:lastRenderedPageBreak/>
        <w:t xml:space="preserve">un acto que tienda a despertar, excitar o satisfacer la pasión o deseos sexuales del imputado, en cualquiera de las circunstancias que se exponen a continuación, será sancionada con pena de reclusión por un término fijo de </w:t>
      </w:r>
      <w:r w:rsidR="00F30AC7" w:rsidRPr="00F02D29">
        <w:rPr>
          <w:rFonts w:ascii="Book Antiqua" w:hAnsi="Book Antiqua"/>
          <w:szCs w:val="24"/>
          <w:lang w:val="es-PR"/>
        </w:rPr>
        <w:t>quince</w:t>
      </w:r>
      <w:r w:rsidRPr="00F02D29">
        <w:rPr>
          <w:rFonts w:ascii="Book Antiqua" w:hAnsi="Book Antiqua"/>
          <w:szCs w:val="24"/>
          <w:lang w:val="es-PR"/>
        </w:rPr>
        <w:t xml:space="preserve"> (</w:t>
      </w:r>
      <w:r w:rsidR="00F30AC7" w:rsidRPr="00F02D29">
        <w:rPr>
          <w:rFonts w:ascii="Book Antiqua" w:hAnsi="Book Antiqua"/>
          <w:szCs w:val="24"/>
          <w:lang w:val="es-PR"/>
        </w:rPr>
        <w:t>15</w:t>
      </w:r>
      <w:r w:rsidRPr="00F02D29">
        <w:rPr>
          <w:rFonts w:ascii="Book Antiqua" w:hAnsi="Book Antiqua"/>
          <w:szCs w:val="24"/>
          <w:lang w:val="es-PR"/>
        </w:rPr>
        <w:t>) años, más la pena de restitución, salvo que la víctima renuncie a ello:</w:t>
      </w:r>
    </w:p>
    <w:p w14:paraId="5E8BAED6" w14:textId="77777777" w:rsidR="00F30AC7" w:rsidRPr="00F02D29" w:rsidRDefault="00F30AC7" w:rsidP="00F02D29">
      <w:pPr>
        <w:pStyle w:val="ListParagraph"/>
        <w:numPr>
          <w:ilvl w:val="0"/>
          <w:numId w:val="9"/>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ES_tradnl" w:eastAsia="x-none"/>
        </w:rPr>
        <w:t xml:space="preserve">Si la víctima al momento del hecho no ha cumplido los doce (12) </w:t>
      </w:r>
      <w:proofErr w:type="gramStart"/>
      <w:r w:rsidRPr="00F02D29">
        <w:rPr>
          <w:rFonts w:ascii="Book Antiqua" w:eastAsia="SimSun" w:hAnsi="Book Antiqua"/>
          <w:iCs/>
          <w:szCs w:val="24"/>
          <w:lang w:val="es-ES_tradnl" w:eastAsia="x-none"/>
        </w:rPr>
        <w:t>años de edad</w:t>
      </w:r>
      <w:proofErr w:type="gramEnd"/>
      <w:r w:rsidRPr="00F02D29">
        <w:rPr>
          <w:rFonts w:ascii="Book Antiqua" w:eastAsia="SimSun" w:hAnsi="Book Antiqua"/>
          <w:iCs/>
          <w:szCs w:val="24"/>
          <w:lang w:val="es-ES_tradnl" w:eastAsia="x-none"/>
        </w:rPr>
        <w:t>.</w:t>
      </w:r>
    </w:p>
    <w:p w14:paraId="2FBF1DE9" w14:textId="77777777" w:rsidR="00F30AC7" w:rsidRPr="00F02D29" w:rsidRDefault="00F30AC7" w:rsidP="00F02D29">
      <w:pPr>
        <w:pStyle w:val="ListParagraph"/>
        <w:numPr>
          <w:ilvl w:val="0"/>
          <w:numId w:val="9"/>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ES_tradnl" w:eastAsia="x-none"/>
        </w:rPr>
        <w:t>Si la víctima posee</w:t>
      </w:r>
      <w:r w:rsidRPr="00F02D29">
        <w:rPr>
          <w:rFonts w:ascii="Book Antiqua" w:hAnsi="Book Antiqua"/>
          <w:iCs/>
          <w:color w:val="222222"/>
          <w:lang w:val="es-PR"/>
        </w:rPr>
        <w:t xml:space="preserve"> incapacidades de comunicación; ya sea por condiciones del neurodesarrollo, discapacidades intelectuales, trastornos del lenguaje, autismo severo, déficits cognitivos o por una etapa muy temprana de desarrollo, son desproporcionadamente vulnerables a la agresión sexual. </w:t>
      </w:r>
    </w:p>
    <w:p w14:paraId="51EB4923" w14:textId="77777777" w:rsidR="00F30AC7" w:rsidRPr="00F02D29" w:rsidRDefault="00F30AC7" w:rsidP="00F02D29">
      <w:pPr>
        <w:pStyle w:val="ListParagraph"/>
        <w:numPr>
          <w:ilvl w:val="0"/>
          <w:numId w:val="9"/>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ES_tradnl" w:eastAsia="x-none"/>
        </w:rPr>
        <w:t>Si la víctima tiene l</w:t>
      </w:r>
      <w:r w:rsidRPr="00F02D29">
        <w:rPr>
          <w:rFonts w:ascii="Book Antiqua" w:hAnsi="Book Antiqua"/>
          <w:iCs/>
          <w:color w:val="222222"/>
          <w:lang w:val="es-PR"/>
        </w:rPr>
        <w:t>imitada capacidad de expresar verbalmente lo ocurrido, describir al agresor o identificar el evento en sí, aumenta significativamente el riesgo de victimización y dificulta la detección inmediata por parte de familiares, cuidadores y autoridades.</w:t>
      </w:r>
    </w:p>
    <w:p w14:paraId="4A61A738" w14:textId="77777777" w:rsidR="00F30AC7" w:rsidRPr="00F02D29" w:rsidRDefault="00F30AC7" w:rsidP="00F02D29">
      <w:pPr>
        <w:pStyle w:val="ListParagraph"/>
        <w:numPr>
          <w:ilvl w:val="0"/>
          <w:numId w:val="9"/>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PR" w:eastAsia="x-none"/>
        </w:rPr>
        <w:t>Si la víctima se le ha anulado o disminuido sustancialmente, sin su conocimiento o sin su consentimiento, su capacidad de consentir a través de medios hipnóticos, narcóticos, deprimentes o estimulantes o de sustancias o medios similares.</w:t>
      </w:r>
    </w:p>
    <w:p w14:paraId="1F58F194" w14:textId="77777777" w:rsidR="00F30AC7" w:rsidRPr="00F02D29" w:rsidRDefault="00F30AC7" w:rsidP="00F02D29">
      <w:pPr>
        <w:pStyle w:val="ListParagraph"/>
        <w:numPr>
          <w:ilvl w:val="0"/>
          <w:numId w:val="9"/>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PR" w:eastAsia="x-none"/>
        </w:rPr>
        <w:t>Si a la víctima se le obliga o induce mediante maltrato, violencia física o psicológica a participar o involucrarse en una relación sexual no deseada con terceras personas.</w:t>
      </w:r>
    </w:p>
    <w:p w14:paraId="6BE6F32D" w14:textId="1C4D3F2C" w:rsidR="00EE50C0" w:rsidRPr="00F02D29" w:rsidRDefault="00EE50C0" w:rsidP="00F02D29">
      <w:pPr>
        <w:pStyle w:val="ListParagraph"/>
        <w:numPr>
          <w:ilvl w:val="0"/>
          <w:numId w:val="9"/>
        </w:numPr>
        <w:spacing w:line="480" w:lineRule="auto"/>
        <w:jc w:val="both"/>
        <w:rPr>
          <w:rFonts w:ascii="Book Antiqua" w:eastAsia="SimSun" w:hAnsi="Book Antiqua"/>
          <w:iCs/>
          <w:szCs w:val="24"/>
          <w:lang w:val="es-ES_tradnl" w:eastAsia="x-none"/>
        </w:rPr>
      </w:pPr>
      <w:r w:rsidRPr="00F02D29">
        <w:rPr>
          <w:rFonts w:ascii="Book Antiqua" w:eastAsia="SimSun" w:hAnsi="Book Antiqua"/>
          <w:iCs/>
          <w:szCs w:val="24"/>
          <w:lang w:val="es-PR" w:eastAsia="x-none"/>
        </w:rPr>
        <w:t xml:space="preserve">Si el acusado tiene una relación de parentesco con la víctima, por ser ascendiente o descendiente, por consanguinidad, adopción o afinidad, o colateral por </w:t>
      </w:r>
      <w:r w:rsidRPr="00F02D29">
        <w:rPr>
          <w:rFonts w:ascii="Book Antiqua" w:eastAsia="SimSun" w:hAnsi="Book Antiqua"/>
          <w:iCs/>
          <w:szCs w:val="24"/>
          <w:lang w:val="es-PR" w:eastAsia="x-none"/>
        </w:rPr>
        <w:lastRenderedPageBreak/>
        <w:t>consanguinidad o adopción, hasta el tercer grado, o por compartir o poseer la custodia física o patria potestad.</w:t>
      </w:r>
    </w:p>
    <w:p w14:paraId="3CF6E043" w14:textId="6A99645C" w:rsidR="00F30AC7" w:rsidRPr="00F02D29" w:rsidRDefault="00293ABF" w:rsidP="00F02D29">
      <w:pPr>
        <w:spacing w:line="480" w:lineRule="auto"/>
        <w:ind w:firstLine="567"/>
        <w:jc w:val="both"/>
        <w:rPr>
          <w:rFonts w:ascii="Book Antiqua" w:hAnsi="Book Antiqua"/>
          <w:szCs w:val="24"/>
          <w:lang w:val="es-PR"/>
        </w:rPr>
      </w:pPr>
      <w:r w:rsidRPr="00F02D29">
        <w:rPr>
          <w:rFonts w:ascii="Book Antiqua" w:hAnsi="Book Antiqua"/>
          <w:szCs w:val="24"/>
          <w:lang w:val="es-PR"/>
        </w:rPr>
        <w:t xml:space="preserve">Cuando el delito se cometa en cualquiera de las modalidades descritas en los incisos (a) y (f) de este Artículo, o se cometa en el hogar de la víctima, o en cualquier otro lugar donde ésta tenga una expectativa razonable de intimidad, la pena del delito será de reclusión por un término fijo de </w:t>
      </w:r>
      <w:r w:rsidR="002C54C0" w:rsidRPr="00F02D29">
        <w:rPr>
          <w:rFonts w:ascii="Book Antiqua" w:hAnsi="Book Antiqua"/>
          <w:szCs w:val="24"/>
          <w:lang w:val="es-PR"/>
        </w:rPr>
        <w:t>veinticinco</w:t>
      </w:r>
      <w:r w:rsidRPr="00F02D29">
        <w:rPr>
          <w:rFonts w:ascii="Book Antiqua" w:hAnsi="Book Antiqua"/>
          <w:szCs w:val="24"/>
          <w:lang w:val="es-PR"/>
        </w:rPr>
        <w:t xml:space="preserve"> (</w:t>
      </w:r>
      <w:r w:rsidR="002C54C0" w:rsidRPr="00F02D29">
        <w:rPr>
          <w:rFonts w:ascii="Book Antiqua" w:hAnsi="Book Antiqua"/>
          <w:szCs w:val="24"/>
          <w:lang w:val="es-PR"/>
        </w:rPr>
        <w:t>2</w:t>
      </w:r>
      <w:r w:rsidRPr="00F02D29">
        <w:rPr>
          <w:rFonts w:ascii="Book Antiqua" w:hAnsi="Book Antiqua"/>
          <w:szCs w:val="24"/>
          <w:lang w:val="es-PR"/>
        </w:rPr>
        <w:t xml:space="preserve">5) años más la pena de restitución, salvo que la víctima renuncie a ello. La persona convicta por la conducta tipificada en este Artículo cuando la víctima sea menor de </w:t>
      </w:r>
      <w:r w:rsidR="00417AA8" w:rsidRPr="00F02D29">
        <w:rPr>
          <w:rFonts w:ascii="Book Antiqua" w:hAnsi="Book Antiqua"/>
          <w:szCs w:val="24"/>
          <w:lang w:val="es-PR"/>
        </w:rPr>
        <w:t>doce</w:t>
      </w:r>
      <w:r w:rsidRPr="00F02D29">
        <w:rPr>
          <w:rFonts w:ascii="Book Antiqua" w:hAnsi="Book Antiqua"/>
          <w:szCs w:val="24"/>
          <w:lang w:val="es-PR"/>
        </w:rPr>
        <w:t xml:space="preserve"> (1</w:t>
      </w:r>
      <w:r w:rsidR="00417AA8" w:rsidRPr="00F02D29">
        <w:rPr>
          <w:rFonts w:ascii="Book Antiqua" w:hAnsi="Book Antiqua"/>
          <w:szCs w:val="24"/>
          <w:lang w:val="es-PR"/>
        </w:rPr>
        <w:t>2</w:t>
      </w:r>
      <w:r w:rsidRPr="00F02D29">
        <w:rPr>
          <w:rFonts w:ascii="Book Antiqua" w:hAnsi="Book Antiqua"/>
          <w:szCs w:val="24"/>
          <w:lang w:val="es-PR"/>
        </w:rPr>
        <w:t xml:space="preserve">) años, deberá cumplir además con una pena de libertad supervisada mandatoria por un término de </w:t>
      </w:r>
      <w:r w:rsidR="00417AA8" w:rsidRPr="00F02D29">
        <w:rPr>
          <w:rFonts w:ascii="Book Antiqua" w:hAnsi="Book Antiqua"/>
          <w:szCs w:val="24"/>
          <w:lang w:val="es-PR"/>
        </w:rPr>
        <w:t>diez</w:t>
      </w:r>
      <w:r w:rsidRPr="00F02D29">
        <w:rPr>
          <w:rFonts w:ascii="Book Antiqua" w:hAnsi="Book Antiqua"/>
          <w:szCs w:val="24"/>
          <w:lang w:val="es-PR"/>
        </w:rPr>
        <w:t xml:space="preserve"> (</w:t>
      </w:r>
      <w:r w:rsidR="00417AA8" w:rsidRPr="00F02D29">
        <w:rPr>
          <w:rFonts w:ascii="Book Antiqua" w:hAnsi="Book Antiqua"/>
          <w:szCs w:val="24"/>
          <w:lang w:val="es-PR"/>
        </w:rPr>
        <w:t>10</w:t>
      </w:r>
      <w:r w:rsidRPr="00F02D29">
        <w:rPr>
          <w:rFonts w:ascii="Book Antiqua" w:hAnsi="Book Antiqua"/>
          <w:szCs w:val="24"/>
          <w:lang w:val="es-PR"/>
        </w:rPr>
        <w:t xml:space="preserve">) años naturales adicionales, contados a partir de la fecha en que el convicto cumpla con la pena original de </w:t>
      </w:r>
      <w:r w:rsidR="00417AA8" w:rsidRPr="00F02D29">
        <w:rPr>
          <w:rFonts w:ascii="Book Antiqua" w:hAnsi="Book Antiqua"/>
          <w:szCs w:val="24"/>
          <w:lang w:val="es-PR"/>
        </w:rPr>
        <w:t>quince</w:t>
      </w:r>
      <w:r w:rsidRPr="00F02D29">
        <w:rPr>
          <w:rFonts w:ascii="Book Antiqua" w:hAnsi="Book Antiqua"/>
          <w:szCs w:val="24"/>
          <w:lang w:val="es-PR"/>
        </w:rPr>
        <w:t xml:space="preserve"> (</w:t>
      </w:r>
      <w:r w:rsidR="00417AA8" w:rsidRPr="00F02D29">
        <w:rPr>
          <w:rFonts w:ascii="Book Antiqua" w:hAnsi="Book Antiqua"/>
          <w:szCs w:val="24"/>
          <w:lang w:val="es-PR"/>
        </w:rPr>
        <w:t>15</w:t>
      </w:r>
      <w:r w:rsidRPr="00F02D29">
        <w:rPr>
          <w:rFonts w:ascii="Book Antiqua" w:hAnsi="Book Antiqua"/>
          <w:szCs w:val="24"/>
          <w:lang w:val="es-PR"/>
        </w:rPr>
        <w:t xml:space="preserve">) o </w:t>
      </w:r>
      <w:r w:rsidR="00417AA8" w:rsidRPr="00F02D29">
        <w:rPr>
          <w:rFonts w:ascii="Book Antiqua" w:hAnsi="Book Antiqua"/>
          <w:szCs w:val="24"/>
          <w:lang w:val="es-PR"/>
        </w:rPr>
        <w:t>veinticinco</w:t>
      </w:r>
      <w:r w:rsidRPr="00F02D29">
        <w:rPr>
          <w:rFonts w:ascii="Book Antiqua" w:hAnsi="Book Antiqua"/>
          <w:szCs w:val="24"/>
          <w:lang w:val="es-PR"/>
        </w:rPr>
        <w:t xml:space="preserve"> (</w:t>
      </w:r>
      <w:r w:rsidR="00417AA8" w:rsidRPr="00F02D29">
        <w:rPr>
          <w:rFonts w:ascii="Book Antiqua" w:hAnsi="Book Antiqua"/>
          <w:szCs w:val="24"/>
          <w:lang w:val="es-PR"/>
        </w:rPr>
        <w:t>2</w:t>
      </w:r>
      <w:r w:rsidRPr="00F02D29">
        <w:rPr>
          <w:rFonts w:ascii="Book Antiqua" w:hAnsi="Book Antiqua"/>
          <w:szCs w:val="24"/>
          <w:lang w:val="es-PR"/>
        </w:rPr>
        <w:t xml:space="preserve">5) años, según corresponda para este delito o la pena que corresponda cuando proceda la adjudicación de atenuantes o agravantes. En el caso de que la persona sea convicta por tentativa de violación de este Artículo cuando la víctima sea menor de </w:t>
      </w:r>
      <w:r w:rsidR="00417AA8" w:rsidRPr="00F02D29">
        <w:rPr>
          <w:rFonts w:ascii="Book Antiqua" w:hAnsi="Book Antiqua"/>
          <w:szCs w:val="24"/>
          <w:lang w:val="es-PR"/>
        </w:rPr>
        <w:t>doce</w:t>
      </w:r>
      <w:r w:rsidRPr="00F02D29">
        <w:rPr>
          <w:rFonts w:ascii="Book Antiqua" w:hAnsi="Book Antiqua"/>
          <w:szCs w:val="24"/>
          <w:lang w:val="es-PR"/>
        </w:rPr>
        <w:t xml:space="preserve"> (1</w:t>
      </w:r>
      <w:r w:rsidR="00417AA8" w:rsidRPr="00F02D29">
        <w:rPr>
          <w:rFonts w:ascii="Book Antiqua" w:hAnsi="Book Antiqua"/>
          <w:szCs w:val="24"/>
          <w:lang w:val="es-PR"/>
        </w:rPr>
        <w:t>2</w:t>
      </w:r>
      <w:r w:rsidRPr="00F02D29">
        <w:rPr>
          <w:rFonts w:ascii="Book Antiqua" w:hAnsi="Book Antiqua"/>
          <w:szCs w:val="24"/>
          <w:lang w:val="es-PR"/>
        </w:rPr>
        <w:t xml:space="preserve">) años, deberá cumplir además con una pena de libertad supervisada mandatoria de </w:t>
      </w:r>
      <w:r w:rsidR="008C4E2B" w:rsidRPr="00F02D29">
        <w:rPr>
          <w:rFonts w:ascii="Book Antiqua" w:hAnsi="Book Antiqua"/>
          <w:szCs w:val="24"/>
          <w:lang w:val="es-PR"/>
        </w:rPr>
        <w:t>cinco</w:t>
      </w:r>
      <w:r w:rsidRPr="00F02D29">
        <w:rPr>
          <w:rFonts w:ascii="Book Antiqua" w:hAnsi="Book Antiqua"/>
          <w:szCs w:val="24"/>
          <w:lang w:val="es-PR"/>
        </w:rPr>
        <w:t xml:space="preserve"> (</w:t>
      </w:r>
      <w:r w:rsidR="008C4E2B" w:rsidRPr="00F02D29">
        <w:rPr>
          <w:rFonts w:ascii="Book Antiqua" w:hAnsi="Book Antiqua"/>
          <w:szCs w:val="24"/>
          <w:lang w:val="es-PR"/>
        </w:rPr>
        <w:t>5</w:t>
      </w:r>
      <w:r w:rsidRPr="00F02D29">
        <w:rPr>
          <w:rFonts w:ascii="Book Antiqua" w:hAnsi="Book Antiqua"/>
          <w:szCs w:val="24"/>
          <w:lang w:val="es-PR"/>
        </w:rPr>
        <w:t>) años naturales adicionales, contados a partir de la fecha en que el convicto cumpla con la pena original dispuesta para este delito o la pena que corresponda cuando proceda la adjudicación de atenuantes o agravantes.</w:t>
      </w:r>
      <w:r w:rsidR="008C4E2B" w:rsidRPr="00F02D29">
        <w:rPr>
          <w:rFonts w:ascii="Book Antiqua" w:hAnsi="Book Antiqua"/>
          <w:szCs w:val="24"/>
          <w:lang w:val="es-PR"/>
        </w:rPr>
        <w:t>”</w:t>
      </w:r>
    </w:p>
    <w:p w14:paraId="137BD583" w14:textId="46CC7EF1" w:rsidR="0049639F" w:rsidRPr="00F02D29" w:rsidRDefault="008B3E05" w:rsidP="00F02D29">
      <w:pPr>
        <w:spacing w:line="480" w:lineRule="auto"/>
        <w:ind w:firstLine="567"/>
        <w:jc w:val="both"/>
        <w:rPr>
          <w:rFonts w:ascii="Book Antiqua" w:hAnsi="Book Antiqua"/>
          <w:szCs w:val="24"/>
          <w:lang w:val="es-ES_tradnl"/>
        </w:rPr>
      </w:pPr>
      <w:r w:rsidRPr="00F02D29">
        <w:rPr>
          <w:rFonts w:ascii="Book Antiqua" w:hAnsi="Book Antiqua"/>
          <w:szCs w:val="24"/>
          <w:lang w:val="es-ES_tradnl"/>
        </w:rPr>
        <w:t>Artículo 3.-</w:t>
      </w:r>
      <w:r w:rsidR="0049639F" w:rsidRPr="00F02D29">
        <w:rPr>
          <w:rFonts w:ascii="Book Antiqua" w:hAnsi="Book Antiqua"/>
          <w:szCs w:val="24"/>
          <w:lang w:val="es-ES_tradnl"/>
        </w:rPr>
        <w:t>Vigencia.</w:t>
      </w:r>
    </w:p>
    <w:p w14:paraId="11607146" w14:textId="067A0E1B" w:rsidR="007D2985" w:rsidRPr="00F02D29" w:rsidRDefault="001066D8" w:rsidP="00F02D29">
      <w:pPr>
        <w:spacing w:line="480" w:lineRule="auto"/>
        <w:ind w:firstLine="567"/>
        <w:jc w:val="both"/>
        <w:rPr>
          <w:rFonts w:ascii="Book Antiqua" w:hAnsi="Book Antiqua"/>
          <w:strike/>
          <w:szCs w:val="24"/>
          <w:lang w:val="es-ES_tradnl"/>
        </w:rPr>
      </w:pPr>
      <w:r w:rsidRPr="00F02D29">
        <w:rPr>
          <w:rFonts w:ascii="Book Antiqua" w:hAnsi="Book Antiqua"/>
          <w:lang w:val="es-ES_tradnl"/>
        </w:rPr>
        <w:t>Esta Ley comenzará a regir inmediatamente después de su aprobación.</w:t>
      </w:r>
    </w:p>
    <w:sectPr w:rsidR="007D2985" w:rsidRPr="00F02D29"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17FD8" w14:textId="77777777" w:rsidR="001E63AC" w:rsidRDefault="001E63AC">
      <w:r>
        <w:separator/>
      </w:r>
    </w:p>
  </w:endnote>
  <w:endnote w:type="continuationSeparator" w:id="0">
    <w:p w14:paraId="675D32B7" w14:textId="77777777" w:rsidR="001E63AC" w:rsidRDefault="001E6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79908" w14:textId="77777777" w:rsidR="001E63AC" w:rsidRDefault="001E63AC">
      <w:r>
        <w:separator/>
      </w:r>
    </w:p>
  </w:footnote>
  <w:footnote w:type="continuationSeparator" w:id="0">
    <w:p w14:paraId="307E74F9" w14:textId="77777777" w:rsidR="001E63AC" w:rsidRDefault="001E6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947E2"/>
    <w:multiLevelType w:val="multilevel"/>
    <w:tmpl w:val="C67C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692D27"/>
    <w:multiLevelType w:val="multilevel"/>
    <w:tmpl w:val="E332A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5160A3"/>
    <w:multiLevelType w:val="hybridMultilevel"/>
    <w:tmpl w:val="082CF5B6"/>
    <w:lvl w:ilvl="0" w:tplc="FFFFFFFF">
      <w:start w:val="1"/>
      <w:numFmt w:val="lowerLetter"/>
      <w:lvlText w:val="(%1)"/>
      <w:lvlJc w:val="left"/>
      <w:pPr>
        <w:ind w:left="927" w:hanging="360"/>
      </w:pPr>
      <w:rPr>
        <w:rFonts w:hint="default"/>
        <w:i w:val="0"/>
        <w:i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 w15:restartNumberingAfterBreak="0">
    <w:nsid w:val="78CB623F"/>
    <w:multiLevelType w:val="hybridMultilevel"/>
    <w:tmpl w:val="082CF5B6"/>
    <w:lvl w:ilvl="0" w:tplc="E4AE6C4A">
      <w:start w:val="1"/>
      <w:numFmt w:val="lowerLetter"/>
      <w:lvlText w:val="(%1)"/>
      <w:lvlJc w:val="left"/>
      <w:pPr>
        <w:ind w:left="927" w:hanging="360"/>
      </w:pPr>
      <w:rPr>
        <w:rFonts w:hint="default"/>
        <w:i w:val="0"/>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38184280">
    <w:abstractNumId w:val="3"/>
  </w:num>
  <w:num w:numId="2" w16cid:durableId="1665014715">
    <w:abstractNumId w:val="6"/>
  </w:num>
  <w:num w:numId="3" w16cid:durableId="2135127737">
    <w:abstractNumId w:val="1"/>
  </w:num>
  <w:num w:numId="4" w16cid:durableId="1126658395">
    <w:abstractNumId w:val="5"/>
  </w:num>
  <w:num w:numId="5" w16cid:durableId="1743528321">
    <w:abstractNumId w:val="2"/>
  </w:num>
  <w:num w:numId="6" w16cid:durableId="1643608606">
    <w:abstractNumId w:val="4"/>
  </w:num>
  <w:num w:numId="7" w16cid:durableId="1914658310">
    <w:abstractNumId w:val="0"/>
  </w:num>
  <w:num w:numId="8" w16cid:durableId="768430469">
    <w:abstractNumId w:val="8"/>
  </w:num>
  <w:num w:numId="9" w16cid:durableId="1561120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5EC3"/>
    <w:rsid w:val="00011676"/>
    <w:rsid w:val="000138DC"/>
    <w:rsid w:val="00020BBB"/>
    <w:rsid w:val="00025B8C"/>
    <w:rsid w:val="00030B50"/>
    <w:rsid w:val="00045B1F"/>
    <w:rsid w:val="00056024"/>
    <w:rsid w:val="000621AC"/>
    <w:rsid w:val="00065574"/>
    <w:rsid w:val="000725F2"/>
    <w:rsid w:val="000741B4"/>
    <w:rsid w:val="00076909"/>
    <w:rsid w:val="00085DB7"/>
    <w:rsid w:val="00095AE1"/>
    <w:rsid w:val="000A6B6C"/>
    <w:rsid w:val="000A7709"/>
    <w:rsid w:val="000B0DBB"/>
    <w:rsid w:val="000C786D"/>
    <w:rsid w:val="000E27ED"/>
    <w:rsid w:val="000F5BA6"/>
    <w:rsid w:val="000F7EB9"/>
    <w:rsid w:val="001066D8"/>
    <w:rsid w:val="00107A65"/>
    <w:rsid w:val="00110831"/>
    <w:rsid w:val="00111E71"/>
    <w:rsid w:val="0011442B"/>
    <w:rsid w:val="00114BBF"/>
    <w:rsid w:val="001172D7"/>
    <w:rsid w:val="00117A6C"/>
    <w:rsid w:val="00126E2E"/>
    <w:rsid w:val="001274E4"/>
    <w:rsid w:val="00127C6A"/>
    <w:rsid w:val="001321AE"/>
    <w:rsid w:val="001359ED"/>
    <w:rsid w:val="001363FE"/>
    <w:rsid w:val="00150901"/>
    <w:rsid w:val="0015598F"/>
    <w:rsid w:val="00156BBF"/>
    <w:rsid w:val="0017132B"/>
    <w:rsid w:val="00181281"/>
    <w:rsid w:val="001830D8"/>
    <w:rsid w:val="00190928"/>
    <w:rsid w:val="00193B39"/>
    <w:rsid w:val="001A1E09"/>
    <w:rsid w:val="001A1FF0"/>
    <w:rsid w:val="001D1A9A"/>
    <w:rsid w:val="001D3246"/>
    <w:rsid w:val="001D5D7B"/>
    <w:rsid w:val="001D65B8"/>
    <w:rsid w:val="001E0632"/>
    <w:rsid w:val="001E18C9"/>
    <w:rsid w:val="001E63AC"/>
    <w:rsid w:val="001E6AB2"/>
    <w:rsid w:val="001F18B1"/>
    <w:rsid w:val="001F21BC"/>
    <w:rsid w:val="001F4CA3"/>
    <w:rsid w:val="001F612A"/>
    <w:rsid w:val="00210ACA"/>
    <w:rsid w:val="00211396"/>
    <w:rsid w:val="00216FFB"/>
    <w:rsid w:val="00217344"/>
    <w:rsid w:val="002215C5"/>
    <w:rsid w:val="00226AE6"/>
    <w:rsid w:val="00235410"/>
    <w:rsid w:val="00245B34"/>
    <w:rsid w:val="0025549C"/>
    <w:rsid w:val="00263355"/>
    <w:rsid w:val="00267FF6"/>
    <w:rsid w:val="002733DD"/>
    <w:rsid w:val="00273792"/>
    <w:rsid w:val="002850DE"/>
    <w:rsid w:val="00293ABF"/>
    <w:rsid w:val="002A0739"/>
    <w:rsid w:val="002B0233"/>
    <w:rsid w:val="002C4F8A"/>
    <w:rsid w:val="002C54C0"/>
    <w:rsid w:val="002D4AC8"/>
    <w:rsid w:val="002D6A74"/>
    <w:rsid w:val="002F7DE7"/>
    <w:rsid w:val="00301082"/>
    <w:rsid w:val="00302CD7"/>
    <w:rsid w:val="00320D78"/>
    <w:rsid w:val="00323204"/>
    <w:rsid w:val="00341103"/>
    <w:rsid w:val="0034575E"/>
    <w:rsid w:val="00350756"/>
    <w:rsid w:val="00355F14"/>
    <w:rsid w:val="00377362"/>
    <w:rsid w:val="00380FE5"/>
    <w:rsid w:val="00386F6A"/>
    <w:rsid w:val="003924DD"/>
    <w:rsid w:val="00394CB0"/>
    <w:rsid w:val="00394FCB"/>
    <w:rsid w:val="003963F4"/>
    <w:rsid w:val="003A2EC0"/>
    <w:rsid w:val="003A7304"/>
    <w:rsid w:val="003B477E"/>
    <w:rsid w:val="003B5254"/>
    <w:rsid w:val="003B75A6"/>
    <w:rsid w:val="003E2127"/>
    <w:rsid w:val="003E53FB"/>
    <w:rsid w:val="003F2839"/>
    <w:rsid w:val="003F3A3E"/>
    <w:rsid w:val="003F602C"/>
    <w:rsid w:val="004000D4"/>
    <w:rsid w:val="00403D2A"/>
    <w:rsid w:val="00403D3C"/>
    <w:rsid w:val="004061CA"/>
    <w:rsid w:val="00411193"/>
    <w:rsid w:val="00411B44"/>
    <w:rsid w:val="0041258C"/>
    <w:rsid w:val="00415689"/>
    <w:rsid w:val="00415C4C"/>
    <w:rsid w:val="00417AA8"/>
    <w:rsid w:val="00424107"/>
    <w:rsid w:val="00425949"/>
    <w:rsid w:val="004338C0"/>
    <w:rsid w:val="004434A0"/>
    <w:rsid w:val="004440CB"/>
    <w:rsid w:val="00457AAB"/>
    <w:rsid w:val="00470A0A"/>
    <w:rsid w:val="004713D2"/>
    <w:rsid w:val="0047294F"/>
    <w:rsid w:val="004753F4"/>
    <w:rsid w:val="00481F56"/>
    <w:rsid w:val="00494867"/>
    <w:rsid w:val="0049639F"/>
    <w:rsid w:val="004A7E73"/>
    <w:rsid w:val="004B0B0F"/>
    <w:rsid w:val="004B293A"/>
    <w:rsid w:val="004B4E2B"/>
    <w:rsid w:val="004C004D"/>
    <w:rsid w:val="004E1A3E"/>
    <w:rsid w:val="004E2361"/>
    <w:rsid w:val="004E46F1"/>
    <w:rsid w:val="004F4297"/>
    <w:rsid w:val="004F49B9"/>
    <w:rsid w:val="004F6419"/>
    <w:rsid w:val="005032EE"/>
    <w:rsid w:val="00503D1B"/>
    <w:rsid w:val="00515151"/>
    <w:rsid w:val="00521639"/>
    <w:rsid w:val="00524569"/>
    <w:rsid w:val="00532BB7"/>
    <w:rsid w:val="005332E4"/>
    <w:rsid w:val="0053550C"/>
    <w:rsid w:val="005437E8"/>
    <w:rsid w:val="00547BD3"/>
    <w:rsid w:val="00552310"/>
    <w:rsid w:val="00552469"/>
    <w:rsid w:val="00555018"/>
    <w:rsid w:val="0055752B"/>
    <w:rsid w:val="00560B3A"/>
    <w:rsid w:val="005723DC"/>
    <w:rsid w:val="00581AE3"/>
    <w:rsid w:val="00593559"/>
    <w:rsid w:val="005942AC"/>
    <w:rsid w:val="00594E0D"/>
    <w:rsid w:val="005B2B29"/>
    <w:rsid w:val="005E25EE"/>
    <w:rsid w:val="005E625B"/>
    <w:rsid w:val="005F43E5"/>
    <w:rsid w:val="00604CDB"/>
    <w:rsid w:val="00605793"/>
    <w:rsid w:val="00605D4F"/>
    <w:rsid w:val="00606511"/>
    <w:rsid w:val="00614212"/>
    <w:rsid w:val="006210DC"/>
    <w:rsid w:val="00622FF2"/>
    <w:rsid w:val="00632017"/>
    <w:rsid w:val="00634523"/>
    <w:rsid w:val="00636838"/>
    <w:rsid w:val="00636917"/>
    <w:rsid w:val="0064349D"/>
    <w:rsid w:val="00652ADB"/>
    <w:rsid w:val="00652D9D"/>
    <w:rsid w:val="00652F6D"/>
    <w:rsid w:val="00653EED"/>
    <w:rsid w:val="00662714"/>
    <w:rsid w:val="00672706"/>
    <w:rsid w:val="00684085"/>
    <w:rsid w:val="00685549"/>
    <w:rsid w:val="00690572"/>
    <w:rsid w:val="00690E1C"/>
    <w:rsid w:val="00692A4D"/>
    <w:rsid w:val="006B0FF2"/>
    <w:rsid w:val="006B3A86"/>
    <w:rsid w:val="006B3E39"/>
    <w:rsid w:val="006B5EA6"/>
    <w:rsid w:val="006B7286"/>
    <w:rsid w:val="006B7365"/>
    <w:rsid w:val="006C175C"/>
    <w:rsid w:val="006C1C5C"/>
    <w:rsid w:val="006C2D81"/>
    <w:rsid w:val="006C7DF8"/>
    <w:rsid w:val="006D5448"/>
    <w:rsid w:val="006F0B49"/>
    <w:rsid w:val="006F423F"/>
    <w:rsid w:val="00700225"/>
    <w:rsid w:val="00701B26"/>
    <w:rsid w:val="007051C4"/>
    <w:rsid w:val="00705E6E"/>
    <w:rsid w:val="00730375"/>
    <w:rsid w:val="00730CB4"/>
    <w:rsid w:val="00732A81"/>
    <w:rsid w:val="0073518D"/>
    <w:rsid w:val="00740627"/>
    <w:rsid w:val="007433F9"/>
    <w:rsid w:val="007444E7"/>
    <w:rsid w:val="00744C0E"/>
    <w:rsid w:val="00750FC8"/>
    <w:rsid w:val="0075293A"/>
    <w:rsid w:val="007533D0"/>
    <w:rsid w:val="00754C10"/>
    <w:rsid w:val="00755069"/>
    <w:rsid w:val="00766C10"/>
    <w:rsid w:val="00776CEB"/>
    <w:rsid w:val="00784FAA"/>
    <w:rsid w:val="007A5C46"/>
    <w:rsid w:val="007B0660"/>
    <w:rsid w:val="007B51E5"/>
    <w:rsid w:val="007C1A25"/>
    <w:rsid w:val="007C6A19"/>
    <w:rsid w:val="007D1B74"/>
    <w:rsid w:val="007D2985"/>
    <w:rsid w:val="007D53BB"/>
    <w:rsid w:val="007D7758"/>
    <w:rsid w:val="007E302C"/>
    <w:rsid w:val="007E3868"/>
    <w:rsid w:val="0080677E"/>
    <w:rsid w:val="0081683B"/>
    <w:rsid w:val="008173C8"/>
    <w:rsid w:val="00820C41"/>
    <w:rsid w:val="00821468"/>
    <w:rsid w:val="0082425C"/>
    <w:rsid w:val="00832B18"/>
    <w:rsid w:val="00845B2E"/>
    <w:rsid w:val="00850256"/>
    <w:rsid w:val="00850990"/>
    <w:rsid w:val="00852E71"/>
    <w:rsid w:val="008707CD"/>
    <w:rsid w:val="008827AA"/>
    <w:rsid w:val="00883859"/>
    <w:rsid w:val="0088703A"/>
    <w:rsid w:val="00893F2E"/>
    <w:rsid w:val="008947E7"/>
    <w:rsid w:val="008A1181"/>
    <w:rsid w:val="008B3E05"/>
    <w:rsid w:val="008C4E2B"/>
    <w:rsid w:val="008D2912"/>
    <w:rsid w:val="008D3534"/>
    <w:rsid w:val="008E0AC1"/>
    <w:rsid w:val="008F080D"/>
    <w:rsid w:val="008F1DE6"/>
    <w:rsid w:val="008F4649"/>
    <w:rsid w:val="00911B61"/>
    <w:rsid w:val="00913CC1"/>
    <w:rsid w:val="0093686F"/>
    <w:rsid w:val="00942FD4"/>
    <w:rsid w:val="00945785"/>
    <w:rsid w:val="00946367"/>
    <w:rsid w:val="009506CC"/>
    <w:rsid w:val="00951997"/>
    <w:rsid w:val="009611B5"/>
    <w:rsid w:val="00990352"/>
    <w:rsid w:val="00992BFC"/>
    <w:rsid w:val="00994B8A"/>
    <w:rsid w:val="009A077B"/>
    <w:rsid w:val="009A38AE"/>
    <w:rsid w:val="009B2C7B"/>
    <w:rsid w:val="009B40B7"/>
    <w:rsid w:val="009C4128"/>
    <w:rsid w:val="009F273B"/>
    <w:rsid w:val="009F7531"/>
    <w:rsid w:val="00A03405"/>
    <w:rsid w:val="00A04862"/>
    <w:rsid w:val="00A07D20"/>
    <w:rsid w:val="00A1528A"/>
    <w:rsid w:val="00A206D0"/>
    <w:rsid w:val="00A24C11"/>
    <w:rsid w:val="00A32A17"/>
    <w:rsid w:val="00A33918"/>
    <w:rsid w:val="00A37BAA"/>
    <w:rsid w:val="00A501E2"/>
    <w:rsid w:val="00A6272A"/>
    <w:rsid w:val="00A64A37"/>
    <w:rsid w:val="00A66820"/>
    <w:rsid w:val="00A7629F"/>
    <w:rsid w:val="00A8116A"/>
    <w:rsid w:val="00AA087D"/>
    <w:rsid w:val="00AC048B"/>
    <w:rsid w:val="00AD2088"/>
    <w:rsid w:val="00AF0CEE"/>
    <w:rsid w:val="00AF7B3F"/>
    <w:rsid w:val="00B35C03"/>
    <w:rsid w:val="00B416B0"/>
    <w:rsid w:val="00B42C9C"/>
    <w:rsid w:val="00B4571F"/>
    <w:rsid w:val="00B46300"/>
    <w:rsid w:val="00B47D0A"/>
    <w:rsid w:val="00B5063A"/>
    <w:rsid w:val="00B56D70"/>
    <w:rsid w:val="00B667AD"/>
    <w:rsid w:val="00B672AC"/>
    <w:rsid w:val="00B745E0"/>
    <w:rsid w:val="00B8089C"/>
    <w:rsid w:val="00B83990"/>
    <w:rsid w:val="00B84C38"/>
    <w:rsid w:val="00B8685C"/>
    <w:rsid w:val="00B86C00"/>
    <w:rsid w:val="00B87587"/>
    <w:rsid w:val="00B947F6"/>
    <w:rsid w:val="00BA44E5"/>
    <w:rsid w:val="00BB1574"/>
    <w:rsid w:val="00BB2318"/>
    <w:rsid w:val="00BB2BDD"/>
    <w:rsid w:val="00BB5F17"/>
    <w:rsid w:val="00BB70FA"/>
    <w:rsid w:val="00BE337B"/>
    <w:rsid w:val="00BE7807"/>
    <w:rsid w:val="00BF0FEB"/>
    <w:rsid w:val="00BF16AA"/>
    <w:rsid w:val="00BF7072"/>
    <w:rsid w:val="00C04355"/>
    <w:rsid w:val="00C13044"/>
    <w:rsid w:val="00C13594"/>
    <w:rsid w:val="00C2441E"/>
    <w:rsid w:val="00C354B8"/>
    <w:rsid w:val="00C454E8"/>
    <w:rsid w:val="00C4632A"/>
    <w:rsid w:val="00C52517"/>
    <w:rsid w:val="00C52CAC"/>
    <w:rsid w:val="00C53335"/>
    <w:rsid w:val="00C57AD5"/>
    <w:rsid w:val="00C60921"/>
    <w:rsid w:val="00C62936"/>
    <w:rsid w:val="00C653F2"/>
    <w:rsid w:val="00C679E6"/>
    <w:rsid w:val="00C76D14"/>
    <w:rsid w:val="00C908F9"/>
    <w:rsid w:val="00CA0917"/>
    <w:rsid w:val="00CA0AB0"/>
    <w:rsid w:val="00CA1099"/>
    <w:rsid w:val="00CA2D30"/>
    <w:rsid w:val="00CA4D25"/>
    <w:rsid w:val="00CA5FF2"/>
    <w:rsid w:val="00CD5AD1"/>
    <w:rsid w:val="00CD5EC0"/>
    <w:rsid w:val="00CD5ECD"/>
    <w:rsid w:val="00CF0503"/>
    <w:rsid w:val="00CF7E5D"/>
    <w:rsid w:val="00D0473C"/>
    <w:rsid w:val="00D06317"/>
    <w:rsid w:val="00D12D67"/>
    <w:rsid w:val="00D2270B"/>
    <w:rsid w:val="00D335F2"/>
    <w:rsid w:val="00D358C0"/>
    <w:rsid w:val="00D417C2"/>
    <w:rsid w:val="00D51652"/>
    <w:rsid w:val="00D52306"/>
    <w:rsid w:val="00D60287"/>
    <w:rsid w:val="00D60936"/>
    <w:rsid w:val="00D709EB"/>
    <w:rsid w:val="00D73CB3"/>
    <w:rsid w:val="00D74714"/>
    <w:rsid w:val="00D82F3F"/>
    <w:rsid w:val="00D921C6"/>
    <w:rsid w:val="00D92787"/>
    <w:rsid w:val="00D958C2"/>
    <w:rsid w:val="00DA39D3"/>
    <w:rsid w:val="00DB1BB8"/>
    <w:rsid w:val="00DB541B"/>
    <w:rsid w:val="00DB6B56"/>
    <w:rsid w:val="00DC15AC"/>
    <w:rsid w:val="00DC1FD1"/>
    <w:rsid w:val="00DC7122"/>
    <w:rsid w:val="00DC750E"/>
    <w:rsid w:val="00DD2D38"/>
    <w:rsid w:val="00DD51A6"/>
    <w:rsid w:val="00DE6FC9"/>
    <w:rsid w:val="00DF1D2F"/>
    <w:rsid w:val="00DF377C"/>
    <w:rsid w:val="00E04AB5"/>
    <w:rsid w:val="00E10A97"/>
    <w:rsid w:val="00E16CC4"/>
    <w:rsid w:val="00E25EB3"/>
    <w:rsid w:val="00E50EEA"/>
    <w:rsid w:val="00E52F58"/>
    <w:rsid w:val="00E644D0"/>
    <w:rsid w:val="00E90A6C"/>
    <w:rsid w:val="00E93F16"/>
    <w:rsid w:val="00EA715B"/>
    <w:rsid w:val="00EB1F5B"/>
    <w:rsid w:val="00EB4539"/>
    <w:rsid w:val="00EC2546"/>
    <w:rsid w:val="00EC26AA"/>
    <w:rsid w:val="00EC5EDE"/>
    <w:rsid w:val="00ED59A9"/>
    <w:rsid w:val="00ED7A53"/>
    <w:rsid w:val="00EE1D4F"/>
    <w:rsid w:val="00EE4273"/>
    <w:rsid w:val="00EE50C0"/>
    <w:rsid w:val="00EF3B8C"/>
    <w:rsid w:val="00EF78DA"/>
    <w:rsid w:val="00F02004"/>
    <w:rsid w:val="00F02D29"/>
    <w:rsid w:val="00F042CB"/>
    <w:rsid w:val="00F07DE6"/>
    <w:rsid w:val="00F102F6"/>
    <w:rsid w:val="00F15C51"/>
    <w:rsid w:val="00F23355"/>
    <w:rsid w:val="00F30AC7"/>
    <w:rsid w:val="00F545AD"/>
    <w:rsid w:val="00F60A20"/>
    <w:rsid w:val="00F66A5C"/>
    <w:rsid w:val="00F73480"/>
    <w:rsid w:val="00F76B91"/>
    <w:rsid w:val="00F76E9C"/>
    <w:rsid w:val="00F81FB9"/>
    <w:rsid w:val="00F845F5"/>
    <w:rsid w:val="00F913C5"/>
    <w:rsid w:val="00F92782"/>
    <w:rsid w:val="00F943C7"/>
    <w:rsid w:val="00FB20F6"/>
    <w:rsid w:val="00FB572D"/>
    <w:rsid w:val="00FC0A95"/>
    <w:rsid w:val="00FC3D9C"/>
    <w:rsid w:val="00FD19DC"/>
    <w:rsid w:val="00FD1E46"/>
    <w:rsid w:val="00FD2868"/>
    <w:rsid w:val="00FF0153"/>
    <w:rsid w:val="00FF4DD7"/>
    <w:rsid w:val="00FF6BD2"/>
    <w:rsid w:val="00FF6CC0"/>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 w:type="character" w:styleId="Hyperlink">
    <w:name w:val="Hyperlink"/>
    <w:basedOn w:val="DefaultParagraphFont"/>
    <w:uiPriority w:val="99"/>
    <w:unhideWhenUsed/>
    <w:rsid w:val="000C786D"/>
    <w:rPr>
      <w:color w:val="0563C1" w:themeColor="hyperlink"/>
      <w:u w:val="single"/>
    </w:rPr>
  </w:style>
  <w:style w:type="character" w:styleId="UnresolvedMention">
    <w:name w:val="Unresolved Mention"/>
    <w:basedOn w:val="DefaultParagraphFont"/>
    <w:uiPriority w:val="99"/>
    <w:semiHidden/>
    <w:unhideWhenUsed/>
    <w:rsid w:val="000C786D"/>
    <w:rPr>
      <w:color w:val="605E5C"/>
      <w:shd w:val="clear" w:color="auto" w:fill="E1DFDD"/>
    </w:rPr>
  </w:style>
  <w:style w:type="paragraph" w:styleId="NormalWeb">
    <w:name w:val="Normal (Web)"/>
    <w:basedOn w:val="Normal"/>
    <w:uiPriority w:val="99"/>
    <w:unhideWhenUsed/>
    <w:rsid w:val="00FD286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javascript:citeSearch('2012LPR146',%20'MJPR_L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2043</Words>
  <Characters>11276</Characters>
  <Application>Microsoft Office Word</Application>
  <DocSecurity>0</DocSecurity>
  <Lines>245</Lines>
  <Paragraphs>117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Bárbara Sierra Nieves</cp:lastModifiedBy>
  <cp:revision>4</cp:revision>
  <cp:lastPrinted>2026-01-29T17:11:00Z</cp:lastPrinted>
  <dcterms:created xsi:type="dcterms:W3CDTF">2026-01-29T17:52:00Z</dcterms:created>
  <dcterms:modified xsi:type="dcterms:W3CDTF">2026-01-30T13:03:00Z</dcterms:modified>
</cp:coreProperties>
</file>