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F3002" w14:textId="77777777" w:rsidR="009E1162" w:rsidRPr="000D67E8" w:rsidRDefault="009E1162" w:rsidP="009E1162">
      <w:pPr>
        <w:jc w:val="center"/>
        <w:rPr>
          <w:rFonts w:ascii="Book Antiqua" w:hAnsi="Book Antiqua"/>
          <w:sz w:val="28"/>
          <w:szCs w:val="28"/>
          <w:lang w:val="es-ES"/>
        </w:rPr>
      </w:pPr>
      <w:r>
        <w:rPr>
          <w:rFonts w:ascii="Book Antiqua" w:hAnsi="Book Antiqua"/>
          <w:sz w:val="28"/>
          <w:szCs w:val="28"/>
          <w:lang w:val="es-ES"/>
        </w:rPr>
        <w:t>GOBIERNO DE PUERTO RICO</w:t>
      </w:r>
    </w:p>
    <w:p w14:paraId="2C116B7C" w14:textId="77777777" w:rsidR="009E1162" w:rsidRPr="000D67E8" w:rsidRDefault="009E1162" w:rsidP="009E1162">
      <w:pPr>
        <w:jc w:val="center"/>
        <w:rPr>
          <w:rFonts w:ascii="Book Antiqua" w:hAnsi="Book Antiqua"/>
          <w:lang w:val="es-ES"/>
        </w:rPr>
      </w:pPr>
    </w:p>
    <w:p w14:paraId="33554036" w14:textId="77777777" w:rsidR="009E1162" w:rsidRPr="000D67E8" w:rsidRDefault="009E1162" w:rsidP="009E1162">
      <w:pPr>
        <w:pStyle w:val="Title2"/>
        <w:rPr>
          <w:rFonts w:ascii="Book Antiqua" w:hAnsi="Book Antiqua"/>
          <w:szCs w:val="24"/>
          <w:lang w:val="es-ES"/>
        </w:rPr>
      </w:pPr>
      <w:r>
        <w:rPr>
          <w:rFonts w:ascii="Book Antiqua" w:hAnsi="Book Antiqua"/>
          <w:szCs w:val="24"/>
          <w:lang w:val="es-ES"/>
        </w:rPr>
        <w:t>20ma Asamblea</w:t>
      </w:r>
      <w:r>
        <w:rPr>
          <w:rFonts w:ascii="Book Antiqua" w:hAnsi="Book Antiqua"/>
          <w:szCs w:val="24"/>
          <w:lang w:val="es-ES"/>
        </w:rPr>
        <w:tab/>
        <w:t>3ra</w:t>
      </w:r>
      <w:r>
        <w:rPr>
          <w:rFonts w:ascii="Book Antiqua" w:hAnsi="Book Antiqua"/>
          <w:szCs w:val="24"/>
          <w:lang w:val="es-ES"/>
        </w:rPr>
        <w:tab/>
      </w:r>
      <w:r>
        <w:rPr>
          <w:rFonts w:ascii="Book Antiqua" w:hAnsi="Book Antiqua"/>
          <w:szCs w:val="24"/>
          <w:lang w:val="es-ES"/>
        </w:rPr>
        <w:tab/>
        <w:t>Sesión</w:t>
      </w:r>
    </w:p>
    <w:p w14:paraId="688D36BD" w14:textId="77777777" w:rsidR="009E1162" w:rsidRPr="000D67E8" w:rsidRDefault="009E1162" w:rsidP="009E1162">
      <w:pPr>
        <w:pStyle w:val="Title2"/>
        <w:rPr>
          <w:rFonts w:ascii="Book Antiqua" w:hAnsi="Book Antiqua"/>
          <w:lang w:val="es-ES"/>
        </w:rPr>
      </w:pPr>
      <w:r>
        <w:rPr>
          <w:rFonts w:ascii="Book Antiqua" w:hAnsi="Book Antiqua"/>
          <w:lang w:val="es-ES"/>
        </w:rPr>
        <w:tab/>
        <w:t xml:space="preserve">Legislativa </w:t>
      </w:r>
      <w:r>
        <w:rPr>
          <w:rFonts w:ascii="Book Antiqua" w:hAnsi="Book Antiqua"/>
          <w:lang w:val="es-ES"/>
        </w:rPr>
        <w:tab/>
      </w:r>
      <w:r>
        <w:rPr>
          <w:rFonts w:ascii="Book Antiqua" w:hAnsi="Book Antiqua"/>
          <w:lang w:val="es-ES"/>
        </w:rPr>
        <w:tab/>
      </w:r>
      <w:r>
        <w:rPr>
          <w:rFonts w:ascii="Book Antiqua" w:hAnsi="Book Antiqua"/>
          <w:lang w:val="es-ES"/>
        </w:rPr>
        <w:tab/>
        <w:t>Ordinaria</w:t>
      </w:r>
    </w:p>
    <w:p w14:paraId="0C79CE10" w14:textId="77777777" w:rsidR="009E1162" w:rsidRPr="000D67E8" w:rsidRDefault="009E1162" w:rsidP="009E1162">
      <w:pPr>
        <w:rPr>
          <w:rFonts w:ascii="Book Antiqua" w:hAnsi="Book Antiqua"/>
          <w:lang w:val="es-ES"/>
        </w:rPr>
      </w:pPr>
    </w:p>
    <w:p w14:paraId="37E2EC11" w14:textId="77777777" w:rsidR="009E1162" w:rsidRPr="000D67E8" w:rsidRDefault="009E1162" w:rsidP="009E1162">
      <w:pPr>
        <w:suppressLineNumbers/>
        <w:jc w:val="center"/>
        <w:rPr>
          <w:rFonts w:ascii="Book Antiqua" w:hAnsi="Book Antiqua"/>
          <w:b/>
          <w:sz w:val="36"/>
          <w:szCs w:val="36"/>
          <w:lang w:val="es-ES"/>
        </w:rPr>
      </w:pPr>
      <w:r>
        <w:rPr>
          <w:rFonts w:ascii="Book Antiqua" w:hAnsi="Book Antiqua"/>
          <w:b/>
          <w:sz w:val="36"/>
          <w:szCs w:val="36"/>
          <w:lang w:val="es-ES"/>
        </w:rPr>
        <w:t xml:space="preserve">CÁMARA DE REPRESENTANTES </w:t>
      </w:r>
    </w:p>
    <w:p w14:paraId="1787211E" w14:textId="77777777" w:rsidR="009E1162" w:rsidRPr="000D67E8" w:rsidRDefault="009E1162" w:rsidP="009E1162">
      <w:pPr>
        <w:rPr>
          <w:rFonts w:ascii="Book Antiqua" w:hAnsi="Book Antiqua"/>
          <w:sz w:val="32"/>
          <w:lang w:val="es-ES"/>
        </w:rPr>
      </w:pPr>
    </w:p>
    <w:p w14:paraId="360E46AE" w14:textId="024957B8" w:rsidR="009E1162" w:rsidRPr="000D67E8" w:rsidRDefault="009E1162" w:rsidP="009E1162">
      <w:pPr>
        <w:suppressLineNumbers/>
        <w:jc w:val="center"/>
        <w:rPr>
          <w:rFonts w:ascii="Book Antiqua" w:hAnsi="Book Antiqua"/>
          <w:b/>
          <w:sz w:val="52"/>
          <w:szCs w:val="52"/>
          <w:lang w:val="es-ES"/>
        </w:rPr>
      </w:pPr>
      <w:r>
        <w:rPr>
          <w:rFonts w:ascii="Book Antiqua" w:hAnsi="Book Antiqua"/>
          <w:b/>
          <w:sz w:val="52"/>
          <w:szCs w:val="52"/>
          <w:lang w:val="es-ES"/>
        </w:rPr>
        <w:t>R. C. de la C. 271</w:t>
      </w:r>
    </w:p>
    <w:p w14:paraId="5CBA3F53" w14:textId="77777777" w:rsidR="009E1162" w:rsidRDefault="009E1162" w:rsidP="009E1162">
      <w:pPr>
        <w:pStyle w:val="Heading1"/>
        <w:jc w:val="center"/>
        <w:rPr>
          <w:rFonts w:ascii="Book Antiqua" w:hAnsi="Book Antiqua"/>
          <w:color w:val="auto"/>
          <w:lang w:val="es-ES"/>
        </w:rPr>
      </w:pPr>
    </w:p>
    <w:p w14:paraId="701C433E" w14:textId="77777777" w:rsidR="009E1162" w:rsidRPr="00144431" w:rsidRDefault="009E1162" w:rsidP="009E1162">
      <w:pPr>
        <w:pStyle w:val="Heading1"/>
        <w:jc w:val="center"/>
        <w:rPr>
          <w:rFonts w:ascii="Book Antiqua" w:hAnsi="Book Antiqua"/>
          <w:color w:val="auto"/>
          <w:lang w:val="es-ES"/>
        </w:rPr>
      </w:pPr>
      <w:r>
        <w:rPr>
          <w:rFonts w:ascii="Book Antiqua" w:hAnsi="Book Antiqua"/>
          <w:color w:val="auto"/>
          <w:lang w:val="es-ES"/>
        </w:rPr>
        <w:t>INFORME POSITIVO</w:t>
      </w:r>
    </w:p>
    <w:p w14:paraId="074C978A" w14:textId="77777777" w:rsidR="009E1162" w:rsidRPr="000D67E8" w:rsidRDefault="009E1162" w:rsidP="009E1162">
      <w:pPr>
        <w:rPr>
          <w:rFonts w:ascii="Book Antiqua" w:hAnsi="Book Antiqua"/>
          <w:lang w:val="es-ES"/>
        </w:rPr>
      </w:pPr>
    </w:p>
    <w:p w14:paraId="205E3FE8" w14:textId="1BD6AF80" w:rsidR="009E1162" w:rsidRPr="000D67E8" w:rsidRDefault="00055070" w:rsidP="009E1162">
      <w:pPr>
        <w:jc w:val="center"/>
        <w:rPr>
          <w:rFonts w:ascii="Book Antiqua" w:hAnsi="Book Antiqua"/>
          <w:smallCaps/>
          <w:lang w:val="es-ES"/>
        </w:rPr>
      </w:pPr>
      <w:proofErr w:type="gramStart"/>
      <w:r>
        <w:rPr>
          <w:rFonts w:ascii="Book Antiqua" w:hAnsi="Book Antiqua"/>
          <w:smallCaps/>
          <w:lang w:val="es-ES"/>
        </w:rPr>
        <w:t xml:space="preserve">17 </w:t>
      </w:r>
      <w:r w:rsidR="009E1162">
        <w:rPr>
          <w:rFonts w:ascii="Book Antiqua" w:hAnsi="Book Antiqua"/>
          <w:smallCaps/>
          <w:lang w:val="es-ES"/>
        </w:rPr>
        <w:t xml:space="preserve"> de</w:t>
      </w:r>
      <w:proofErr w:type="gramEnd"/>
      <w:r w:rsidR="009E1162">
        <w:rPr>
          <w:rFonts w:ascii="Book Antiqua" w:hAnsi="Book Antiqua"/>
          <w:smallCaps/>
          <w:lang w:val="es-ES"/>
        </w:rPr>
        <w:t xml:space="preserve"> marzo de 2026</w:t>
      </w:r>
    </w:p>
    <w:p w14:paraId="5AC678A7" w14:textId="77777777" w:rsidR="009E1162" w:rsidRDefault="009E1162" w:rsidP="009E1162">
      <w:pPr>
        <w:spacing w:after="300" w:line="276" w:lineRule="auto"/>
        <w:jc w:val="both"/>
        <w:rPr>
          <w:rFonts w:ascii="Book Antiqua" w:hAnsi="Book Antiqua"/>
          <w:b/>
          <w:bCs/>
          <w:lang w:val="es-ES"/>
        </w:rPr>
      </w:pPr>
    </w:p>
    <w:p w14:paraId="2FAC5B24" w14:textId="77777777" w:rsidR="00B27E58" w:rsidRPr="009E1162" w:rsidRDefault="009E1162">
      <w:pPr>
        <w:spacing w:after="300" w:line="276" w:lineRule="auto"/>
        <w:jc w:val="both"/>
        <w:rPr>
          <w:rFonts w:ascii="Book Antiqua" w:hAnsi="Book Antiqua"/>
          <w:lang w:val="es-ES"/>
        </w:rPr>
      </w:pPr>
      <w:r>
        <w:rPr>
          <w:rFonts w:ascii="Book Antiqua" w:hAnsi="Book Antiqua"/>
          <w:b/>
          <w:bCs/>
          <w:lang w:val="es-ES"/>
        </w:rPr>
        <w:t>A LA CÁMARA DE REPRESENTANTES DE PUERTO RICO:</w:t>
      </w:r>
    </w:p>
    <w:p w14:paraId="02312F80" w14:textId="05484176"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 xml:space="preserve">La Comisión de Agricultura de la Cámara de Representantes del Estado Libre Asociado de Puerto Rico, previo estudio y consideración de la Resolución Conjunta de la Cámara 271, tiene el honor de recomendar a este Honorable Cuerpo Legislativo su aprobación, </w:t>
      </w:r>
      <w:r w:rsidR="00211D63">
        <w:rPr>
          <w:rFonts w:ascii="Book Antiqua" w:hAnsi="Book Antiqua"/>
          <w:lang w:val="es-ES"/>
        </w:rPr>
        <w:t>con las</w:t>
      </w:r>
      <w:r>
        <w:rPr>
          <w:rFonts w:ascii="Book Antiqua" w:hAnsi="Book Antiqua"/>
          <w:lang w:val="es-ES"/>
        </w:rPr>
        <w:t xml:space="preserve"> enmiendas</w:t>
      </w:r>
      <w:r w:rsidR="00211D63">
        <w:rPr>
          <w:rFonts w:ascii="Book Antiqua" w:hAnsi="Book Antiqua"/>
          <w:lang w:val="es-ES"/>
        </w:rPr>
        <w:t xml:space="preserve"> contenidas en el </w:t>
      </w:r>
      <w:proofErr w:type="spellStart"/>
      <w:r w:rsidR="00211D63">
        <w:rPr>
          <w:rFonts w:ascii="Book Antiqua" w:hAnsi="Book Antiqua"/>
          <w:lang w:val="es-ES"/>
        </w:rPr>
        <w:t>entirillado</w:t>
      </w:r>
      <w:proofErr w:type="spellEnd"/>
      <w:r w:rsidR="00211D63">
        <w:rPr>
          <w:rFonts w:ascii="Book Antiqua" w:hAnsi="Book Antiqua"/>
          <w:lang w:val="es-ES"/>
        </w:rPr>
        <w:t xml:space="preserve"> electrónico que se aneja a este Informe.</w:t>
      </w:r>
    </w:p>
    <w:p w14:paraId="33F7F68D"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ALCANCE DE LA MEDIDA</w:t>
      </w:r>
    </w:p>
    <w:p w14:paraId="4ABA49C7" w14:textId="7A22114A"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Resolución Conjunta de la Cámara 271 ordena al Departamento de Agricultura y a la Junta de Planificación de Puerto Rico a proceder con la liberación de las restricciones y condiciones sobre preservación e indivisión previamente impuestas y anotadas, según dispuesto por la Ley Núm. 107 de 3 de julio de 1974, según enmendada, del predio de terreno marcado con el número diecisiete (17) en el Plano de Subdivisión de la finca “Vega Redonda”, según consta en la Escritura de Compraventa con Restricciones Número Diecinueve (19), otorgada en el Municipio de San Juan, Puerto Rico, el nueve (9) de junio de 1988, sobre la Finca Número Siete Mil Seiscientos Treinta y Seis (7,636), inscrita al Folio Número Noventa y Tres (93) del Tomo Ciento Trece (113) de Comerío, en el Registro de la Propiedad de Barranquitas, Inscripción Primera.</w:t>
      </w:r>
    </w:p>
    <w:p w14:paraId="67AD3DDE"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ANÁLISIS DE LA MEDIDA</w:t>
      </w:r>
    </w:p>
    <w:p w14:paraId="7C2B6109"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lastRenderedPageBreak/>
        <w:t>La Ley Núm. 107 de 3 de julio de 1974, según enmendada, creó el Programa de Fincas de Tipo Familiar, conocido como “Título VI de la Ley de Tierras”. Conforme a dicha disposición legal, el Secretario de Agricultura está facultado para disponer de terrenos para uso agrícola mediante cesión, venta, arrendamiento o usufructo, bajo una serie de condiciones y restricciones que incluyen prohibiciones de segregación y de cambio de uso agrícola. La propia Ley Núm. 107, en su Artículo 3, reconoce la facultad inherente de la Asamblea Legislativa para ordenar la liberación de dichas restricciones en aquellos casos que lo estimare meritorio.</w:t>
      </w:r>
    </w:p>
    <w:p w14:paraId="27368BFC"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Mediante Escritura de Compraventa con Restricciones Número Diecinueve (19), otorgada el 9 de junio de 1988 en el Municipio de San Juan, ante el notario público César Gómez Delgado, le fue otorgada al matrimonio de Don Cruz Sierra González y Doña Armanda Méndez Rodríguez la titularidad del predio de terreno objeto de esta medida, bajo el Programa de Fincas Familiares, con las respectivas restricciones establecidas en la Ley Núm. 107. El predio está inscrito como Finca Número 7,636, al Folio Número 96 del Tomo 113 de Comerío, en el Registro de la Propiedad de Barranquitas, Inscripción Primera. Dicho inmueble fue transferido sujeto a las condiciones y restricciones impuestas por la referida ley.</w:t>
      </w:r>
    </w:p>
    <w:p w14:paraId="72A503CF"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Don Cruz Sierra González falleció, dejando como viuda a Doña Armanda Méndez Rodríguez, quien cuenta con cien (100) años de edad. La Exposición de Motivos de la medida establece que, en su origen, la finalidad del Programa de Fincas de Tipo Familiar era promover la agricultura en pequeños predios. No obstante, a lo largo de más de cinco décadas de cambios sociales, económicos y demográficos en Puerto Rico, los hijos de aquellos primeros beneficiarios del Programa necesitaron un lugar donde vivir y desarrollarse, ampliando el entorno a través del establecimiento de comunidades en dichas tierras. Hoy, transcurrido el tiempo en que muchas de estas fincas dejaron de tener un fin prioritariamente agrícola, es necesario atemperar esa realidad en el Registro de la Propiedad, de modo que los hijos de los titulares originales puedan continuar los procedimientos legales necesarios y finalmente poseer en calidad de dueños.</w:t>
      </w:r>
    </w:p>
    <w:p w14:paraId="759B36CD" w14:textId="505DC196" w:rsidR="00211D63" w:rsidRPr="009E1162" w:rsidRDefault="009E1162" w:rsidP="00211D63">
      <w:pPr>
        <w:spacing w:after="200" w:line="276" w:lineRule="auto"/>
        <w:ind w:firstLine="720"/>
        <w:jc w:val="both"/>
        <w:rPr>
          <w:rFonts w:ascii="Book Antiqua" w:hAnsi="Book Antiqua"/>
          <w:lang w:val="es-ES"/>
        </w:rPr>
      </w:pPr>
      <w:r>
        <w:rPr>
          <w:rFonts w:ascii="Book Antiqua" w:hAnsi="Book Antiqua"/>
          <w:lang w:val="es-ES"/>
        </w:rPr>
        <w:t>Las restricciones impuestas bajo el Título VI respondieron a un contexto histórico orientado a promover la agricultura en pequeños predios. Sin embargo, a lo largo de casi cuatro décadas desde la adquisición del predio por el matrimonio Sierra González-Méndez Rodríguez, han ocurrido grandes cambios sociales, económicos y demográficos en Puerto Rico y particularmente en la zona rural de Comerío. Los hijos y herederos de los titulares originales necesitan poder disponer libremente de sus predios, y las restricciones vigentes constituyen un impedimento que no se ajusta a la realidad actual.</w:t>
      </w:r>
    </w:p>
    <w:p w14:paraId="12124178" w14:textId="07FE4F67" w:rsidR="00B27E58" w:rsidRPr="009E1162" w:rsidRDefault="009E1162" w:rsidP="009E1162">
      <w:pPr>
        <w:spacing w:before="240" w:after="200" w:line="276" w:lineRule="auto"/>
        <w:jc w:val="center"/>
        <w:rPr>
          <w:rFonts w:ascii="Book Antiqua" w:hAnsi="Book Antiqua"/>
          <w:lang w:val="es-ES"/>
        </w:rPr>
      </w:pPr>
      <w:r>
        <w:rPr>
          <w:rFonts w:ascii="Book Antiqua" w:hAnsi="Book Antiqua"/>
          <w:b/>
          <w:bCs/>
          <w:lang w:val="es-ES"/>
        </w:rPr>
        <w:lastRenderedPageBreak/>
        <w:t>Autoridad de Tierras de Puerto Rico</w:t>
      </w:r>
    </w:p>
    <w:p w14:paraId="61665F06"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Es de conocimiento de esta Comisión que la Autoridad de Tierras de Puerto Rico (ATPR), corporación pública adscrita al Departamento de Agricultura creada al amparo de la Ley Núm. 26 de 1941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2F585F7E"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ATPR fundamenta dicha postura en que, según disponen la Ley Núm. 177 de 23 de octubre de 2014 y la Ley Núm. 113 de 29 de julio de 2024, su agencia se encuentra impedida legalmente de aprobar segregaciones a segundos y/o terceros titulares en fincas que fueron obtenidas bajo el Título VI, dado que sus titulares aceptaron las condiciones y restricciones de forma libre y voluntaria.</w:t>
      </w:r>
    </w:p>
    <w:p w14:paraId="6C543758"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15A87FD4"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No obstante la posición expresada por la Autoridad de Tierras, esta Comisión entiende que la aprobación de la R. C. de la C. 271 constituye un acto meritorio y de justicia para la viuda Doña Armanda Méndez Rodríguez y los herederos de Don Cruz Sierra González, quienes durante décadas han permanecido sujetos a restricciones que ya no cumplen el propósito para el cual fueron concebidas.</w:t>
      </w:r>
    </w:p>
    <w:p w14:paraId="7C3C98F1"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Asamblea Legislativa, como poder soberano del Estado Libre Asociado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3BC446D8"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 xml:space="preserve">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w:t>
      </w:r>
      <w:r>
        <w:rPr>
          <w:rFonts w:ascii="Book Antiqua" w:hAnsi="Book Antiqua"/>
          <w:lang w:val="es-ES"/>
        </w:rPr>
        <w:lastRenderedPageBreak/>
        <w:t>de los titulares y sus herederos. La presente medida es cónsona con dicha trayectoria legislativa.</w:t>
      </w:r>
    </w:p>
    <w:p w14:paraId="73DE9885"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En virtud de sus facultades legislativas, y luego de haber evaluado los méritos de la medida, la posición de la Autoridad de Tierras y las circunstancias particulares de este caso, la Comisión de Agricultura procede a recomendar la aprobación de la R. C. de la C. 271.</w:t>
      </w:r>
    </w:p>
    <w:p w14:paraId="3D8E0E2B"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IMPACTO FISCAL</w:t>
      </w:r>
    </w:p>
    <w:p w14:paraId="0DC25806" w14:textId="04C9D8D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 xml:space="preserve">La medida propuesta no conlleva impacto fiscal al erario público. La liberación de las condiciones y restricciones impuestas bajo el Título VI de la Ley de Tierras constituye un acto administrativo que no requiere asignaciones presupuestarias adicionales. </w:t>
      </w:r>
    </w:p>
    <w:p w14:paraId="73B78DD5"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CONCLUSIÓN</w:t>
      </w:r>
    </w:p>
    <w:p w14:paraId="63C9124C" w14:textId="6827780E" w:rsidR="00B27E58" w:rsidRPr="009E1162" w:rsidRDefault="009E1162" w:rsidP="009E1162">
      <w:pPr>
        <w:spacing w:after="600" w:line="276" w:lineRule="auto"/>
        <w:ind w:firstLine="720"/>
        <w:jc w:val="both"/>
        <w:rPr>
          <w:rFonts w:ascii="Book Antiqua" w:hAnsi="Book Antiqua"/>
          <w:lang w:val="es-ES"/>
        </w:rPr>
      </w:pPr>
      <w:r>
        <w:rPr>
          <w:rFonts w:ascii="Book Antiqua" w:hAnsi="Book Antiqua"/>
          <w:lang w:val="es-ES"/>
        </w:rPr>
        <w:t xml:space="preserve">Por todo lo antes expuesto, la Comisión de Agricultura de la Cámara de Representantes del Gobierno de Puerto Rico, previo estudio y consideración, tiene a bien someter su Informe con relación a la Resolución Conjunta de la Cámara 271, </w:t>
      </w:r>
      <w:r>
        <w:rPr>
          <w:rFonts w:ascii="Book Antiqua" w:hAnsi="Book Antiqua"/>
          <w:b/>
          <w:bCs/>
          <w:lang w:val="es-ES"/>
        </w:rPr>
        <w:t xml:space="preserve">recomendando su aprobación, </w:t>
      </w:r>
      <w:r w:rsidR="00211D63">
        <w:rPr>
          <w:rFonts w:ascii="Book Antiqua" w:hAnsi="Book Antiqua"/>
          <w:b/>
          <w:bCs/>
          <w:lang w:val="es-ES"/>
        </w:rPr>
        <w:t xml:space="preserve">con las </w:t>
      </w:r>
      <w:r>
        <w:rPr>
          <w:rFonts w:ascii="Book Antiqua" w:hAnsi="Book Antiqua"/>
          <w:b/>
          <w:bCs/>
          <w:lang w:val="es-ES"/>
        </w:rPr>
        <w:t>enmiendas</w:t>
      </w:r>
      <w:r w:rsidR="00211D63">
        <w:rPr>
          <w:rFonts w:ascii="Book Antiqua" w:hAnsi="Book Antiqua"/>
          <w:b/>
          <w:bCs/>
          <w:lang w:val="es-ES"/>
        </w:rPr>
        <w:t xml:space="preserve"> </w:t>
      </w:r>
      <w:r w:rsidR="00AF4A16">
        <w:rPr>
          <w:rFonts w:ascii="Book Antiqua" w:hAnsi="Book Antiqua"/>
          <w:b/>
          <w:bCs/>
          <w:lang w:val="es-ES"/>
        </w:rPr>
        <w:t xml:space="preserve">contenidas en el </w:t>
      </w:r>
      <w:proofErr w:type="spellStart"/>
      <w:r w:rsidR="00AF4A16">
        <w:rPr>
          <w:rFonts w:ascii="Book Antiqua" w:hAnsi="Book Antiqua"/>
          <w:b/>
          <w:bCs/>
          <w:lang w:val="es-ES"/>
        </w:rPr>
        <w:t>entirillado</w:t>
      </w:r>
      <w:proofErr w:type="spellEnd"/>
      <w:r w:rsidR="00AF4A16">
        <w:rPr>
          <w:rFonts w:ascii="Book Antiqua" w:hAnsi="Book Antiqua"/>
          <w:b/>
          <w:bCs/>
          <w:lang w:val="es-ES"/>
        </w:rPr>
        <w:t xml:space="preserve"> electrónico que se aneja a este Informe</w:t>
      </w:r>
      <w:r>
        <w:rPr>
          <w:rFonts w:ascii="Book Antiqua" w:hAnsi="Book Antiqua"/>
          <w:b/>
          <w:bCs/>
          <w:lang w:val="es-ES"/>
        </w:rPr>
        <w:t xml:space="preserve">. </w:t>
      </w:r>
    </w:p>
    <w:p w14:paraId="1B960417" w14:textId="77777777" w:rsidR="009E1162" w:rsidRDefault="009E1162">
      <w:pPr>
        <w:spacing w:after="40" w:line="276" w:lineRule="auto"/>
        <w:rPr>
          <w:rFonts w:ascii="Book Antiqua" w:hAnsi="Book Antiqua"/>
          <w:b/>
          <w:bCs/>
          <w:lang w:val="es-ES"/>
        </w:rPr>
      </w:pPr>
    </w:p>
    <w:p w14:paraId="33CFD96F" w14:textId="6F5B45EA" w:rsidR="00B27E58" w:rsidRPr="009E1162" w:rsidRDefault="009E1162" w:rsidP="00E73C46">
      <w:pPr>
        <w:spacing w:after="40" w:line="276" w:lineRule="auto"/>
        <w:jc w:val="center"/>
        <w:rPr>
          <w:rFonts w:ascii="Book Antiqua" w:hAnsi="Book Antiqua"/>
          <w:lang w:val="es-ES"/>
        </w:rPr>
      </w:pPr>
      <w:r>
        <w:rPr>
          <w:rFonts w:ascii="Book Antiqua" w:hAnsi="Book Antiqua"/>
          <w:b/>
          <w:bCs/>
          <w:lang w:val="es-ES"/>
        </w:rPr>
        <w:t>Hon. Joe “Joito” Colón Rodríguez</w:t>
      </w:r>
    </w:p>
    <w:p w14:paraId="47D53969" w14:textId="77777777" w:rsidR="00B27E58" w:rsidRPr="009E1162" w:rsidRDefault="009E1162" w:rsidP="00E73C46">
      <w:pPr>
        <w:spacing w:after="40" w:line="276" w:lineRule="auto"/>
        <w:jc w:val="center"/>
        <w:rPr>
          <w:rFonts w:ascii="Book Antiqua" w:hAnsi="Book Antiqua"/>
          <w:lang w:val="es-ES"/>
        </w:rPr>
      </w:pPr>
      <w:r>
        <w:rPr>
          <w:rFonts w:ascii="Book Antiqua" w:hAnsi="Book Antiqua"/>
          <w:b/>
          <w:bCs/>
          <w:lang w:val="es-ES"/>
        </w:rPr>
        <w:t>Presidente</w:t>
      </w:r>
    </w:p>
    <w:p w14:paraId="5A0852ED" w14:textId="77777777" w:rsidR="00B27E58" w:rsidRPr="009E1162" w:rsidRDefault="009E1162" w:rsidP="00E73C46">
      <w:pPr>
        <w:spacing w:after="200" w:line="276" w:lineRule="auto"/>
        <w:jc w:val="center"/>
        <w:rPr>
          <w:rFonts w:ascii="Book Antiqua" w:hAnsi="Book Antiqua"/>
          <w:lang w:val="es-ES"/>
        </w:rPr>
      </w:pPr>
      <w:r>
        <w:rPr>
          <w:rFonts w:ascii="Book Antiqua" w:hAnsi="Book Antiqua"/>
          <w:b/>
          <w:bCs/>
          <w:lang w:val="es-ES"/>
        </w:rPr>
        <w:t>Comisión de Agricultura</w:t>
      </w:r>
    </w:p>
    <w:sectPr w:rsidR="00B27E58" w:rsidRPr="009E1162" w:rsidSect="00C37DE0">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3770C" w14:textId="77777777" w:rsidR="00E507D6" w:rsidRDefault="00E507D6">
      <w:r>
        <w:separator/>
      </w:r>
    </w:p>
  </w:endnote>
  <w:endnote w:type="continuationSeparator" w:id="0">
    <w:p w14:paraId="5BBD74AE" w14:textId="77777777" w:rsidR="00E507D6" w:rsidRDefault="00E50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7B44E" w14:textId="77777777" w:rsidR="00E507D6" w:rsidRDefault="00E507D6">
      <w:r>
        <w:separator/>
      </w:r>
    </w:p>
  </w:footnote>
  <w:footnote w:type="continuationSeparator" w:id="0">
    <w:p w14:paraId="5CEC3E00" w14:textId="77777777" w:rsidR="00E507D6" w:rsidRDefault="00E50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9925149"/>
      <w:docPartObj>
        <w:docPartGallery w:val="Page Numbers (Top of Page)"/>
        <w:docPartUnique/>
      </w:docPartObj>
    </w:sdtPr>
    <w:sdtEndPr>
      <w:rPr>
        <w:rStyle w:val="PageNumber"/>
      </w:rPr>
    </w:sdtEndPr>
    <w:sdtContent>
      <w:p w14:paraId="459419C2" w14:textId="51E748C9" w:rsidR="00C37DE0" w:rsidRDefault="00C37DE0"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0D063DE" w14:textId="77777777" w:rsidR="00C37DE0" w:rsidRDefault="00C37DE0" w:rsidP="00C37DE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6691803"/>
      <w:docPartObj>
        <w:docPartGallery w:val="Page Numbers (Top of Page)"/>
        <w:docPartUnique/>
      </w:docPartObj>
    </w:sdtPr>
    <w:sdtEndPr>
      <w:rPr>
        <w:rStyle w:val="PageNumber"/>
      </w:rPr>
    </w:sdtEndPr>
    <w:sdtContent>
      <w:p w14:paraId="3BB50447" w14:textId="65C68D24" w:rsidR="00C37DE0" w:rsidRDefault="00C37DE0"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64E7A41" w14:textId="77777777" w:rsidR="00C37DE0" w:rsidRDefault="00C37DE0" w:rsidP="00C37DE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C2EAF"/>
    <w:multiLevelType w:val="hybridMultilevel"/>
    <w:tmpl w:val="71043EE4"/>
    <w:lvl w:ilvl="0" w:tplc="02885292">
      <w:start w:val="1"/>
      <w:numFmt w:val="bullet"/>
      <w:lvlText w:val="●"/>
      <w:lvlJc w:val="left"/>
      <w:pPr>
        <w:ind w:left="720" w:hanging="360"/>
      </w:pPr>
    </w:lvl>
    <w:lvl w:ilvl="1" w:tplc="25FEC6FE">
      <w:start w:val="1"/>
      <w:numFmt w:val="bullet"/>
      <w:lvlText w:val="○"/>
      <w:lvlJc w:val="left"/>
      <w:pPr>
        <w:ind w:left="1440" w:hanging="360"/>
      </w:pPr>
    </w:lvl>
    <w:lvl w:ilvl="2" w:tplc="898092C2">
      <w:start w:val="1"/>
      <w:numFmt w:val="bullet"/>
      <w:lvlText w:val="■"/>
      <w:lvlJc w:val="left"/>
      <w:pPr>
        <w:ind w:left="2160" w:hanging="360"/>
      </w:pPr>
    </w:lvl>
    <w:lvl w:ilvl="3" w:tplc="81C03B06">
      <w:start w:val="1"/>
      <w:numFmt w:val="bullet"/>
      <w:lvlText w:val="●"/>
      <w:lvlJc w:val="left"/>
      <w:pPr>
        <w:ind w:left="2880" w:hanging="360"/>
      </w:pPr>
    </w:lvl>
    <w:lvl w:ilvl="4" w:tplc="B8E6DA62">
      <w:start w:val="1"/>
      <w:numFmt w:val="bullet"/>
      <w:lvlText w:val="○"/>
      <w:lvlJc w:val="left"/>
      <w:pPr>
        <w:ind w:left="3600" w:hanging="360"/>
      </w:pPr>
    </w:lvl>
    <w:lvl w:ilvl="5" w:tplc="6DA2803E">
      <w:start w:val="1"/>
      <w:numFmt w:val="bullet"/>
      <w:lvlText w:val="■"/>
      <w:lvlJc w:val="left"/>
      <w:pPr>
        <w:ind w:left="4320" w:hanging="360"/>
      </w:pPr>
    </w:lvl>
    <w:lvl w:ilvl="6" w:tplc="607CFAF0">
      <w:start w:val="1"/>
      <w:numFmt w:val="bullet"/>
      <w:lvlText w:val="●"/>
      <w:lvlJc w:val="left"/>
      <w:pPr>
        <w:ind w:left="5040" w:hanging="360"/>
      </w:pPr>
    </w:lvl>
    <w:lvl w:ilvl="7" w:tplc="5DAE30F2">
      <w:start w:val="1"/>
      <w:numFmt w:val="bullet"/>
      <w:lvlText w:val="●"/>
      <w:lvlJc w:val="left"/>
      <w:pPr>
        <w:ind w:left="5760" w:hanging="360"/>
      </w:pPr>
    </w:lvl>
    <w:lvl w:ilvl="8" w:tplc="160046F4">
      <w:start w:val="1"/>
      <w:numFmt w:val="bullet"/>
      <w:lvlText w:val="●"/>
      <w:lvlJc w:val="left"/>
      <w:pPr>
        <w:ind w:left="6480" w:hanging="360"/>
      </w:pPr>
    </w:lvl>
  </w:abstractNum>
  <w:num w:numId="1" w16cid:durableId="9534864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E58"/>
    <w:rsid w:val="00055070"/>
    <w:rsid w:val="001D56A3"/>
    <w:rsid w:val="00211D63"/>
    <w:rsid w:val="00574734"/>
    <w:rsid w:val="005D4C89"/>
    <w:rsid w:val="0071618E"/>
    <w:rsid w:val="009E1162"/>
    <w:rsid w:val="00AF4A16"/>
    <w:rsid w:val="00B27E58"/>
    <w:rsid w:val="00C37DE0"/>
    <w:rsid w:val="00CA66CF"/>
    <w:rsid w:val="00E507D6"/>
    <w:rsid w:val="00E50E4F"/>
    <w:rsid w:val="00E73C46"/>
    <w:rsid w:val="00ED5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19B91"/>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customStyle="1" w:styleId="Heading1Char">
    <w:name w:val="Heading 1 Char"/>
    <w:basedOn w:val="DefaultParagraphFont"/>
    <w:link w:val="Heading1"/>
    <w:uiPriority w:val="9"/>
    <w:rsid w:val="009E1162"/>
    <w:rPr>
      <w:color w:val="2E74B5"/>
      <w:sz w:val="32"/>
      <w:szCs w:val="32"/>
    </w:rPr>
  </w:style>
  <w:style w:type="paragraph" w:customStyle="1" w:styleId="Title2">
    <w:name w:val="Title2"/>
    <w:basedOn w:val="Normal"/>
    <w:next w:val="Normal"/>
    <w:rsid w:val="009E1162"/>
    <w:pPr>
      <w:tabs>
        <w:tab w:val="left" w:pos="648"/>
        <w:tab w:val="right" w:pos="7776"/>
        <w:tab w:val="left" w:pos="7848"/>
      </w:tabs>
    </w:pPr>
    <w:rPr>
      <w:rFonts w:eastAsia="Batang"/>
      <w:szCs w:val="20"/>
    </w:rPr>
  </w:style>
  <w:style w:type="paragraph" w:styleId="Header">
    <w:name w:val="header"/>
    <w:basedOn w:val="Normal"/>
    <w:link w:val="HeaderChar"/>
    <w:uiPriority w:val="99"/>
    <w:unhideWhenUsed/>
    <w:rsid w:val="009E1162"/>
    <w:pPr>
      <w:tabs>
        <w:tab w:val="center" w:pos="4680"/>
        <w:tab w:val="right" w:pos="9360"/>
      </w:tabs>
    </w:pPr>
  </w:style>
  <w:style w:type="character" w:customStyle="1" w:styleId="HeaderChar">
    <w:name w:val="Header Char"/>
    <w:basedOn w:val="DefaultParagraphFont"/>
    <w:link w:val="Header"/>
    <w:uiPriority w:val="99"/>
    <w:rsid w:val="009E1162"/>
  </w:style>
  <w:style w:type="paragraph" w:styleId="Footer">
    <w:name w:val="footer"/>
    <w:basedOn w:val="Normal"/>
    <w:link w:val="FooterChar"/>
    <w:uiPriority w:val="99"/>
    <w:unhideWhenUsed/>
    <w:rsid w:val="009E1162"/>
    <w:pPr>
      <w:tabs>
        <w:tab w:val="center" w:pos="4680"/>
        <w:tab w:val="right" w:pos="9360"/>
      </w:tabs>
    </w:pPr>
  </w:style>
  <w:style w:type="character" w:customStyle="1" w:styleId="FooterChar">
    <w:name w:val="Footer Char"/>
    <w:basedOn w:val="DefaultParagraphFont"/>
    <w:link w:val="Footer"/>
    <w:uiPriority w:val="99"/>
    <w:rsid w:val="009E1162"/>
  </w:style>
  <w:style w:type="character" w:styleId="PageNumber">
    <w:name w:val="page number"/>
    <w:basedOn w:val="DefaultParagraphFont"/>
    <w:uiPriority w:val="99"/>
    <w:semiHidden/>
    <w:unhideWhenUsed/>
    <w:rsid w:val="00C37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1268</Words>
  <Characters>6703</Characters>
  <Application>Microsoft Office Word</Application>
  <DocSecurity>4</DocSecurity>
  <Lines>120</Lines>
  <Paragraphs>31</Paragraphs>
  <ScaleCrop>false</ScaleCrop>
  <Company/>
  <LinksUpToDate>false</LinksUpToDate>
  <CharactersWithSpaces>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2026-03-17T18:39:00Z</dcterms:created>
  <dcterms:modified xsi:type="dcterms:W3CDTF">2026-03-17T18:39:00Z</dcterms:modified>
</cp:coreProperties>
</file>