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F3002" w14:textId="77777777" w:rsidR="009E1162" w:rsidRPr="000D67E8" w:rsidRDefault="009E1162" w:rsidP="009E1162">
      <w:pPr>
        <w:jc w:val="center"/>
        <w:rPr>
          <w:rFonts w:ascii="Book Antiqua" w:hAnsi="Book Antiqua"/>
          <w:sz w:val="28"/>
          <w:szCs w:val="28"/>
          <w:lang w:val="es-ES"/>
        </w:rPr>
      </w:pPr>
      <w:r>
        <w:rPr>
          <w:rFonts w:ascii="Book Antiqua" w:hAnsi="Book Antiqua"/>
          <w:sz w:val="28"/>
          <w:szCs w:val="28"/>
          <w:lang w:val="es-ES"/>
        </w:rPr>
        <w:t>GOBIERNO DE PUERTO RICO</w:t>
      </w:r>
    </w:p>
    <w:p w14:paraId="2C116B7C" w14:textId="77777777" w:rsidR="009E1162" w:rsidRPr="000D67E8" w:rsidRDefault="009E1162" w:rsidP="009E1162">
      <w:pPr>
        <w:jc w:val="center"/>
        <w:rPr>
          <w:rFonts w:ascii="Book Antiqua" w:hAnsi="Book Antiqua"/>
          <w:lang w:val="es-ES"/>
        </w:rPr>
      </w:pPr>
    </w:p>
    <w:p w14:paraId="33554036" w14:textId="77777777" w:rsidR="009E1162" w:rsidRPr="000D67E8" w:rsidRDefault="009E1162" w:rsidP="009E1162">
      <w:pPr>
        <w:pStyle w:val="Title2"/>
        <w:rPr>
          <w:rFonts w:ascii="Book Antiqua" w:hAnsi="Book Antiqua"/>
          <w:szCs w:val="24"/>
          <w:lang w:val="es-ES"/>
        </w:rPr>
      </w:pPr>
      <w:r>
        <w:rPr>
          <w:rFonts w:ascii="Book Antiqua" w:hAnsi="Book Antiqua"/>
          <w:szCs w:val="24"/>
          <w:lang w:val="es-ES"/>
        </w:rPr>
        <w:t>20ma Asamblea</w:t>
      </w:r>
      <w:r>
        <w:rPr>
          <w:rFonts w:ascii="Book Antiqua" w:hAnsi="Book Antiqua"/>
          <w:szCs w:val="24"/>
          <w:lang w:val="es-ES"/>
        </w:rPr>
        <w:tab/>
        <w:t>3ra</w:t>
      </w:r>
      <w:r>
        <w:rPr>
          <w:rFonts w:ascii="Book Antiqua" w:hAnsi="Book Antiqua"/>
          <w:szCs w:val="24"/>
          <w:lang w:val="es-ES"/>
        </w:rPr>
        <w:tab/>
      </w:r>
      <w:r>
        <w:rPr>
          <w:rFonts w:ascii="Book Antiqua" w:hAnsi="Book Antiqua"/>
          <w:szCs w:val="24"/>
          <w:lang w:val="es-ES"/>
        </w:rPr>
        <w:tab/>
        <w:t>Sesión</w:t>
      </w:r>
    </w:p>
    <w:p w14:paraId="688D36BD" w14:textId="77777777" w:rsidR="009E1162" w:rsidRPr="000D67E8" w:rsidRDefault="009E1162" w:rsidP="009E1162">
      <w:pPr>
        <w:pStyle w:val="Title2"/>
        <w:rPr>
          <w:rFonts w:ascii="Book Antiqua" w:hAnsi="Book Antiqua"/>
          <w:lang w:val="es-ES"/>
        </w:rPr>
      </w:pPr>
      <w:r>
        <w:rPr>
          <w:rFonts w:ascii="Book Antiqua" w:hAnsi="Book Antiqua"/>
          <w:lang w:val="es-ES"/>
        </w:rPr>
        <w:tab/>
        <w:t xml:space="preserve">Legislativa </w:t>
      </w:r>
      <w:r>
        <w:rPr>
          <w:rFonts w:ascii="Book Antiqua" w:hAnsi="Book Antiqua"/>
          <w:lang w:val="es-ES"/>
        </w:rPr>
        <w:tab/>
      </w:r>
      <w:r>
        <w:rPr>
          <w:rFonts w:ascii="Book Antiqua" w:hAnsi="Book Antiqua"/>
          <w:lang w:val="es-ES"/>
        </w:rPr>
        <w:tab/>
      </w:r>
      <w:r>
        <w:rPr>
          <w:rFonts w:ascii="Book Antiqua" w:hAnsi="Book Antiqua"/>
          <w:lang w:val="es-ES"/>
        </w:rPr>
        <w:tab/>
        <w:t>Ordinaria</w:t>
      </w:r>
    </w:p>
    <w:p w14:paraId="0C79CE10" w14:textId="77777777" w:rsidR="009E1162" w:rsidRPr="000D67E8" w:rsidRDefault="009E1162" w:rsidP="009E1162">
      <w:pPr>
        <w:rPr>
          <w:rFonts w:ascii="Book Antiqua" w:hAnsi="Book Antiqua"/>
          <w:lang w:val="es-ES"/>
        </w:rPr>
      </w:pPr>
    </w:p>
    <w:p w14:paraId="37E2EC11" w14:textId="77777777" w:rsidR="009E1162" w:rsidRPr="000D67E8" w:rsidRDefault="009E1162" w:rsidP="009E1162">
      <w:pPr>
        <w:suppressLineNumbers/>
        <w:jc w:val="center"/>
        <w:rPr>
          <w:rFonts w:ascii="Book Antiqua" w:hAnsi="Book Antiqua"/>
          <w:b/>
          <w:sz w:val="36"/>
          <w:szCs w:val="36"/>
          <w:lang w:val="es-ES"/>
        </w:rPr>
      </w:pPr>
      <w:r>
        <w:rPr>
          <w:rFonts w:ascii="Book Antiqua" w:hAnsi="Book Antiqua"/>
          <w:b/>
          <w:sz w:val="36"/>
          <w:szCs w:val="36"/>
          <w:lang w:val="es-ES"/>
        </w:rPr>
        <w:t xml:space="preserve">CÁMARA DE REPRESENTANTES </w:t>
      </w:r>
    </w:p>
    <w:p w14:paraId="1787211E" w14:textId="77777777" w:rsidR="009E1162" w:rsidRPr="000D67E8" w:rsidRDefault="009E1162" w:rsidP="009E1162">
      <w:pPr>
        <w:rPr>
          <w:rFonts w:ascii="Book Antiqua" w:hAnsi="Book Antiqua"/>
          <w:sz w:val="32"/>
          <w:lang w:val="es-ES"/>
        </w:rPr>
      </w:pPr>
    </w:p>
    <w:p w14:paraId="360E46AE" w14:textId="024957B8" w:rsidR="009E1162" w:rsidRPr="000D67E8" w:rsidRDefault="009E1162" w:rsidP="009E1162">
      <w:pPr>
        <w:suppressLineNumbers/>
        <w:jc w:val="center"/>
        <w:rPr>
          <w:rFonts w:ascii="Book Antiqua" w:hAnsi="Book Antiqua"/>
          <w:b/>
          <w:sz w:val="52"/>
          <w:szCs w:val="52"/>
          <w:lang w:val="es-ES"/>
        </w:rPr>
      </w:pPr>
      <w:r>
        <w:rPr>
          <w:rFonts w:ascii="Book Antiqua" w:hAnsi="Book Antiqua"/>
          <w:b/>
          <w:sz w:val="52"/>
          <w:szCs w:val="52"/>
          <w:lang w:val="es-ES"/>
        </w:rPr>
        <w:t>R. C. de la C. 273</w:t>
      </w:r>
    </w:p>
    <w:p w14:paraId="5CBA3F53" w14:textId="77777777" w:rsidR="009E1162" w:rsidRDefault="009E1162" w:rsidP="009E1162">
      <w:pPr>
        <w:pStyle w:val="Heading1"/>
        <w:jc w:val="center"/>
        <w:rPr>
          <w:rFonts w:ascii="Book Antiqua" w:hAnsi="Book Antiqua"/>
          <w:color w:val="auto"/>
          <w:lang w:val="es-ES"/>
        </w:rPr>
      </w:pPr>
    </w:p>
    <w:p w14:paraId="701C433E" w14:textId="77777777" w:rsidR="009E1162" w:rsidRPr="00144431" w:rsidRDefault="009E1162" w:rsidP="009E1162">
      <w:pPr>
        <w:pStyle w:val="Heading1"/>
        <w:jc w:val="center"/>
        <w:rPr>
          <w:rFonts w:ascii="Book Antiqua" w:hAnsi="Book Antiqua"/>
          <w:color w:val="auto"/>
          <w:lang w:val="es-ES"/>
        </w:rPr>
      </w:pPr>
      <w:r>
        <w:rPr>
          <w:rFonts w:ascii="Book Antiqua" w:hAnsi="Book Antiqua"/>
          <w:color w:val="auto"/>
          <w:lang w:val="es-ES"/>
        </w:rPr>
        <w:t>INFORME POSITIVO</w:t>
      </w:r>
    </w:p>
    <w:p w14:paraId="074C978A" w14:textId="77777777" w:rsidR="009E1162" w:rsidRPr="000D67E8" w:rsidRDefault="009E1162" w:rsidP="009E1162">
      <w:pPr>
        <w:rPr>
          <w:rFonts w:ascii="Book Antiqua" w:hAnsi="Book Antiqua"/>
          <w:lang w:val="es-ES"/>
        </w:rPr>
      </w:pPr>
    </w:p>
    <w:p w14:paraId="205E3FE8" w14:textId="475D71C1" w:rsidR="009E1162" w:rsidRPr="000D67E8" w:rsidRDefault="001053B5" w:rsidP="009E1162">
      <w:pPr>
        <w:jc w:val="center"/>
        <w:rPr>
          <w:rFonts w:ascii="Book Antiqua" w:hAnsi="Book Antiqua"/>
          <w:smallCaps/>
          <w:lang w:val="es-ES"/>
        </w:rPr>
      </w:pPr>
      <w:r>
        <w:rPr>
          <w:rFonts w:ascii="Book Antiqua" w:hAnsi="Book Antiqua"/>
          <w:smallCaps/>
          <w:lang w:val="es-ES"/>
        </w:rPr>
        <w:t>17</w:t>
      </w:r>
      <w:r w:rsidR="009E1162">
        <w:rPr>
          <w:rFonts w:ascii="Book Antiqua" w:hAnsi="Book Antiqua"/>
          <w:smallCaps/>
          <w:lang w:val="es-ES"/>
        </w:rPr>
        <w:t xml:space="preserve"> de marzo de 2026</w:t>
      </w:r>
    </w:p>
    <w:p w14:paraId="5AC678A7" w14:textId="77777777" w:rsidR="009E1162" w:rsidRDefault="009E1162" w:rsidP="009E1162">
      <w:pPr>
        <w:spacing w:after="300" w:line="276" w:lineRule="auto"/>
        <w:jc w:val="both"/>
        <w:rPr>
          <w:rFonts w:ascii="Book Antiqua" w:hAnsi="Book Antiqua"/>
          <w:b/>
          <w:bCs/>
          <w:lang w:val="es-ES"/>
        </w:rPr>
      </w:pPr>
    </w:p>
    <w:p w14:paraId="2FAC5B24" w14:textId="77777777" w:rsidR="00B27E58" w:rsidRPr="009E1162" w:rsidRDefault="009E1162">
      <w:pPr>
        <w:spacing w:after="300" w:line="276" w:lineRule="auto"/>
        <w:jc w:val="both"/>
        <w:rPr>
          <w:rFonts w:ascii="Book Antiqua" w:hAnsi="Book Antiqua"/>
          <w:lang w:val="es-ES"/>
        </w:rPr>
      </w:pPr>
      <w:r>
        <w:rPr>
          <w:rFonts w:ascii="Book Antiqua" w:hAnsi="Book Antiqua"/>
          <w:b/>
          <w:bCs/>
          <w:lang w:val="es-ES"/>
        </w:rPr>
        <w:t>A LA CÁMARA DE REPRESENTANTES DE PUERTO RICO:</w:t>
      </w:r>
    </w:p>
    <w:p w14:paraId="02312F80" w14:textId="78263C10"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 xml:space="preserve">La Comisión de Agricultura de la Cámara de Representantes del </w:t>
      </w:r>
      <w:r w:rsidR="00794DAD">
        <w:rPr>
          <w:rFonts w:ascii="Book Antiqua" w:hAnsi="Book Antiqua"/>
          <w:lang w:val="es-ES"/>
        </w:rPr>
        <w:t xml:space="preserve">Gobierno </w:t>
      </w:r>
      <w:r>
        <w:rPr>
          <w:rFonts w:ascii="Book Antiqua" w:hAnsi="Book Antiqua"/>
          <w:lang w:val="es-ES"/>
        </w:rPr>
        <w:t xml:space="preserve">de Puerto Rico, previo estudio y consideración de la Resolución Conjunta de la Cámara 273, tiene el honor de recomendar a este Honorable Cuerpo Legislativo su aprobación, </w:t>
      </w:r>
      <w:r w:rsidR="008C7077">
        <w:rPr>
          <w:rFonts w:ascii="Book Antiqua" w:hAnsi="Book Antiqua"/>
          <w:lang w:val="es-ES"/>
        </w:rPr>
        <w:t xml:space="preserve">con las </w:t>
      </w:r>
      <w:r>
        <w:rPr>
          <w:rFonts w:ascii="Book Antiqua" w:hAnsi="Book Antiqua"/>
          <w:lang w:val="es-ES"/>
        </w:rPr>
        <w:t>enmiendas</w:t>
      </w:r>
      <w:r w:rsidR="008C7077">
        <w:rPr>
          <w:rFonts w:ascii="Book Antiqua" w:hAnsi="Book Antiqua"/>
          <w:lang w:val="es-ES"/>
        </w:rPr>
        <w:t xml:space="preserve"> contenidas en el </w:t>
      </w:r>
      <w:proofErr w:type="spellStart"/>
      <w:r w:rsidR="008C7077">
        <w:rPr>
          <w:rFonts w:ascii="Book Antiqua" w:hAnsi="Book Antiqua"/>
          <w:lang w:val="es-ES"/>
        </w:rPr>
        <w:t>entirillado</w:t>
      </w:r>
      <w:proofErr w:type="spellEnd"/>
      <w:r w:rsidR="008C7077">
        <w:rPr>
          <w:rFonts w:ascii="Book Antiqua" w:hAnsi="Book Antiqua"/>
          <w:lang w:val="es-ES"/>
        </w:rPr>
        <w:t xml:space="preserve"> electrónico que se aneja a este Informe</w:t>
      </w:r>
      <w:r>
        <w:rPr>
          <w:rFonts w:ascii="Book Antiqua" w:hAnsi="Book Antiqua"/>
          <w:lang w:val="es-ES"/>
        </w:rPr>
        <w:t>.</w:t>
      </w:r>
    </w:p>
    <w:p w14:paraId="33F7F68D" w14:textId="77777777" w:rsidR="00B27E58" w:rsidRPr="009E1162" w:rsidRDefault="009E1162" w:rsidP="009E1162">
      <w:pPr>
        <w:spacing w:before="360" w:after="200"/>
        <w:jc w:val="center"/>
        <w:rPr>
          <w:rFonts w:ascii="Book Antiqua" w:hAnsi="Book Antiqua"/>
          <w:lang w:val="es-ES"/>
        </w:rPr>
      </w:pPr>
      <w:r>
        <w:rPr>
          <w:rFonts w:ascii="Book Antiqua" w:hAnsi="Book Antiqua"/>
          <w:b/>
          <w:bCs/>
          <w:caps/>
          <w:lang w:val="es-ES"/>
        </w:rPr>
        <w:t>ALCANCE DE LA MEDIDA</w:t>
      </w:r>
    </w:p>
    <w:p w14:paraId="4ABA49C7" w14:textId="7A22114A" w:rsidR="00B27E58" w:rsidRDefault="009E1162" w:rsidP="009E1162">
      <w:pPr>
        <w:spacing w:after="200" w:line="276" w:lineRule="auto"/>
        <w:ind w:firstLine="720"/>
        <w:jc w:val="both"/>
        <w:rPr>
          <w:rFonts w:ascii="Book Antiqua" w:hAnsi="Book Antiqua"/>
          <w:lang w:val="es-ES"/>
        </w:rPr>
      </w:pPr>
      <w:r>
        <w:rPr>
          <w:rFonts w:ascii="Book Antiqua" w:hAnsi="Book Antiqua"/>
          <w:lang w:val="es-ES"/>
        </w:rPr>
        <w:t>La Resolución Conjunta de la Cámara 273 ordena al Departamento de Agricultura y a la Junta de Planificación de Puerto Rico a proceder con la liberación de las restricciones y condiciones sobre preservación e indivisión previamente impuestas y anotadas, según dispuesto por la Ley Núm. 107 de 3 de julio de 1974, según enmendada, del predio de terreno marcado con el número dieciocho (18) en el Plano de Subdivisión de la finca “Vega Redonda”, según consta en la Escritura de Compraventa con Restricciones Número 83, otorgada en San Juan, Puerto Rico, el 15 de noviembre de 1979, ante el Notario Público Bolívar Ramos Rivera, sobre la Finca Número Seis Mil Quinientos (6,500), inscrita al Folio Número Ciento Setenta y Ocho (178) del Tomo Ciento Sesenta y Uno (161) de Comerío, en el Registro de la Propiedad de Barranquitas, Inscripción Primera.</w:t>
      </w:r>
    </w:p>
    <w:p w14:paraId="3B25BB16" w14:textId="77777777" w:rsidR="008C7077" w:rsidRDefault="008C7077" w:rsidP="009E1162">
      <w:pPr>
        <w:spacing w:after="200" w:line="276" w:lineRule="auto"/>
        <w:ind w:firstLine="720"/>
        <w:jc w:val="both"/>
        <w:rPr>
          <w:rFonts w:ascii="Book Antiqua" w:hAnsi="Book Antiqua"/>
          <w:lang w:val="es-ES"/>
        </w:rPr>
      </w:pPr>
    </w:p>
    <w:p w14:paraId="26200216" w14:textId="77777777" w:rsidR="008C7077" w:rsidRPr="009E1162" w:rsidRDefault="008C7077" w:rsidP="009E1162">
      <w:pPr>
        <w:spacing w:after="200" w:line="276" w:lineRule="auto"/>
        <w:ind w:firstLine="720"/>
        <w:jc w:val="both"/>
        <w:rPr>
          <w:rFonts w:ascii="Book Antiqua" w:hAnsi="Book Antiqua"/>
          <w:lang w:val="es-ES"/>
        </w:rPr>
      </w:pPr>
    </w:p>
    <w:p w14:paraId="67AD3DDE" w14:textId="77777777" w:rsidR="00B27E58" w:rsidRPr="009E1162" w:rsidRDefault="009E1162" w:rsidP="009E1162">
      <w:pPr>
        <w:spacing w:before="360" w:after="200"/>
        <w:jc w:val="center"/>
        <w:rPr>
          <w:rFonts w:ascii="Book Antiqua" w:hAnsi="Book Antiqua"/>
          <w:lang w:val="es-ES"/>
        </w:rPr>
      </w:pPr>
      <w:r>
        <w:rPr>
          <w:rFonts w:ascii="Book Antiqua" w:hAnsi="Book Antiqua"/>
          <w:b/>
          <w:bCs/>
          <w:caps/>
          <w:lang w:val="es-ES"/>
        </w:rPr>
        <w:lastRenderedPageBreak/>
        <w:t>ANÁLISIS DE LA MEDIDA</w:t>
      </w:r>
    </w:p>
    <w:p w14:paraId="7C2B6109"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La Ley Núm. 107 de 3 de julio de 1974, según enmendada, creó el Programa de Fincas de Tipo Familiar, conocido como “Título VI de la Ley de Tierras”. Conforme a dicha disposición legal, el Secretario de Agricultura está facultado para disponer de terrenos para uso agrícola mediante cesión, venta, arrendamiento o usufructo, bajo una serie de condiciones y restricciones que incluyen prohibiciones de segregación y de cambio de uso agrícola. La propia Ley Núm. 107, en su Artículo 3, reconoce la facultad inherente de la Asamblea Legislativa para ordenar la liberación de dichas restricciones en aquellos casos que lo estimare meritorio.</w:t>
      </w:r>
    </w:p>
    <w:p w14:paraId="27368BFC"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Mediante Escritura de Compraventa con Restricciones Número 83, otorgada el 15 de noviembre de 1979 en San Juan, Puerto Rico, ante el Notario Público Bolívar Ramos Rivera, le fue otorgada al matrimonio de Don Ramón Alvelo Torres y Doña Sofía Rolón Fontánez la titularidad del predio de terreno objeto de esta medida, bajo el Programa de Fincas Familiares, con las respectivas restricciones establecidas en la Ley Núm. 107. El predio está inscrito como Finca Número 6,500, al Folio Número 178 del Tomo 161 de Comerío, en el Registro de la Propiedad de Barranquitas, Inscripción Primera. Dicho inmueble fue transferido sujeto a las condiciones y restricciones impuestas por la referida ley.</w:t>
      </w:r>
    </w:p>
    <w:p w14:paraId="72A503CF"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Ambos titulares originales, Don Ramón Alvelo Torres y Doña Sofía Rolón Fontánez, fallecieron. La Exposición de Motivos de la medida establece que, en su origen, la finalidad del Programa de Fincas de Tipo Familiar era promover la agricultura en pequeños predios. No obstante, a lo largo de más de cinco décadas de cambios sociales, económicos y demográficos en Puerto Rico, los hijos de aquellos primeros beneficiarios del Programa necesitaron un lugar donde vivir y desarrollarse, ampliando el entorno a través del establecimiento de comunidades en dichas tierras. Hoy, transcurrido el tiempo en que muchas de estas fincas dejaron de tener un fin prioritariamente agrícola, es necesario atemperar esa realidad en el Registro de la Propiedad, de modo que los hijos de los titulares originales puedan continuar los procedimientos legales necesarios y finalmente poseer en calidad de dueños.</w:t>
      </w:r>
    </w:p>
    <w:p w14:paraId="3F8FFE0E"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 xml:space="preserve">Las restricciones impuestas bajo el Título VI respondieron a un contexto histórico orientado a promover la agricultura en pequeños predios. Sin embargo, a lo largo de más de cuatro décadas desde la adquisición del predio por el matrimonio Alvelo Torres-Rolón Fontánez, han ocurrido grandes cambios sociales, económicos y demográficos en Puerto Rico y particularmente en la zona rural de Comerío. Los hijos y herederos de los titulares </w:t>
      </w:r>
      <w:r>
        <w:rPr>
          <w:rFonts w:ascii="Book Antiqua" w:hAnsi="Book Antiqua"/>
          <w:lang w:val="es-ES"/>
        </w:rPr>
        <w:lastRenderedPageBreak/>
        <w:t>originales necesitan poder disponer libremente de sus predios, y las restricciones vigentes constituyen un impedimento que no se ajusta a la realidad actual.</w:t>
      </w:r>
    </w:p>
    <w:p w14:paraId="12124178" w14:textId="07FE4F67" w:rsidR="00B27E58" w:rsidRPr="009E1162" w:rsidRDefault="009E1162" w:rsidP="009E1162">
      <w:pPr>
        <w:spacing w:before="240" w:after="200" w:line="276" w:lineRule="auto"/>
        <w:jc w:val="center"/>
        <w:rPr>
          <w:rFonts w:ascii="Book Antiqua" w:hAnsi="Book Antiqua"/>
          <w:lang w:val="es-ES"/>
        </w:rPr>
      </w:pPr>
      <w:r>
        <w:rPr>
          <w:rFonts w:ascii="Book Antiqua" w:hAnsi="Book Antiqua"/>
          <w:b/>
          <w:bCs/>
          <w:lang w:val="es-ES"/>
        </w:rPr>
        <w:t>Autoridad de Tierras de Puerto Rico</w:t>
      </w:r>
    </w:p>
    <w:p w14:paraId="61665F06"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Es de conocimiento de esta Comisión que la Autoridad de Tierras de Puerto Rico (ATPR), corporación pública adscrita al Departamento de Agricultura creada al amparo de la Ley Núm. 26 de 1941 y a cargo de la administración del Programa de Fincas de Tipo Familiar desde el Plan de Reorganización Núm. 4 del 29 de julio de 2010, ha mantenido de manera consistente la posición de recomendar desfavorablemente las resoluciones conjuntas que buscan la liberación de restricciones y condiciones de uso agrícola impuestas bajo el Título VI de la Ley de Tierras.</w:t>
      </w:r>
    </w:p>
    <w:p w14:paraId="2F585F7E"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La ATPR fundamenta dicha postura en que, según disponen la Ley Núm. 177 de 23 de octubre de 2014 y la Ley Núm. 113 de 29 de julio de 2024, su agencia se encuentra impedida legalmente de aprobar segregaciones a segundos y/o terceros titulares en fincas que fueron obtenidas bajo el Título VI, dado que sus titulares aceptaron las condiciones y restricciones de forma libre y voluntaria.</w:t>
      </w:r>
    </w:p>
    <w:p w14:paraId="6C543758"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Esta Comisión ha tenido la oportunidad de evaluar múltiples memoriales de la Autoridad de Tierras en medidas análogas y ha constatado que dicha entidad asume sistemáticamente la misma posición en todos los casos que pretenden el mismo propósito de liberar restricciones sobre terrenos del Programa de Fincas de Tipo Familiar.</w:t>
      </w:r>
    </w:p>
    <w:p w14:paraId="15A87FD4"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No obstante la posición expresada por la Autoridad de Tierras, esta Comisión entiende que la aprobación de la R. C. de la C. 273 constituye un acto meritorio y de justicia para los herederos de Don Ramón Alvelo Torres y Doña Sofía Rolón Fontánez, quienes durante décadas han permanecido sujetos a restricciones que ya no cumplen el propósito para el cual fueron concebidas.</w:t>
      </w:r>
    </w:p>
    <w:p w14:paraId="7C3C98F1"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La Asamblea Legislativa, como poder soberano del Estado Libre Asociado de Puerto Rico, tiene la facultad constitucional de ordenar la liberación de condiciones y restricciones cuando el interés público así lo demande. Esta facultad está expresamente reconocida en el propio Artículo 3 de la Ley Núm. 107 de 1974, que dispone que la Asamblea Legislativa podrá liberar las restricciones en aquellos casos que estime meritorios. La realidad fáctica del predio demuestra que las condiciones originales del Título VI ya no responden al uso actual del terreno ni a las necesidades de sus titulares y descendientes.</w:t>
      </w:r>
    </w:p>
    <w:p w14:paraId="3BC446D8"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lastRenderedPageBreak/>
        <w:t>Resulta pertinente señalar que esta Asamblea Legislativa ha ejercido consistentemente esta facultad al aprobar múltiples resoluciones conjuntas de naturaleza similar en legislaturas anteriores, reconociendo que las condiciones originales del Programa de Fincas de Tipo Familiar ya no responden a la realidad social y económica de los titulares y sus herederos. La presente medida es cónsona con dicha trayectoria legislativa.</w:t>
      </w:r>
    </w:p>
    <w:p w14:paraId="73DE9885"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En virtud de sus facultades legislativas, y luego de haber evaluado los méritos de la medida, la posición de la Autoridad de Tierras y las circunstancias particulares de este caso, la Comisión de Agricultura procede a recomendar la aprobación de la R. C. de la C. 273.</w:t>
      </w:r>
    </w:p>
    <w:p w14:paraId="3D8E0E2B" w14:textId="77777777" w:rsidR="00B27E58" w:rsidRPr="009E1162" w:rsidRDefault="009E1162" w:rsidP="009E1162">
      <w:pPr>
        <w:spacing w:before="360" w:after="200"/>
        <w:jc w:val="center"/>
        <w:rPr>
          <w:rFonts w:ascii="Book Antiqua" w:hAnsi="Book Antiqua"/>
          <w:lang w:val="es-ES"/>
        </w:rPr>
      </w:pPr>
      <w:r>
        <w:rPr>
          <w:rFonts w:ascii="Book Antiqua" w:hAnsi="Book Antiqua"/>
          <w:b/>
          <w:bCs/>
          <w:caps/>
          <w:lang w:val="es-ES"/>
        </w:rPr>
        <w:t>IMPACTO FISCAL</w:t>
      </w:r>
    </w:p>
    <w:p w14:paraId="0DC25806" w14:textId="34FCD9FD"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 xml:space="preserve">La medida propuesta no conlleva impacto fiscal al erario público. La liberación de las condiciones y restricciones impuestas bajo el Título VI de la Ley de Tierras constituye un acto administrativo que no requiere asignaciones presupuestarias adicionales. </w:t>
      </w:r>
    </w:p>
    <w:p w14:paraId="73B78DD5" w14:textId="77777777" w:rsidR="00B27E58" w:rsidRPr="009E1162" w:rsidRDefault="009E1162" w:rsidP="009E1162">
      <w:pPr>
        <w:spacing w:before="360" w:after="200"/>
        <w:jc w:val="center"/>
        <w:rPr>
          <w:rFonts w:ascii="Book Antiqua" w:hAnsi="Book Antiqua"/>
          <w:lang w:val="es-ES"/>
        </w:rPr>
      </w:pPr>
      <w:r>
        <w:rPr>
          <w:rFonts w:ascii="Book Antiqua" w:hAnsi="Book Antiqua"/>
          <w:b/>
          <w:bCs/>
          <w:caps/>
          <w:lang w:val="es-ES"/>
        </w:rPr>
        <w:t>CONCLUSIÓN</w:t>
      </w:r>
    </w:p>
    <w:p w14:paraId="63C9124C" w14:textId="53A8A43C" w:rsidR="00B27E58" w:rsidRPr="009E1162" w:rsidRDefault="009E1162" w:rsidP="009E1162">
      <w:pPr>
        <w:spacing w:after="600" w:line="276" w:lineRule="auto"/>
        <w:ind w:firstLine="720"/>
        <w:jc w:val="both"/>
        <w:rPr>
          <w:rFonts w:ascii="Book Antiqua" w:hAnsi="Book Antiqua"/>
          <w:lang w:val="es-ES"/>
        </w:rPr>
      </w:pPr>
      <w:r>
        <w:rPr>
          <w:rFonts w:ascii="Book Antiqua" w:hAnsi="Book Antiqua"/>
          <w:lang w:val="es-ES"/>
        </w:rPr>
        <w:t xml:space="preserve">Por todo lo antes expuesto, la Comisión de Agricultura de la Cámara de Representantes del Gobierno de Puerto Rico, previo estudio y consideración, tiene a bien someter su Informe con relación a la Resolución Conjunta de la Cámara 273, </w:t>
      </w:r>
      <w:r>
        <w:rPr>
          <w:rFonts w:ascii="Book Antiqua" w:hAnsi="Book Antiqua"/>
          <w:b/>
          <w:bCs/>
          <w:lang w:val="es-ES"/>
        </w:rPr>
        <w:t xml:space="preserve">recomendando su aprobación, </w:t>
      </w:r>
      <w:r w:rsidR="008C7077">
        <w:rPr>
          <w:rFonts w:ascii="Book Antiqua" w:hAnsi="Book Antiqua"/>
          <w:b/>
          <w:bCs/>
          <w:lang w:val="es-ES"/>
        </w:rPr>
        <w:t>con las</w:t>
      </w:r>
      <w:r>
        <w:rPr>
          <w:rFonts w:ascii="Book Antiqua" w:hAnsi="Book Antiqua"/>
          <w:b/>
          <w:bCs/>
          <w:lang w:val="es-ES"/>
        </w:rPr>
        <w:t xml:space="preserve"> enmiendas</w:t>
      </w:r>
      <w:r w:rsidR="008C7077">
        <w:rPr>
          <w:rFonts w:ascii="Book Antiqua" w:hAnsi="Book Antiqua"/>
          <w:b/>
          <w:bCs/>
          <w:lang w:val="es-ES"/>
        </w:rPr>
        <w:t xml:space="preserve"> contenidas en el </w:t>
      </w:r>
      <w:proofErr w:type="spellStart"/>
      <w:r w:rsidR="008C7077">
        <w:rPr>
          <w:rFonts w:ascii="Book Antiqua" w:hAnsi="Book Antiqua"/>
          <w:b/>
          <w:bCs/>
          <w:lang w:val="es-ES"/>
        </w:rPr>
        <w:t>entirillado</w:t>
      </w:r>
      <w:proofErr w:type="spellEnd"/>
      <w:r w:rsidR="008C7077">
        <w:rPr>
          <w:rFonts w:ascii="Book Antiqua" w:hAnsi="Book Antiqua"/>
          <w:b/>
          <w:bCs/>
          <w:lang w:val="es-ES"/>
        </w:rPr>
        <w:t xml:space="preserve"> electrónico que se aneja a este Informe</w:t>
      </w:r>
      <w:r>
        <w:rPr>
          <w:rFonts w:ascii="Book Antiqua" w:hAnsi="Book Antiqua"/>
          <w:b/>
          <w:bCs/>
          <w:lang w:val="es-ES"/>
        </w:rPr>
        <w:t xml:space="preserve">. </w:t>
      </w:r>
    </w:p>
    <w:p w14:paraId="1B960417" w14:textId="77777777" w:rsidR="009E1162" w:rsidRDefault="009E1162">
      <w:pPr>
        <w:spacing w:after="40" w:line="276" w:lineRule="auto"/>
        <w:rPr>
          <w:rFonts w:ascii="Book Antiqua" w:hAnsi="Book Antiqua"/>
          <w:b/>
          <w:bCs/>
          <w:lang w:val="es-ES"/>
        </w:rPr>
      </w:pPr>
    </w:p>
    <w:p w14:paraId="33CFD96F" w14:textId="6F5B45EA" w:rsidR="00B27E58" w:rsidRPr="009E1162" w:rsidRDefault="009E1162" w:rsidP="008C7077">
      <w:pPr>
        <w:spacing w:after="40" w:line="276" w:lineRule="auto"/>
        <w:jc w:val="center"/>
        <w:rPr>
          <w:rFonts w:ascii="Book Antiqua" w:hAnsi="Book Antiqua"/>
          <w:lang w:val="es-ES"/>
        </w:rPr>
      </w:pPr>
      <w:r>
        <w:rPr>
          <w:rFonts w:ascii="Book Antiqua" w:hAnsi="Book Antiqua"/>
          <w:b/>
          <w:bCs/>
          <w:lang w:val="es-ES"/>
        </w:rPr>
        <w:t>Hon. Joe “Joito” Colón Rodríguez</w:t>
      </w:r>
    </w:p>
    <w:p w14:paraId="47D53969" w14:textId="77777777" w:rsidR="00B27E58" w:rsidRPr="009E1162" w:rsidRDefault="009E1162" w:rsidP="008C7077">
      <w:pPr>
        <w:spacing w:after="40" w:line="276" w:lineRule="auto"/>
        <w:jc w:val="center"/>
        <w:rPr>
          <w:rFonts w:ascii="Book Antiqua" w:hAnsi="Book Antiqua"/>
          <w:lang w:val="es-ES"/>
        </w:rPr>
      </w:pPr>
      <w:r>
        <w:rPr>
          <w:rFonts w:ascii="Book Antiqua" w:hAnsi="Book Antiqua"/>
          <w:b/>
          <w:bCs/>
          <w:lang w:val="es-ES"/>
        </w:rPr>
        <w:t>Presidente</w:t>
      </w:r>
    </w:p>
    <w:p w14:paraId="5A0852ED" w14:textId="77777777" w:rsidR="00B27E58" w:rsidRPr="009E1162" w:rsidRDefault="009E1162" w:rsidP="008C7077">
      <w:pPr>
        <w:spacing w:after="200" w:line="276" w:lineRule="auto"/>
        <w:jc w:val="center"/>
        <w:rPr>
          <w:rFonts w:ascii="Book Antiqua" w:hAnsi="Book Antiqua"/>
          <w:lang w:val="es-ES"/>
        </w:rPr>
      </w:pPr>
      <w:r>
        <w:rPr>
          <w:rFonts w:ascii="Book Antiqua" w:hAnsi="Book Antiqua"/>
          <w:b/>
          <w:bCs/>
          <w:lang w:val="es-ES"/>
        </w:rPr>
        <w:t>Comisión de Agricultura</w:t>
      </w:r>
    </w:p>
    <w:sectPr w:rsidR="00B27E58" w:rsidRPr="009E1162" w:rsidSect="00C37DE0">
      <w:headerReference w:type="even" r:id="rId7"/>
      <w:headerReference w:type="default" r:id="rId8"/>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73FC3" w14:textId="77777777" w:rsidR="007D75BF" w:rsidRDefault="007D75BF">
      <w:r>
        <w:separator/>
      </w:r>
    </w:p>
  </w:endnote>
  <w:endnote w:type="continuationSeparator" w:id="0">
    <w:p w14:paraId="660BD480" w14:textId="77777777" w:rsidR="007D75BF" w:rsidRDefault="007D7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BF133" w14:textId="77777777" w:rsidR="007D75BF" w:rsidRDefault="007D75BF">
      <w:r>
        <w:separator/>
      </w:r>
    </w:p>
  </w:footnote>
  <w:footnote w:type="continuationSeparator" w:id="0">
    <w:p w14:paraId="0E951BC7" w14:textId="77777777" w:rsidR="007D75BF" w:rsidRDefault="007D75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39925149"/>
      <w:docPartObj>
        <w:docPartGallery w:val="Page Numbers (Top of Page)"/>
        <w:docPartUnique/>
      </w:docPartObj>
    </w:sdtPr>
    <w:sdtEndPr>
      <w:rPr>
        <w:rStyle w:val="PageNumber"/>
      </w:rPr>
    </w:sdtEndPr>
    <w:sdtContent>
      <w:p w14:paraId="459419C2" w14:textId="51E748C9" w:rsidR="00C37DE0" w:rsidRDefault="00C37DE0" w:rsidP="0089143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0D063DE" w14:textId="77777777" w:rsidR="00C37DE0" w:rsidRDefault="00C37DE0" w:rsidP="00C37DE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36691803"/>
      <w:docPartObj>
        <w:docPartGallery w:val="Page Numbers (Top of Page)"/>
        <w:docPartUnique/>
      </w:docPartObj>
    </w:sdtPr>
    <w:sdtEndPr>
      <w:rPr>
        <w:rStyle w:val="PageNumber"/>
      </w:rPr>
    </w:sdtEndPr>
    <w:sdtContent>
      <w:p w14:paraId="3BB50447" w14:textId="65C68D24" w:rsidR="00C37DE0" w:rsidRDefault="00C37DE0" w:rsidP="0089143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64E7A41" w14:textId="77777777" w:rsidR="00C37DE0" w:rsidRDefault="00C37DE0" w:rsidP="00C37DE0">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C2EAF"/>
    <w:multiLevelType w:val="hybridMultilevel"/>
    <w:tmpl w:val="71043EE4"/>
    <w:lvl w:ilvl="0" w:tplc="02885292">
      <w:start w:val="1"/>
      <w:numFmt w:val="bullet"/>
      <w:lvlText w:val="●"/>
      <w:lvlJc w:val="left"/>
      <w:pPr>
        <w:ind w:left="720" w:hanging="360"/>
      </w:pPr>
    </w:lvl>
    <w:lvl w:ilvl="1" w:tplc="25FEC6FE">
      <w:start w:val="1"/>
      <w:numFmt w:val="bullet"/>
      <w:lvlText w:val="○"/>
      <w:lvlJc w:val="left"/>
      <w:pPr>
        <w:ind w:left="1440" w:hanging="360"/>
      </w:pPr>
    </w:lvl>
    <w:lvl w:ilvl="2" w:tplc="898092C2">
      <w:start w:val="1"/>
      <w:numFmt w:val="bullet"/>
      <w:lvlText w:val="■"/>
      <w:lvlJc w:val="left"/>
      <w:pPr>
        <w:ind w:left="2160" w:hanging="360"/>
      </w:pPr>
    </w:lvl>
    <w:lvl w:ilvl="3" w:tplc="81C03B06">
      <w:start w:val="1"/>
      <w:numFmt w:val="bullet"/>
      <w:lvlText w:val="●"/>
      <w:lvlJc w:val="left"/>
      <w:pPr>
        <w:ind w:left="2880" w:hanging="360"/>
      </w:pPr>
    </w:lvl>
    <w:lvl w:ilvl="4" w:tplc="B8E6DA62">
      <w:start w:val="1"/>
      <w:numFmt w:val="bullet"/>
      <w:lvlText w:val="○"/>
      <w:lvlJc w:val="left"/>
      <w:pPr>
        <w:ind w:left="3600" w:hanging="360"/>
      </w:pPr>
    </w:lvl>
    <w:lvl w:ilvl="5" w:tplc="6DA2803E">
      <w:start w:val="1"/>
      <w:numFmt w:val="bullet"/>
      <w:lvlText w:val="■"/>
      <w:lvlJc w:val="left"/>
      <w:pPr>
        <w:ind w:left="4320" w:hanging="360"/>
      </w:pPr>
    </w:lvl>
    <w:lvl w:ilvl="6" w:tplc="607CFAF0">
      <w:start w:val="1"/>
      <w:numFmt w:val="bullet"/>
      <w:lvlText w:val="●"/>
      <w:lvlJc w:val="left"/>
      <w:pPr>
        <w:ind w:left="5040" w:hanging="360"/>
      </w:pPr>
    </w:lvl>
    <w:lvl w:ilvl="7" w:tplc="5DAE30F2">
      <w:start w:val="1"/>
      <w:numFmt w:val="bullet"/>
      <w:lvlText w:val="●"/>
      <w:lvlJc w:val="left"/>
      <w:pPr>
        <w:ind w:left="5760" w:hanging="360"/>
      </w:pPr>
    </w:lvl>
    <w:lvl w:ilvl="8" w:tplc="160046F4">
      <w:start w:val="1"/>
      <w:numFmt w:val="bullet"/>
      <w:lvlText w:val="●"/>
      <w:lvlJc w:val="left"/>
      <w:pPr>
        <w:ind w:left="6480" w:hanging="360"/>
      </w:pPr>
    </w:lvl>
  </w:abstractNum>
  <w:num w:numId="1" w16cid:durableId="95348642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E58"/>
    <w:rsid w:val="001053B5"/>
    <w:rsid w:val="001D56A3"/>
    <w:rsid w:val="00794DAD"/>
    <w:rsid w:val="007D75BF"/>
    <w:rsid w:val="00875E7A"/>
    <w:rsid w:val="008C7077"/>
    <w:rsid w:val="009727AC"/>
    <w:rsid w:val="00981A05"/>
    <w:rsid w:val="009E1162"/>
    <w:rsid w:val="00B27E58"/>
    <w:rsid w:val="00C37DE0"/>
    <w:rsid w:val="00ED5C74"/>
    <w:rsid w:val="00EE3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19B91"/>
  <w15:docId w15:val="{B05E5479-CFA1-6447-9DDC-2202DC54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customStyle="1" w:styleId="Heading1Char">
    <w:name w:val="Heading 1 Char"/>
    <w:basedOn w:val="DefaultParagraphFont"/>
    <w:link w:val="Heading1"/>
    <w:uiPriority w:val="9"/>
    <w:rsid w:val="009E1162"/>
    <w:rPr>
      <w:color w:val="2E74B5"/>
      <w:sz w:val="32"/>
      <w:szCs w:val="32"/>
    </w:rPr>
  </w:style>
  <w:style w:type="paragraph" w:customStyle="1" w:styleId="Title2">
    <w:name w:val="Title2"/>
    <w:basedOn w:val="Normal"/>
    <w:next w:val="Normal"/>
    <w:rsid w:val="009E1162"/>
    <w:pPr>
      <w:tabs>
        <w:tab w:val="left" w:pos="648"/>
        <w:tab w:val="right" w:pos="7776"/>
        <w:tab w:val="left" w:pos="7848"/>
      </w:tabs>
    </w:pPr>
    <w:rPr>
      <w:rFonts w:eastAsia="Batang"/>
      <w:szCs w:val="20"/>
    </w:rPr>
  </w:style>
  <w:style w:type="paragraph" w:styleId="Header">
    <w:name w:val="header"/>
    <w:basedOn w:val="Normal"/>
    <w:link w:val="HeaderChar"/>
    <w:uiPriority w:val="99"/>
    <w:unhideWhenUsed/>
    <w:rsid w:val="009E1162"/>
    <w:pPr>
      <w:tabs>
        <w:tab w:val="center" w:pos="4680"/>
        <w:tab w:val="right" w:pos="9360"/>
      </w:tabs>
    </w:pPr>
  </w:style>
  <w:style w:type="character" w:customStyle="1" w:styleId="HeaderChar">
    <w:name w:val="Header Char"/>
    <w:basedOn w:val="DefaultParagraphFont"/>
    <w:link w:val="Header"/>
    <w:uiPriority w:val="99"/>
    <w:rsid w:val="009E1162"/>
  </w:style>
  <w:style w:type="paragraph" w:styleId="Footer">
    <w:name w:val="footer"/>
    <w:basedOn w:val="Normal"/>
    <w:link w:val="FooterChar"/>
    <w:uiPriority w:val="99"/>
    <w:unhideWhenUsed/>
    <w:rsid w:val="009E1162"/>
    <w:pPr>
      <w:tabs>
        <w:tab w:val="center" w:pos="4680"/>
        <w:tab w:val="right" w:pos="9360"/>
      </w:tabs>
    </w:pPr>
  </w:style>
  <w:style w:type="character" w:customStyle="1" w:styleId="FooterChar">
    <w:name w:val="Footer Char"/>
    <w:basedOn w:val="DefaultParagraphFont"/>
    <w:link w:val="Footer"/>
    <w:uiPriority w:val="99"/>
    <w:rsid w:val="009E1162"/>
  </w:style>
  <w:style w:type="character" w:styleId="PageNumber">
    <w:name w:val="page number"/>
    <w:basedOn w:val="DefaultParagraphFont"/>
    <w:uiPriority w:val="99"/>
    <w:semiHidden/>
    <w:unhideWhenUsed/>
    <w:rsid w:val="00C37D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1257</Words>
  <Characters>6648</Characters>
  <Application>Microsoft Office Word</Application>
  <DocSecurity>4</DocSecurity>
  <Lines>122</Lines>
  <Paragraphs>31</Paragraphs>
  <ScaleCrop>false</ScaleCrop>
  <Company/>
  <LinksUpToDate>false</LinksUpToDate>
  <CharactersWithSpaces>7882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Camyl Moreno Pantojas</cp:lastModifiedBy>
  <cp:revision>2</cp:revision>
  <dcterms:created xsi:type="dcterms:W3CDTF">2026-03-17T18:43:00Z</dcterms:created>
  <dcterms:modified xsi:type="dcterms:W3CDTF">2026-03-17T18:43:00Z</dcterms:modified>
</cp:coreProperties>
</file>