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3ra</w:t>
      </w:r>
      <w:r>
        <w:rPr>
          <w:rFonts w:ascii="Book Antiqua" w:hAnsi="Book Antiqua"/>
          <w:szCs w:val="24"/>
          <w:lang w:val="es-ES"/>
        </w:rPr>
        <w:tab/>
      </w:r>
      <w:r>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Pr>
          <w:rFonts w:ascii="Book Antiqua" w:hAnsi="Book Antiqua"/>
          <w:lang w:val="es-ES"/>
        </w:rPr>
        <w:tab/>
        <w:t xml:space="preserve">Legislativa </w:t>
      </w:r>
      <w:r>
        <w:rPr>
          <w:rFonts w:ascii="Book Antiqua" w:hAnsi="Book Antiqua"/>
          <w:lang w:val="es-ES"/>
        </w:rPr>
        <w:tab/>
      </w:r>
      <w:r>
        <w:rPr>
          <w:rFonts w:ascii="Book Antiqua" w:hAnsi="Book Antiqua"/>
          <w:lang w:val="es-ES"/>
        </w:rPr>
        <w:tab/>
      </w:r>
      <w:r>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Pr>
          <w:rFonts w:ascii="Book Antiqua" w:hAnsi="Book Antiqua"/>
          <w:b/>
          <w:sz w:val="52"/>
          <w:szCs w:val="52"/>
          <w:lang w:val="es-ES"/>
        </w:rPr>
        <w:t>R. C. de la C. 274</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033E912B" w:rsidR="009E1162" w:rsidRPr="000D67E8" w:rsidRDefault="00371454" w:rsidP="009E1162">
      <w:pPr>
        <w:jc w:val="center"/>
        <w:rPr>
          <w:rFonts w:ascii="Book Antiqua" w:hAnsi="Book Antiqua"/>
          <w:smallCaps/>
          <w:lang w:val="es-ES"/>
        </w:rPr>
      </w:pPr>
      <w:r>
        <w:rPr>
          <w:rFonts w:ascii="Book Antiqua" w:hAnsi="Book Antiqua"/>
          <w:smallCaps/>
          <w:lang w:val="es-ES"/>
        </w:rPr>
        <w:t>17</w:t>
      </w:r>
      <w:r w:rsidR="009E1162">
        <w:rPr>
          <w:rFonts w:ascii="Book Antiqua" w:hAnsi="Book Antiqua"/>
          <w:smallCaps/>
          <w:lang w:val="es-ES"/>
        </w:rPr>
        <w:t xml:space="preserve"> de marzo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02312F80" w14:textId="540974BB"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Estado Libre Asociado de Puerto Rico, previo estudio y consideración de la Resolución Conjunta de la Cámara 274, tiene el honor de recomendar a este Honorable Cuerpo Legislativo su aprobación, </w:t>
      </w:r>
      <w:r w:rsidR="00BE26DE">
        <w:rPr>
          <w:rFonts w:ascii="Book Antiqua" w:hAnsi="Book Antiqua"/>
          <w:lang w:val="es-ES"/>
        </w:rPr>
        <w:t>con las</w:t>
      </w:r>
      <w:r>
        <w:rPr>
          <w:rFonts w:ascii="Book Antiqua" w:hAnsi="Book Antiqua"/>
          <w:lang w:val="es-ES"/>
        </w:rPr>
        <w:t xml:space="preserve"> enmiendas</w:t>
      </w:r>
      <w:r w:rsidR="00BE26DE">
        <w:rPr>
          <w:rFonts w:ascii="Book Antiqua" w:hAnsi="Book Antiqua"/>
          <w:lang w:val="es-ES"/>
        </w:rPr>
        <w:t xml:space="preserve"> contenidas en el </w:t>
      </w:r>
      <w:proofErr w:type="spellStart"/>
      <w:r w:rsidR="00BE26DE">
        <w:rPr>
          <w:rFonts w:ascii="Book Antiqua" w:hAnsi="Book Antiqua"/>
          <w:lang w:val="es-ES"/>
        </w:rPr>
        <w:t>entirillado</w:t>
      </w:r>
      <w:proofErr w:type="spellEnd"/>
      <w:r w:rsidR="00BE26DE">
        <w:rPr>
          <w:rFonts w:ascii="Book Antiqua" w:hAnsi="Book Antiqua"/>
          <w:lang w:val="es-ES"/>
        </w:rPr>
        <w:t xml:space="preserve"> electrónico que se aneja a este Informe</w:t>
      </w:r>
      <w:r>
        <w:rPr>
          <w:rFonts w:ascii="Book Antiqua" w:hAnsi="Book Antiqua"/>
          <w:lang w:val="es-ES"/>
        </w:rPr>
        <w:t>.</w:t>
      </w:r>
    </w:p>
    <w:p w14:paraId="33F7F68D"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ALCANCE DE LA MEDIDA</w:t>
      </w:r>
    </w:p>
    <w:p w14:paraId="4ABA49C7" w14:textId="7A22114A"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Resolución Conjunta de la Cámara 274 ordena al Departamento de Agricultura y a la Junta de Planificación de Puerto Rico a proceder con la liberación de las restricciones y condiciones sobre preservación e indivisión previamente impuestas y anotadas, según dispuesto por la Ley Núm. 107 de 3 de julio de 1974, según enmendada, del predio de terreno marcado con el número trece (13) en el Plano de Subdivisión de la finca “Vega Redonda”, según consta en la Escritura de Compraventa con Restricciones Número Setenta y Nueve (79), otorgada en el Municipio de San Juan, Puerto Rico, el 15 de noviembre de 1979, sobre la Finca Número Seis Mil Cuatrocientos Noventa y Seis (6,496), inscrita al Folio Número Ciento Cuarenta y Nueve (149) del Tomo Noventa y Uno (91) de Comerío, en el Registro de la Propiedad de Barranquitas, Inscripción Primera.</w:t>
      </w:r>
    </w:p>
    <w:p w14:paraId="67AD3DDE"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La Ley Núm. 107 de 3 de julio de 1974, según enmendada, creó el Programa de Fincas de Tipo Familiar, conocido como “Título VI de la Ley de Tierras”. Conforme a dicha disposición legal, el Secretario de Agricultura está facultado para disponer de terrenos para uso agrícola mediante cesión, venta, arrendamiento o usufructo, bajo una serie de condiciones y restricciones que incluyen prohibiciones de segregación y de 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Mediante Escritura de Compraventa con Restricciones Número Setenta y Nueve (79), otorgada el 15 de noviembre de 1979 en el Municipio de San Juan, ante el notario público Bolívar Dones Rivera, le fue otorgada al matrimonio de Don Ramón Febo Rodríguez, también conocido como Ramón Febus Rodríguez, y Doña Rosenda Burgos Ortiz la titularidad del predio de terreno objeto de esta medida, bajo el Programa de Fincas Familiares, con las respectivas restricciones establecidas en la Ley Núm. 107. El predio está inscrito como Finca Número 6,496, al Folio Número 149 del Tomo 91 de Comerío, en el Registro de la Propiedad de Barranquitas, Inscripción Primera. Dicho inmueble fue transferido sujeto a las condiciones y restricciones impuestas por la referida ley.</w:t>
      </w:r>
    </w:p>
    <w:p w14:paraId="72A503CF"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Ambos titulares originales, Don Ramón Febo Rodríguez (también conocido como Ramón Febus Rodríguez) y Doña Rosenda Burgos Ortiz, fallecieron. La Exposición de Motivos de la medida establece que, en su origen, la finalidad del Programa de Fincas de Tipo Familiar era promover la agricultura en pequeños predios. No obstante, a lo largo de más de cinco décadas de cambios sociales, económicos y demográficos en Puerto Rico, los hijos de aquellos primeros beneficiarios del Programa necesitaron un lugar donde vivir y desarrollarse, ampliando el entorno a través del establecimiento de comunidades en dichas tierras. Hoy, transcurrido el tiempo en que muchas de estas fincas dejaron de tener un fin prioritariamente agrícola, es necesario atemperar esa realidad en el Registro de la Propiedad, de modo que los hijos de los titulares originales puedan continuar los procedimientos legales necesarios y finalmente poseer en calidad de dueños.</w:t>
      </w:r>
    </w:p>
    <w:p w14:paraId="3F8FFE0E" w14:textId="77777777" w:rsidR="00B27E58" w:rsidRDefault="009E1162" w:rsidP="009E1162">
      <w:pPr>
        <w:spacing w:after="200" w:line="276" w:lineRule="auto"/>
        <w:ind w:firstLine="720"/>
        <w:jc w:val="both"/>
        <w:rPr>
          <w:rFonts w:ascii="Book Antiqua" w:hAnsi="Book Antiqua"/>
          <w:lang w:val="es-ES"/>
        </w:rPr>
      </w:pPr>
      <w:r>
        <w:rPr>
          <w:rFonts w:ascii="Book Antiqua" w:hAnsi="Book Antiqua"/>
          <w:lang w:val="es-ES"/>
        </w:rPr>
        <w:t>Las restricciones impuestas bajo el Título VI respondieron a un contexto histórico orientado a promover la agricultura en pequeños predios. Sin embargo, a lo largo de más de cuatro décadas desde la adquisición del predio por el matrimonio Febo Rodríguez-Burgos Ortiz, han ocurrido grandes cambios sociales, económicos y demográficos en Puerto Rico y particularmente en la zona rural de Comerío. Los hijos y herederos de los titulares originales necesitan poder disponer libremente de sus predios, y las restricciones vigentes constituyen un impedimento que no se ajusta a la realidad actual.</w:t>
      </w:r>
    </w:p>
    <w:p w14:paraId="0BBD79A6" w14:textId="77777777" w:rsidR="00BE26DE" w:rsidRPr="009E1162" w:rsidRDefault="00BE26DE" w:rsidP="009E1162">
      <w:pPr>
        <w:spacing w:after="200" w:line="276" w:lineRule="auto"/>
        <w:ind w:firstLine="720"/>
        <w:jc w:val="both"/>
        <w:rPr>
          <w:rFonts w:ascii="Book Antiqua" w:hAnsi="Book Antiqua"/>
          <w:lang w:val="es-ES"/>
        </w:rPr>
      </w:pPr>
    </w:p>
    <w:p w14:paraId="12124178" w14:textId="07FE4F67" w:rsidR="00B27E58" w:rsidRPr="009E1162" w:rsidRDefault="009E1162" w:rsidP="009E1162">
      <w:pPr>
        <w:spacing w:before="240" w:after="200" w:line="276" w:lineRule="auto"/>
        <w:jc w:val="center"/>
        <w:rPr>
          <w:rFonts w:ascii="Book Antiqua" w:hAnsi="Book Antiqua"/>
          <w:lang w:val="es-ES"/>
        </w:rPr>
      </w:pPr>
      <w:r>
        <w:rPr>
          <w:rFonts w:ascii="Book Antiqua" w:hAnsi="Book Antiqua"/>
          <w:b/>
          <w:bCs/>
          <w:lang w:val="es-ES"/>
        </w:rPr>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No obstante la posición expresada por la Autoridad de Tierras, esta Comisión entiende que la aprobación de la R. C. de la C. 274 constituye un acto meritorio y de justicia para los herederos de Don Ramón Febo Rodríguez y Doña Rosenda Burgos Ortiz, quienes durante décadas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3BC446D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Resulta pertinente señalar que esta Asamblea Legislativa ha ejercido consistentemente esta facultad al aprobar múltiples resoluciones conjuntas de naturaleza </w:t>
      </w:r>
      <w:r>
        <w:rPr>
          <w:rFonts w:ascii="Book Antiqua" w:hAnsi="Book Antiqua"/>
          <w:lang w:val="es-ES"/>
        </w:rPr>
        <w:lastRenderedPageBreak/>
        <w:t>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73DE9885"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274.</w:t>
      </w:r>
    </w:p>
    <w:p w14:paraId="3D8E0E2B"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IMPACTO FISCAL</w:t>
      </w:r>
    </w:p>
    <w:p w14:paraId="0DC25806" w14:textId="7EF08F98"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medida propuesta no conlleva impacto fiscal al erario público. La liberación de las condiciones y restricciones impuestas bajo el Título VI de la Ley de Tierras constituye un acto administrativo que no requiere asignaciones presupuestarias adicionales. </w:t>
      </w:r>
    </w:p>
    <w:p w14:paraId="73B78DD5"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CONCLUSIÓN</w:t>
      </w:r>
    </w:p>
    <w:p w14:paraId="63C9124C" w14:textId="2C6D88BF" w:rsidR="00B27E58" w:rsidRPr="009E1162" w:rsidRDefault="009E1162" w:rsidP="009E1162">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274, </w:t>
      </w:r>
      <w:r>
        <w:rPr>
          <w:rFonts w:ascii="Book Antiqua" w:hAnsi="Book Antiqua"/>
          <w:b/>
          <w:bCs/>
          <w:lang w:val="es-ES"/>
        </w:rPr>
        <w:t xml:space="preserve">recomendando su aprobación, </w:t>
      </w:r>
      <w:r w:rsidR="00BE26DE">
        <w:rPr>
          <w:rFonts w:ascii="Book Antiqua" w:hAnsi="Book Antiqua"/>
          <w:b/>
          <w:bCs/>
          <w:lang w:val="es-ES"/>
        </w:rPr>
        <w:t>con las</w:t>
      </w:r>
      <w:r>
        <w:rPr>
          <w:rFonts w:ascii="Book Antiqua" w:hAnsi="Book Antiqua"/>
          <w:b/>
          <w:bCs/>
          <w:lang w:val="es-ES"/>
        </w:rPr>
        <w:t xml:space="preserve"> enmiendas</w:t>
      </w:r>
      <w:r w:rsidR="00BE26DE">
        <w:rPr>
          <w:rFonts w:ascii="Book Antiqua" w:hAnsi="Book Antiqua"/>
          <w:b/>
          <w:bCs/>
          <w:lang w:val="es-ES"/>
        </w:rPr>
        <w:t xml:space="preserve"> contenidas en el </w:t>
      </w:r>
      <w:proofErr w:type="spellStart"/>
      <w:r w:rsidR="00BE26DE">
        <w:rPr>
          <w:rFonts w:ascii="Book Antiqua" w:hAnsi="Book Antiqua"/>
          <w:b/>
          <w:bCs/>
          <w:lang w:val="es-ES"/>
        </w:rPr>
        <w:t>entirillado</w:t>
      </w:r>
      <w:proofErr w:type="spellEnd"/>
      <w:r w:rsidR="00BE26DE">
        <w:rPr>
          <w:rFonts w:ascii="Book Antiqua" w:hAnsi="Book Antiqua"/>
          <w:b/>
          <w:bCs/>
          <w:lang w:val="es-ES"/>
        </w:rPr>
        <w:t xml:space="preserve"> electrónico que se aneja a este Informe.</w:t>
      </w:r>
      <w:r>
        <w:rPr>
          <w:rFonts w:ascii="Book Antiqua" w:hAnsi="Book Antiqua"/>
          <w:b/>
          <w:bCs/>
          <w:lang w:val="es-ES"/>
        </w:rPr>
        <w:t xml:space="preserve">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rsidP="00BE26DE">
      <w:pPr>
        <w:spacing w:after="40" w:line="276" w:lineRule="auto"/>
        <w:jc w:val="center"/>
        <w:rPr>
          <w:rFonts w:ascii="Book Antiqua" w:hAnsi="Book Antiqua"/>
          <w:lang w:val="es-ES"/>
        </w:rPr>
      </w:pPr>
      <w:r>
        <w:rPr>
          <w:rFonts w:ascii="Book Antiqua" w:hAnsi="Book Antiqua"/>
          <w:b/>
          <w:bCs/>
          <w:lang w:val="es-ES"/>
        </w:rPr>
        <w:t>Hon. Joe “Joito” Colón Rodríguez</w:t>
      </w:r>
    </w:p>
    <w:p w14:paraId="47D53969" w14:textId="77777777" w:rsidR="00B27E58" w:rsidRPr="009E1162" w:rsidRDefault="009E1162" w:rsidP="00BE26DE">
      <w:pPr>
        <w:spacing w:after="40" w:line="276" w:lineRule="auto"/>
        <w:jc w:val="center"/>
        <w:rPr>
          <w:rFonts w:ascii="Book Antiqua" w:hAnsi="Book Antiqua"/>
          <w:lang w:val="es-ES"/>
        </w:rPr>
      </w:pPr>
      <w:r>
        <w:rPr>
          <w:rFonts w:ascii="Book Antiqua" w:hAnsi="Book Antiqua"/>
          <w:b/>
          <w:bCs/>
          <w:lang w:val="es-ES"/>
        </w:rPr>
        <w:t>Presidente</w:t>
      </w:r>
    </w:p>
    <w:p w14:paraId="5A0852ED" w14:textId="77777777" w:rsidR="00B27E58" w:rsidRPr="009E1162" w:rsidRDefault="009E1162" w:rsidP="00BE26DE">
      <w:pPr>
        <w:spacing w:after="200" w:line="276" w:lineRule="auto"/>
        <w:jc w:val="center"/>
        <w:rPr>
          <w:rFonts w:ascii="Book Antiqua" w:hAnsi="Book Antiqua"/>
          <w:lang w:val="es-ES"/>
        </w:rPr>
      </w:pPr>
      <w:r>
        <w:rPr>
          <w:rFonts w:ascii="Book Antiqua" w:hAnsi="Book Antiqua"/>
          <w:b/>
          <w:bCs/>
          <w:lang w:val="es-ES"/>
        </w:rPr>
        <w:t>Comisión de Agricultura</w:t>
      </w:r>
    </w:p>
    <w:sectPr w:rsidR="00B27E58" w:rsidRPr="009E1162" w:rsidSect="00C37DE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E0FD7" w14:textId="77777777" w:rsidR="00BC6D4F" w:rsidRDefault="00BC6D4F">
      <w:r>
        <w:separator/>
      </w:r>
    </w:p>
  </w:endnote>
  <w:endnote w:type="continuationSeparator" w:id="0">
    <w:p w14:paraId="1B339CAC" w14:textId="77777777" w:rsidR="00BC6D4F" w:rsidRDefault="00BC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DDEB4" w14:textId="77777777" w:rsidR="00BC6D4F" w:rsidRDefault="00BC6D4F">
      <w:r>
        <w:separator/>
      </w:r>
    </w:p>
  </w:footnote>
  <w:footnote w:type="continuationSeparator" w:id="0">
    <w:p w14:paraId="73F20AF6" w14:textId="77777777" w:rsidR="00BC6D4F" w:rsidRDefault="00BC6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9925149"/>
      <w:docPartObj>
        <w:docPartGallery w:val="Page Numbers (Top of Page)"/>
        <w:docPartUnique/>
      </w:docPartObj>
    </w:sdtPr>
    <w:sdtEndPr>
      <w:rPr>
        <w:rStyle w:val="PageNumber"/>
      </w:rPr>
    </w:sdtEndPr>
    <w:sdtContent>
      <w:p w14:paraId="459419C2" w14:textId="51E748C9"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D063DE" w14:textId="77777777" w:rsidR="00C37DE0" w:rsidRDefault="00C37DE0" w:rsidP="00C37D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691803"/>
      <w:docPartObj>
        <w:docPartGallery w:val="Page Numbers (Top of Page)"/>
        <w:docPartUnique/>
      </w:docPartObj>
    </w:sdtPr>
    <w:sdtEndPr>
      <w:rPr>
        <w:rStyle w:val="PageNumber"/>
      </w:rPr>
    </w:sdtEndPr>
    <w:sdtContent>
      <w:p w14:paraId="3BB50447" w14:textId="65C68D24"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4E7A41" w14:textId="77777777" w:rsidR="00C37DE0" w:rsidRDefault="00C37DE0" w:rsidP="00C37DE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05039A"/>
    <w:rsid w:val="001559DE"/>
    <w:rsid w:val="001D56A3"/>
    <w:rsid w:val="00371454"/>
    <w:rsid w:val="009E1162"/>
    <w:rsid w:val="009E29D6"/>
    <w:rsid w:val="00A456BD"/>
    <w:rsid w:val="00B27E58"/>
    <w:rsid w:val="00B47043"/>
    <w:rsid w:val="00BC6D4F"/>
    <w:rsid w:val="00BE26DE"/>
    <w:rsid w:val="00C37DE0"/>
    <w:rsid w:val="00ED5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 w:type="character" w:styleId="PageNumber">
    <w:name w:val="page number"/>
    <w:basedOn w:val="DefaultParagraphFont"/>
    <w:uiPriority w:val="99"/>
    <w:semiHidden/>
    <w:unhideWhenUsed/>
    <w:rsid w:val="00C3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1276</Words>
  <Characters>6752</Characters>
  <Application>Microsoft Office Word</Application>
  <DocSecurity>4</DocSecurity>
  <Lines>122</Lines>
  <Paragraphs>31</Paragraphs>
  <ScaleCrop>false</ScaleCrop>
  <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2026-03-17T18:47:00Z</dcterms:created>
  <dcterms:modified xsi:type="dcterms:W3CDTF">2026-03-17T18:47:00Z</dcterms:modified>
</cp:coreProperties>
</file>