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EF3002" w14:textId="77777777" w:rsidR="009E1162" w:rsidRPr="000D67E8" w:rsidRDefault="009E1162" w:rsidP="009E1162">
      <w:pPr>
        <w:jc w:val="center"/>
        <w:rPr>
          <w:rFonts w:ascii="Book Antiqua" w:hAnsi="Book Antiqua"/>
          <w:sz w:val="28"/>
          <w:szCs w:val="28"/>
          <w:lang w:val="es-ES"/>
        </w:rPr>
      </w:pPr>
      <w:r>
        <w:rPr>
          <w:rFonts w:ascii="Book Antiqua" w:hAnsi="Book Antiqua"/>
          <w:sz w:val="28"/>
          <w:szCs w:val="28"/>
          <w:lang w:val="es-ES"/>
        </w:rPr>
        <w:t>GOBIERNO DE PUERTO RICO</w:t>
      </w:r>
    </w:p>
    <w:p w14:paraId="2C116B7C" w14:textId="77777777" w:rsidR="009E1162" w:rsidRPr="000D67E8" w:rsidRDefault="009E1162" w:rsidP="009E1162">
      <w:pPr>
        <w:jc w:val="center"/>
        <w:rPr>
          <w:rFonts w:ascii="Book Antiqua" w:hAnsi="Book Antiqua"/>
          <w:lang w:val="es-ES"/>
        </w:rPr>
      </w:pPr>
    </w:p>
    <w:p w14:paraId="33554036" w14:textId="77777777" w:rsidR="009E1162" w:rsidRPr="000D67E8" w:rsidRDefault="009E1162" w:rsidP="009E1162">
      <w:pPr>
        <w:pStyle w:val="Title2"/>
        <w:rPr>
          <w:rFonts w:ascii="Book Antiqua" w:hAnsi="Book Antiqua"/>
          <w:szCs w:val="24"/>
          <w:lang w:val="es-ES"/>
        </w:rPr>
      </w:pPr>
      <w:r>
        <w:rPr>
          <w:rFonts w:ascii="Book Antiqua" w:hAnsi="Book Antiqua"/>
          <w:szCs w:val="24"/>
          <w:lang w:val="es-ES"/>
        </w:rPr>
        <w:t>20ma Asamblea</w:t>
      </w:r>
      <w:r>
        <w:rPr>
          <w:rFonts w:ascii="Book Antiqua" w:hAnsi="Book Antiqua"/>
          <w:szCs w:val="24"/>
          <w:lang w:val="es-ES"/>
        </w:rPr>
        <w:tab/>
        <w:t>3ra</w:t>
      </w:r>
      <w:r>
        <w:rPr>
          <w:rFonts w:ascii="Book Antiqua" w:hAnsi="Book Antiqua"/>
          <w:szCs w:val="24"/>
          <w:lang w:val="es-ES"/>
        </w:rPr>
        <w:tab/>
      </w:r>
      <w:r>
        <w:rPr>
          <w:rFonts w:ascii="Book Antiqua" w:hAnsi="Book Antiqua"/>
          <w:szCs w:val="24"/>
          <w:lang w:val="es-ES"/>
        </w:rPr>
        <w:tab/>
        <w:t>Sesión</w:t>
      </w:r>
    </w:p>
    <w:p w14:paraId="688D36BD" w14:textId="77777777" w:rsidR="009E1162" w:rsidRPr="000D67E8" w:rsidRDefault="009E1162" w:rsidP="009E1162">
      <w:pPr>
        <w:pStyle w:val="Title2"/>
        <w:rPr>
          <w:rFonts w:ascii="Book Antiqua" w:hAnsi="Book Antiqua"/>
          <w:lang w:val="es-ES"/>
        </w:rPr>
      </w:pPr>
      <w:r>
        <w:rPr>
          <w:rFonts w:ascii="Book Antiqua" w:hAnsi="Book Antiqua"/>
          <w:lang w:val="es-ES"/>
        </w:rPr>
        <w:tab/>
        <w:t xml:space="preserve">Legislativa </w:t>
      </w:r>
      <w:r>
        <w:rPr>
          <w:rFonts w:ascii="Book Antiqua" w:hAnsi="Book Antiqua"/>
          <w:lang w:val="es-ES"/>
        </w:rPr>
        <w:tab/>
      </w:r>
      <w:r>
        <w:rPr>
          <w:rFonts w:ascii="Book Antiqua" w:hAnsi="Book Antiqua"/>
          <w:lang w:val="es-ES"/>
        </w:rPr>
        <w:tab/>
      </w:r>
      <w:r>
        <w:rPr>
          <w:rFonts w:ascii="Book Antiqua" w:hAnsi="Book Antiqua"/>
          <w:lang w:val="es-ES"/>
        </w:rPr>
        <w:tab/>
        <w:t>Ordinaria</w:t>
      </w:r>
    </w:p>
    <w:p w14:paraId="0C79CE10" w14:textId="77777777" w:rsidR="009E1162" w:rsidRPr="000D67E8" w:rsidRDefault="009E1162" w:rsidP="009E1162">
      <w:pPr>
        <w:rPr>
          <w:rFonts w:ascii="Book Antiqua" w:hAnsi="Book Antiqua"/>
          <w:lang w:val="es-ES"/>
        </w:rPr>
      </w:pPr>
    </w:p>
    <w:p w14:paraId="37E2EC11" w14:textId="77777777" w:rsidR="009E1162" w:rsidRPr="000D67E8" w:rsidRDefault="009E1162" w:rsidP="009E1162">
      <w:pPr>
        <w:suppressLineNumbers/>
        <w:jc w:val="center"/>
        <w:rPr>
          <w:rFonts w:ascii="Book Antiqua" w:hAnsi="Book Antiqua"/>
          <w:b/>
          <w:sz w:val="36"/>
          <w:szCs w:val="36"/>
          <w:lang w:val="es-ES"/>
        </w:rPr>
      </w:pPr>
      <w:r>
        <w:rPr>
          <w:rFonts w:ascii="Book Antiqua" w:hAnsi="Book Antiqua"/>
          <w:b/>
          <w:sz w:val="36"/>
          <w:szCs w:val="36"/>
          <w:lang w:val="es-ES"/>
        </w:rPr>
        <w:t xml:space="preserve">CÁMARA DE REPRESENTANTES </w:t>
      </w:r>
    </w:p>
    <w:p w14:paraId="1787211E" w14:textId="77777777" w:rsidR="009E1162" w:rsidRPr="000D67E8" w:rsidRDefault="009E1162" w:rsidP="009E1162">
      <w:pPr>
        <w:rPr>
          <w:rFonts w:ascii="Book Antiqua" w:hAnsi="Book Antiqua"/>
          <w:sz w:val="32"/>
          <w:lang w:val="es-ES"/>
        </w:rPr>
      </w:pPr>
    </w:p>
    <w:p w14:paraId="360E46AE" w14:textId="024957B8" w:rsidR="009E1162" w:rsidRPr="000D67E8" w:rsidRDefault="009E1162" w:rsidP="009E1162">
      <w:pPr>
        <w:suppressLineNumbers/>
        <w:jc w:val="center"/>
        <w:rPr>
          <w:rFonts w:ascii="Book Antiqua" w:hAnsi="Book Antiqua"/>
          <w:b/>
          <w:sz w:val="52"/>
          <w:szCs w:val="52"/>
          <w:lang w:val="es-ES"/>
        </w:rPr>
      </w:pPr>
      <w:r>
        <w:rPr>
          <w:rFonts w:ascii="Book Antiqua" w:hAnsi="Book Antiqua"/>
          <w:b/>
          <w:sz w:val="52"/>
          <w:szCs w:val="52"/>
          <w:lang w:val="es-ES"/>
        </w:rPr>
        <w:t>R. C. de la C. 275</w:t>
      </w:r>
    </w:p>
    <w:p w14:paraId="5CBA3F53" w14:textId="77777777" w:rsidR="009E1162" w:rsidRDefault="009E1162" w:rsidP="009E1162">
      <w:pPr>
        <w:pStyle w:val="Heading1"/>
        <w:jc w:val="center"/>
        <w:rPr>
          <w:rFonts w:ascii="Book Antiqua" w:hAnsi="Book Antiqua"/>
          <w:color w:val="auto"/>
          <w:lang w:val="es-ES"/>
        </w:rPr>
      </w:pPr>
    </w:p>
    <w:p w14:paraId="701C433E" w14:textId="77777777" w:rsidR="009E1162" w:rsidRPr="00144431" w:rsidRDefault="009E1162" w:rsidP="009E1162">
      <w:pPr>
        <w:pStyle w:val="Heading1"/>
        <w:jc w:val="center"/>
        <w:rPr>
          <w:rFonts w:ascii="Book Antiqua" w:hAnsi="Book Antiqua"/>
          <w:color w:val="auto"/>
          <w:lang w:val="es-ES"/>
        </w:rPr>
      </w:pPr>
      <w:r>
        <w:rPr>
          <w:rFonts w:ascii="Book Antiqua" w:hAnsi="Book Antiqua"/>
          <w:color w:val="auto"/>
          <w:lang w:val="es-ES"/>
        </w:rPr>
        <w:t>INFORME POSITIVO</w:t>
      </w:r>
    </w:p>
    <w:p w14:paraId="074C978A" w14:textId="77777777" w:rsidR="009E1162" w:rsidRPr="000D67E8" w:rsidRDefault="009E1162" w:rsidP="009E1162">
      <w:pPr>
        <w:rPr>
          <w:rFonts w:ascii="Book Antiqua" w:hAnsi="Book Antiqua"/>
          <w:lang w:val="es-ES"/>
        </w:rPr>
      </w:pPr>
    </w:p>
    <w:p w14:paraId="205E3FE8" w14:textId="6ECE6938" w:rsidR="009E1162" w:rsidRPr="000D67E8" w:rsidRDefault="008E16C8" w:rsidP="009E1162">
      <w:pPr>
        <w:jc w:val="center"/>
        <w:rPr>
          <w:rFonts w:ascii="Book Antiqua" w:hAnsi="Book Antiqua"/>
          <w:smallCaps/>
          <w:lang w:val="es-ES"/>
        </w:rPr>
      </w:pPr>
      <w:r>
        <w:rPr>
          <w:rFonts w:ascii="Book Antiqua" w:hAnsi="Book Antiqua"/>
          <w:smallCaps/>
          <w:lang w:val="es-ES"/>
        </w:rPr>
        <w:t>17</w:t>
      </w:r>
      <w:r w:rsidR="009E1162">
        <w:rPr>
          <w:rFonts w:ascii="Book Antiqua" w:hAnsi="Book Antiqua"/>
          <w:smallCaps/>
          <w:lang w:val="es-ES"/>
        </w:rPr>
        <w:t xml:space="preserve"> de marzo de 2026</w:t>
      </w:r>
    </w:p>
    <w:p w14:paraId="5AC678A7" w14:textId="77777777" w:rsidR="009E1162" w:rsidRDefault="009E1162" w:rsidP="009E1162">
      <w:pPr>
        <w:spacing w:after="300" w:line="276" w:lineRule="auto"/>
        <w:jc w:val="both"/>
        <w:rPr>
          <w:rFonts w:ascii="Book Antiqua" w:hAnsi="Book Antiqua"/>
          <w:b/>
          <w:bCs/>
          <w:lang w:val="es-ES"/>
        </w:rPr>
      </w:pPr>
    </w:p>
    <w:p w14:paraId="2FAC5B24" w14:textId="77777777" w:rsidR="00B27E58" w:rsidRPr="009E1162" w:rsidRDefault="009E1162">
      <w:pPr>
        <w:spacing w:after="300" w:line="276" w:lineRule="auto"/>
        <w:jc w:val="both"/>
        <w:rPr>
          <w:rFonts w:ascii="Book Antiqua" w:hAnsi="Book Antiqua"/>
          <w:lang w:val="es-ES"/>
        </w:rPr>
      </w:pPr>
      <w:r>
        <w:rPr>
          <w:rFonts w:ascii="Book Antiqua" w:hAnsi="Book Antiqua"/>
          <w:b/>
          <w:bCs/>
          <w:lang w:val="es-ES"/>
        </w:rPr>
        <w:t>A LA CÁMARA DE REPRESENTANTES DE PUERTO RICO:</w:t>
      </w:r>
    </w:p>
    <w:p w14:paraId="02312F80" w14:textId="775CF81D"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t xml:space="preserve">La Comisión de Agricultura de la Cámara de Representantes del Estado Libre Asociado de Puerto Rico, previo estudio y consideración de la Resolución Conjunta de la Cámara 275, tiene el honor de recomendar a este Honorable Cuerpo Legislativo su aprobación, </w:t>
      </w:r>
      <w:r w:rsidR="00033524">
        <w:rPr>
          <w:rFonts w:ascii="Book Antiqua" w:hAnsi="Book Antiqua"/>
          <w:lang w:val="es-ES"/>
        </w:rPr>
        <w:t>con las</w:t>
      </w:r>
      <w:r>
        <w:rPr>
          <w:rFonts w:ascii="Book Antiqua" w:hAnsi="Book Antiqua"/>
          <w:lang w:val="es-ES"/>
        </w:rPr>
        <w:t xml:space="preserve"> enmiendas</w:t>
      </w:r>
      <w:r w:rsidR="00033524">
        <w:rPr>
          <w:rFonts w:ascii="Book Antiqua" w:hAnsi="Book Antiqua"/>
          <w:lang w:val="es-ES"/>
        </w:rPr>
        <w:t xml:space="preserve"> contenidas en el </w:t>
      </w:r>
      <w:proofErr w:type="spellStart"/>
      <w:r w:rsidR="00033524">
        <w:rPr>
          <w:rFonts w:ascii="Book Antiqua" w:hAnsi="Book Antiqua"/>
          <w:lang w:val="es-ES"/>
        </w:rPr>
        <w:t>entirillado</w:t>
      </w:r>
      <w:proofErr w:type="spellEnd"/>
      <w:r w:rsidR="00033524">
        <w:rPr>
          <w:rFonts w:ascii="Book Antiqua" w:hAnsi="Book Antiqua"/>
          <w:lang w:val="es-ES"/>
        </w:rPr>
        <w:t xml:space="preserve"> electrónico que se aneja a este Informe</w:t>
      </w:r>
      <w:r>
        <w:rPr>
          <w:rFonts w:ascii="Book Antiqua" w:hAnsi="Book Antiqua"/>
          <w:lang w:val="es-ES"/>
        </w:rPr>
        <w:t>.</w:t>
      </w:r>
    </w:p>
    <w:p w14:paraId="33F7F68D" w14:textId="77777777" w:rsidR="00B27E58" w:rsidRPr="009E1162" w:rsidRDefault="009E1162" w:rsidP="009E1162">
      <w:pPr>
        <w:spacing w:before="360" w:after="200"/>
        <w:jc w:val="center"/>
        <w:rPr>
          <w:rFonts w:ascii="Book Antiqua" w:hAnsi="Book Antiqua"/>
          <w:lang w:val="es-ES"/>
        </w:rPr>
      </w:pPr>
      <w:r>
        <w:rPr>
          <w:rFonts w:ascii="Book Antiqua" w:hAnsi="Book Antiqua"/>
          <w:b/>
          <w:bCs/>
          <w:caps/>
          <w:lang w:val="es-ES"/>
        </w:rPr>
        <w:t>ALCANCE DE LA MEDIDA</w:t>
      </w:r>
    </w:p>
    <w:p w14:paraId="4ABA49C7" w14:textId="7A22114A"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t>La Resolución Conjunta de la Cámara 275 ordena al Departamento de Agricultura y a la Junta de Planificación de Puerto Rico a proceder con la liberación de las restricciones y condiciones sobre preservación e indivisión previamente impuestas y anotadas, según dispuesto por la Ley Núm. 107 de 3 de julio de 1974, según enmendada, del predio de terreno marcado con el número seis (6) en el Plano de Subdivisión de la finca “Vega Redonda”, según consta en la Certificación de Título con Restricciones, otorgada en el Municipio de Guaynabo el 19 de julio de 2010, sobre la Finca Número Diez Mil Seiscientos Treinta y Uno (10,631), inscrita al Folio Número Ciento Cuarenta (140) del Tomo Ciento Sesenta y Dos (162) de Comerío, en el Registro de la Propiedad de Barranquitas, Inscripción Primera.</w:t>
      </w:r>
    </w:p>
    <w:p w14:paraId="67AD3DDE" w14:textId="77777777" w:rsidR="00B27E58" w:rsidRPr="009E1162" w:rsidRDefault="009E1162" w:rsidP="009E1162">
      <w:pPr>
        <w:spacing w:before="360" w:after="200"/>
        <w:jc w:val="center"/>
        <w:rPr>
          <w:rFonts w:ascii="Book Antiqua" w:hAnsi="Book Antiqua"/>
          <w:lang w:val="es-ES"/>
        </w:rPr>
      </w:pPr>
      <w:r>
        <w:rPr>
          <w:rFonts w:ascii="Book Antiqua" w:hAnsi="Book Antiqua"/>
          <w:b/>
          <w:bCs/>
          <w:caps/>
          <w:lang w:val="es-ES"/>
        </w:rPr>
        <w:t>ANÁLISIS DE LA MEDIDA</w:t>
      </w:r>
    </w:p>
    <w:p w14:paraId="7C2B6109" w14:textId="77777777"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lastRenderedPageBreak/>
        <w:t>La Ley Núm. 107 de 3 de julio de 1974, según enmendada, creó el Programa de Fincas de Tipo Familiar, conocido como “Título VI de la Ley de Tierras”. Conforme a dicha disposición legal, el Secretario de Agricultura está facultado para disponer de terrenos para uso agrícola mediante cesión, venta, arrendamiento o usufructo, bajo una serie de condiciones y restricciones que incluyen prohibiciones de segregación y de cambio de uso agrícola. La propia Ley Núm. 107, en su Artículo 3, reconoce la facultad inherente de la Asamblea Legislativa para ordenar la liberación de dichas restricciones en aquellos casos que lo estimare meritorio.</w:t>
      </w:r>
    </w:p>
    <w:p w14:paraId="27368BFC" w14:textId="77777777"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t>Mediante Certificación de Título con Restricciones expedida por Javier Rivera Aquino, Secretario del Departamento de Agricultura, otorgada en el Municipio de Guaynabo el 19 de julio de 2010, le fue otorgada a Don Rubén Rivera Burgos y a su esposa Doña Angelina Ortiz Rodríguez la titularidad del predio de terreno objeto de esta medida, bajo el Programa de Fincas Familiares, con las respectivas restricciones establecidas en la Ley Núm. 107. El predio está inscrito como Finca Número 10,631, al Folio Número 140 del Tomo 162 de Comerío, en el Registro de la Propiedad de Barranquitas, Inscripción Primera. Dicho inmueble fue transferido sujeto a las condiciones y restricciones impuestas por la referida ley.</w:t>
      </w:r>
    </w:p>
    <w:p w14:paraId="72A503CF" w14:textId="77777777"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t>La Exposición de Motivos de la medida establece que, en su origen, la finalidad del Programa de Fincas de Tipo Familiar era promover la agricultura en pequeños predios. No obstante, a lo largo de décadas de cambios sociales, económicos y demográficos en Puerto Rico, los hijos de aquellos primeros beneficiarios del Programa necesitaron un lugar donde vivir y desarrollarse, ampliando el entorno a través del establecimiento de comunidades en dichas tierras. Hoy, transcurrido el tiempo en que muchas de estas fincas dejaron de tener un fin prioritariamente agrícola, es necesario atemperar esa realidad en el Registro de la Propiedad, de modo que los hijos de los titulares originales puedan continuar los procedimientos legales necesarios y finalmente poseer en calidad de dueños.</w:t>
      </w:r>
    </w:p>
    <w:p w14:paraId="3F8FFE0E" w14:textId="77777777"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t>Las restricciones impuestas bajo el Título VI respondieron a un contexto histórico orientado a promover la agricultura en pequeños predios. Sin embargo, desde la adquisición del predio por Don Rubén Rivera Burgos y Doña Angelina Ortiz Rodríguez en el año 2010, han continuado ocurriendo cambios sociales, económicos y demográficos en Puerto Rico y particularmente en la zona rural de Comerío. Los titulares y sus descendientes necesitan poder disponer libremente de sus predios, y las restricciones vigentes constituyen un impedimento que no se ajusta a la realidad actual.</w:t>
      </w:r>
    </w:p>
    <w:p w14:paraId="12124178" w14:textId="07FE4F67" w:rsidR="00B27E58" w:rsidRPr="009E1162" w:rsidRDefault="009E1162" w:rsidP="009E1162">
      <w:pPr>
        <w:spacing w:before="240" w:after="200" w:line="276" w:lineRule="auto"/>
        <w:jc w:val="center"/>
        <w:rPr>
          <w:rFonts w:ascii="Book Antiqua" w:hAnsi="Book Antiqua"/>
          <w:lang w:val="es-ES"/>
        </w:rPr>
      </w:pPr>
      <w:r>
        <w:rPr>
          <w:rFonts w:ascii="Book Antiqua" w:hAnsi="Book Antiqua"/>
          <w:b/>
          <w:bCs/>
          <w:lang w:val="es-ES"/>
        </w:rPr>
        <w:t>Autoridad de Tierras de Puerto Rico</w:t>
      </w:r>
    </w:p>
    <w:p w14:paraId="61665F06" w14:textId="77777777"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lastRenderedPageBreak/>
        <w:t>Es de conocimiento de esta Comisión que la Autoridad de Tierras de Puerto Rico (ATPR), corporación pública adscrita al Departamento de Agricultura creada al amparo de la Ley Núm. 26 de 1941 y a cargo de la administración del Programa de Fincas de Tipo Familiar desde el Plan de Reorganización Núm. 4 del 29 de julio de 2010, ha mantenido de manera consistente la posición de recomendar desfavorablemente las resoluciones conjuntas que buscan la liberación de restricciones y condiciones de uso agrícola impuestas bajo el Título VI de la Ley de Tierras.</w:t>
      </w:r>
    </w:p>
    <w:p w14:paraId="2F585F7E" w14:textId="77777777"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t>La ATPR fundamenta dicha postura en que, según disponen la Ley Núm. 177 de 23 de octubre de 2014 y la Ley Núm. 113 de 29 de julio de 2024, su agencia se encuentra impedida legalmente de aprobar segregaciones a segundos y/o terceros titulares en fincas que fueron obtenidas bajo el Título VI, dado que sus titulares aceptaron las condiciones y restricciones de forma libre y voluntaria.</w:t>
      </w:r>
    </w:p>
    <w:p w14:paraId="6C543758" w14:textId="77777777"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t>Esta Comisión ha tenido la oportunidad de evaluar múltiples memoriales de la Autoridad de Tierras en medidas análogas y ha constatado que dicha entidad asume sistemáticamente la misma posición en todos los casos que pretenden el mismo propósito de liberar restricciones sobre terrenos del Programa de Fincas de Tipo Familiar.</w:t>
      </w:r>
    </w:p>
    <w:p w14:paraId="15A87FD4" w14:textId="77777777"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t>No obstante la posición expresada por la Autoridad de Tierras, esta Comisión entiende que la aprobación de la R. C. de la C. 275 constituye un acto meritorio y de justicia para Don Rubén Rivera Burgos y Doña Angelina Ortiz Rodríguez y sus descendientes, quienes han permanecido sujetos a restricciones que ya no cumplen el propósito para el cual fueron concebidas.</w:t>
      </w:r>
    </w:p>
    <w:p w14:paraId="7C3C98F1" w14:textId="77777777"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t>La Asamblea Legislativa, como poder soberano del Estado Libre Asociado de Puerto Rico, tiene la facultad constitucional de ordenar la liberación de condiciones y restricciones cuando el interés público así lo demande. Esta facultad está expresamente reconocida en el propio Artículo 3 de la Ley Núm. 107 de 1974, que dispone que la Asamblea Legislativa podrá liberar las restricciones en aquellos casos que estime meritorios. La realidad fáctica del predio demuestra que las condiciones originales del Título VI ya no responden al uso actual del terreno ni a las necesidades de sus titulares y descendientes.</w:t>
      </w:r>
    </w:p>
    <w:p w14:paraId="3BC446D8" w14:textId="77777777"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t>Resulta pertinente señalar que esta Asamblea Legislativa ha ejercido consistentemente esta facultad al aprobar múltiples resoluciones conjuntas de naturaleza similar en legislaturas anteriores, reconociendo que las condiciones originales del Programa de Fincas de Tipo Familiar ya no responden a la realidad social y económica de los titulares y sus herederos. La presente medida es cónsona con dicha trayectoria legislativa.</w:t>
      </w:r>
    </w:p>
    <w:p w14:paraId="73DE9885" w14:textId="77777777"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lastRenderedPageBreak/>
        <w:t>En virtud de sus facultades legislativas, y luego de haber evaluado los méritos de la medida, la posición de la Autoridad de Tierras y las circunstancias particulares de este caso, la Comisión de Agricultura procede a recomendar la aprobación de la R. C. de la C. 275.</w:t>
      </w:r>
    </w:p>
    <w:p w14:paraId="3D8E0E2B" w14:textId="77777777" w:rsidR="00B27E58" w:rsidRPr="009E1162" w:rsidRDefault="009E1162" w:rsidP="009E1162">
      <w:pPr>
        <w:spacing w:before="360" w:after="200"/>
        <w:jc w:val="center"/>
        <w:rPr>
          <w:rFonts w:ascii="Book Antiqua" w:hAnsi="Book Antiqua"/>
          <w:lang w:val="es-ES"/>
        </w:rPr>
      </w:pPr>
      <w:r>
        <w:rPr>
          <w:rFonts w:ascii="Book Antiqua" w:hAnsi="Book Antiqua"/>
          <w:b/>
          <w:bCs/>
          <w:caps/>
          <w:lang w:val="es-ES"/>
        </w:rPr>
        <w:t>IMPACTO FISCAL</w:t>
      </w:r>
    </w:p>
    <w:p w14:paraId="0DC25806" w14:textId="77777777"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t>La medida propuesta no conlleva impacto fiscal al erario público. La liberación de las condiciones y restricciones impuestas bajo el Título VI de la Ley de Tierras constituye un acto administrativo que no requiere asignaciones presupuestarias adicionales. El Departamento de Agricultura y la Junta de Planificación absorberán los costos de tramitación dentro de sus asignaciones presupuestarias ordinarias.</w:t>
      </w:r>
    </w:p>
    <w:p w14:paraId="73B78DD5" w14:textId="77777777" w:rsidR="00B27E58" w:rsidRPr="009E1162" w:rsidRDefault="009E1162" w:rsidP="009E1162">
      <w:pPr>
        <w:spacing w:before="360" w:after="200"/>
        <w:jc w:val="center"/>
        <w:rPr>
          <w:rFonts w:ascii="Book Antiqua" w:hAnsi="Book Antiqua"/>
          <w:lang w:val="es-ES"/>
        </w:rPr>
      </w:pPr>
      <w:r>
        <w:rPr>
          <w:rFonts w:ascii="Book Antiqua" w:hAnsi="Book Antiqua"/>
          <w:b/>
          <w:bCs/>
          <w:caps/>
          <w:lang w:val="es-ES"/>
        </w:rPr>
        <w:t>CONCLUSIÓN</w:t>
      </w:r>
    </w:p>
    <w:p w14:paraId="63C9124C" w14:textId="240E66B6" w:rsidR="00B27E58" w:rsidRPr="009E1162" w:rsidRDefault="009E1162" w:rsidP="009E1162">
      <w:pPr>
        <w:spacing w:after="600" w:line="276" w:lineRule="auto"/>
        <w:ind w:firstLine="720"/>
        <w:jc w:val="both"/>
        <w:rPr>
          <w:rFonts w:ascii="Book Antiqua" w:hAnsi="Book Antiqua"/>
          <w:lang w:val="es-ES"/>
        </w:rPr>
      </w:pPr>
      <w:r>
        <w:rPr>
          <w:rFonts w:ascii="Book Antiqua" w:hAnsi="Book Antiqua"/>
          <w:lang w:val="es-ES"/>
        </w:rPr>
        <w:t xml:space="preserve">Por todo lo antes expuesto, la Comisión de Agricultura de la Cámara de Representantes del Gobierno de Puerto Rico, previo estudio y consideración, tiene a bien someter su Informe con relación a la Resolución Conjunta de la Cámara 275, </w:t>
      </w:r>
      <w:r>
        <w:rPr>
          <w:rFonts w:ascii="Book Antiqua" w:hAnsi="Book Antiqua"/>
          <w:b/>
          <w:bCs/>
          <w:lang w:val="es-ES"/>
        </w:rPr>
        <w:t xml:space="preserve">recomendando su aprobación, </w:t>
      </w:r>
      <w:r w:rsidR="00033524">
        <w:rPr>
          <w:rFonts w:ascii="Book Antiqua" w:hAnsi="Book Antiqua"/>
          <w:b/>
          <w:bCs/>
          <w:lang w:val="es-ES"/>
        </w:rPr>
        <w:t>con las</w:t>
      </w:r>
      <w:r>
        <w:rPr>
          <w:rFonts w:ascii="Book Antiqua" w:hAnsi="Book Antiqua"/>
          <w:b/>
          <w:bCs/>
          <w:lang w:val="es-ES"/>
        </w:rPr>
        <w:t xml:space="preserve"> enmiendas</w:t>
      </w:r>
      <w:r w:rsidR="00033524">
        <w:rPr>
          <w:rFonts w:ascii="Book Antiqua" w:hAnsi="Book Antiqua"/>
          <w:b/>
          <w:bCs/>
          <w:lang w:val="es-ES"/>
        </w:rPr>
        <w:t xml:space="preserve"> contenidas en el </w:t>
      </w:r>
      <w:proofErr w:type="spellStart"/>
      <w:r w:rsidR="00033524">
        <w:rPr>
          <w:rFonts w:ascii="Book Antiqua" w:hAnsi="Book Antiqua"/>
          <w:b/>
          <w:bCs/>
          <w:lang w:val="es-ES"/>
        </w:rPr>
        <w:t>entirillado</w:t>
      </w:r>
      <w:proofErr w:type="spellEnd"/>
      <w:r w:rsidR="00033524">
        <w:rPr>
          <w:rFonts w:ascii="Book Antiqua" w:hAnsi="Book Antiqua"/>
          <w:b/>
          <w:bCs/>
          <w:lang w:val="es-ES"/>
        </w:rPr>
        <w:t xml:space="preserve"> electrónico que se aneja a este Informe</w:t>
      </w:r>
      <w:r>
        <w:rPr>
          <w:rFonts w:ascii="Book Antiqua" w:hAnsi="Book Antiqua"/>
          <w:b/>
          <w:bCs/>
          <w:lang w:val="es-ES"/>
        </w:rPr>
        <w:t xml:space="preserve">. </w:t>
      </w:r>
    </w:p>
    <w:p w14:paraId="1B960417" w14:textId="77777777" w:rsidR="009E1162" w:rsidRDefault="009E1162">
      <w:pPr>
        <w:spacing w:after="40" w:line="276" w:lineRule="auto"/>
        <w:rPr>
          <w:rFonts w:ascii="Book Antiqua" w:hAnsi="Book Antiqua"/>
          <w:b/>
          <w:bCs/>
          <w:lang w:val="es-ES"/>
        </w:rPr>
      </w:pPr>
    </w:p>
    <w:p w14:paraId="33CFD96F" w14:textId="6F5B45EA" w:rsidR="00B27E58" w:rsidRPr="009E1162" w:rsidRDefault="009E1162" w:rsidP="00033524">
      <w:pPr>
        <w:spacing w:after="40" w:line="276" w:lineRule="auto"/>
        <w:jc w:val="center"/>
        <w:rPr>
          <w:rFonts w:ascii="Book Antiqua" w:hAnsi="Book Antiqua"/>
          <w:lang w:val="es-ES"/>
        </w:rPr>
      </w:pPr>
      <w:r>
        <w:rPr>
          <w:rFonts w:ascii="Book Antiqua" w:hAnsi="Book Antiqua"/>
          <w:b/>
          <w:bCs/>
          <w:lang w:val="es-ES"/>
        </w:rPr>
        <w:t>Hon. Joe “Joito” Colón Rodríguez</w:t>
      </w:r>
    </w:p>
    <w:p w14:paraId="47D53969" w14:textId="77777777" w:rsidR="00B27E58" w:rsidRPr="009E1162" w:rsidRDefault="009E1162" w:rsidP="00033524">
      <w:pPr>
        <w:spacing w:after="40" w:line="276" w:lineRule="auto"/>
        <w:jc w:val="center"/>
        <w:rPr>
          <w:rFonts w:ascii="Book Antiqua" w:hAnsi="Book Antiqua"/>
          <w:lang w:val="es-ES"/>
        </w:rPr>
      </w:pPr>
      <w:r>
        <w:rPr>
          <w:rFonts w:ascii="Book Antiqua" w:hAnsi="Book Antiqua"/>
          <w:b/>
          <w:bCs/>
          <w:lang w:val="es-ES"/>
        </w:rPr>
        <w:t>Presidente</w:t>
      </w:r>
    </w:p>
    <w:p w14:paraId="5A0852ED" w14:textId="77777777" w:rsidR="00B27E58" w:rsidRPr="009E1162" w:rsidRDefault="009E1162" w:rsidP="00033524">
      <w:pPr>
        <w:spacing w:after="200" w:line="276" w:lineRule="auto"/>
        <w:jc w:val="center"/>
        <w:rPr>
          <w:rFonts w:ascii="Book Antiqua" w:hAnsi="Book Antiqua"/>
          <w:lang w:val="es-ES"/>
        </w:rPr>
      </w:pPr>
      <w:r>
        <w:rPr>
          <w:rFonts w:ascii="Book Antiqua" w:hAnsi="Book Antiqua"/>
          <w:b/>
          <w:bCs/>
          <w:lang w:val="es-ES"/>
        </w:rPr>
        <w:t>Comisión de Agricultura</w:t>
      </w:r>
    </w:p>
    <w:sectPr w:rsidR="00B27E58" w:rsidRPr="009E1162" w:rsidSect="00C37DE0">
      <w:headerReference w:type="even" r:id="rId7"/>
      <w:headerReference w:type="default" r:id="rId8"/>
      <w:pgSz w:w="12240" w:h="15840"/>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77AD29" w14:textId="77777777" w:rsidR="007C23F1" w:rsidRDefault="007C23F1">
      <w:r>
        <w:separator/>
      </w:r>
    </w:p>
  </w:endnote>
  <w:endnote w:type="continuationSeparator" w:id="0">
    <w:p w14:paraId="632550F3" w14:textId="77777777" w:rsidR="007C23F1" w:rsidRDefault="007C23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406955" w14:textId="77777777" w:rsidR="007C23F1" w:rsidRDefault="007C23F1">
      <w:r>
        <w:separator/>
      </w:r>
    </w:p>
  </w:footnote>
  <w:footnote w:type="continuationSeparator" w:id="0">
    <w:p w14:paraId="4FAA77BA" w14:textId="77777777" w:rsidR="007C23F1" w:rsidRDefault="007C23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39925149"/>
      <w:docPartObj>
        <w:docPartGallery w:val="Page Numbers (Top of Page)"/>
        <w:docPartUnique/>
      </w:docPartObj>
    </w:sdtPr>
    <w:sdtEndPr>
      <w:rPr>
        <w:rStyle w:val="PageNumber"/>
      </w:rPr>
    </w:sdtEndPr>
    <w:sdtContent>
      <w:p w14:paraId="459419C2" w14:textId="51E748C9" w:rsidR="00C37DE0" w:rsidRDefault="00C37DE0" w:rsidP="0089143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0D063DE" w14:textId="77777777" w:rsidR="00C37DE0" w:rsidRDefault="00C37DE0" w:rsidP="00C37DE0">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36691803"/>
      <w:docPartObj>
        <w:docPartGallery w:val="Page Numbers (Top of Page)"/>
        <w:docPartUnique/>
      </w:docPartObj>
    </w:sdtPr>
    <w:sdtEndPr>
      <w:rPr>
        <w:rStyle w:val="PageNumber"/>
      </w:rPr>
    </w:sdtEndPr>
    <w:sdtContent>
      <w:p w14:paraId="3BB50447" w14:textId="65C68D24" w:rsidR="00C37DE0" w:rsidRDefault="00C37DE0" w:rsidP="0089143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64E7A41" w14:textId="77777777" w:rsidR="00C37DE0" w:rsidRDefault="00C37DE0" w:rsidP="00C37DE0">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9C2EAF"/>
    <w:multiLevelType w:val="hybridMultilevel"/>
    <w:tmpl w:val="71043EE4"/>
    <w:lvl w:ilvl="0" w:tplc="02885292">
      <w:start w:val="1"/>
      <w:numFmt w:val="bullet"/>
      <w:lvlText w:val="●"/>
      <w:lvlJc w:val="left"/>
      <w:pPr>
        <w:ind w:left="720" w:hanging="360"/>
      </w:pPr>
    </w:lvl>
    <w:lvl w:ilvl="1" w:tplc="25FEC6FE">
      <w:start w:val="1"/>
      <w:numFmt w:val="bullet"/>
      <w:lvlText w:val="○"/>
      <w:lvlJc w:val="left"/>
      <w:pPr>
        <w:ind w:left="1440" w:hanging="360"/>
      </w:pPr>
    </w:lvl>
    <w:lvl w:ilvl="2" w:tplc="898092C2">
      <w:start w:val="1"/>
      <w:numFmt w:val="bullet"/>
      <w:lvlText w:val="■"/>
      <w:lvlJc w:val="left"/>
      <w:pPr>
        <w:ind w:left="2160" w:hanging="360"/>
      </w:pPr>
    </w:lvl>
    <w:lvl w:ilvl="3" w:tplc="81C03B06">
      <w:start w:val="1"/>
      <w:numFmt w:val="bullet"/>
      <w:lvlText w:val="●"/>
      <w:lvlJc w:val="left"/>
      <w:pPr>
        <w:ind w:left="2880" w:hanging="360"/>
      </w:pPr>
    </w:lvl>
    <w:lvl w:ilvl="4" w:tplc="B8E6DA62">
      <w:start w:val="1"/>
      <w:numFmt w:val="bullet"/>
      <w:lvlText w:val="○"/>
      <w:lvlJc w:val="left"/>
      <w:pPr>
        <w:ind w:left="3600" w:hanging="360"/>
      </w:pPr>
    </w:lvl>
    <w:lvl w:ilvl="5" w:tplc="6DA2803E">
      <w:start w:val="1"/>
      <w:numFmt w:val="bullet"/>
      <w:lvlText w:val="■"/>
      <w:lvlJc w:val="left"/>
      <w:pPr>
        <w:ind w:left="4320" w:hanging="360"/>
      </w:pPr>
    </w:lvl>
    <w:lvl w:ilvl="6" w:tplc="607CFAF0">
      <w:start w:val="1"/>
      <w:numFmt w:val="bullet"/>
      <w:lvlText w:val="●"/>
      <w:lvlJc w:val="left"/>
      <w:pPr>
        <w:ind w:left="5040" w:hanging="360"/>
      </w:pPr>
    </w:lvl>
    <w:lvl w:ilvl="7" w:tplc="5DAE30F2">
      <w:start w:val="1"/>
      <w:numFmt w:val="bullet"/>
      <w:lvlText w:val="●"/>
      <w:lvlJc w:val="left"/>
      <w:pPr>
        <w:ind w:left="5760" w:hanging="360"/>
      </w:pPr>
    </w:lvl>
    <w:lvl w:ilvl="8" w:tplc="160046F4">
      <w:start w:val="1"/>
      <w:numFmt w:val="bullet"/>
      <w:lvlText w:val="●"/>
      <w:lvlJc w:val="left"/>
      <w:pPr>
        <w:ind w:left="6480" w:hanging="360"/>
      </w:pPr>
    </w:lvl>
  </w:abstractNum>
  <w:num w:numId="1" w16cid:durableId="95348642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7E58"/>
    <w:rsid w:val="00033524"/>
    <w:rsid w:val="001D56A3"/>
    <w:rsid w:val="003D5FAE"/>
    <w:rsid w:val="005E290A"/>
    <w:rsid w:val="007C23F1"/>
    <w:rsid w:val="008E16C8"/>
    <w:rsid w:val="009E1162"/>
    <w:rsid w:val="00B27E58"/>
    <w:rsid w:val="00C37DE0"/>
    <w:rsid w:val="00DE60A1"/>
    <w:rsid w:val="00ED5C74"/>
    <w:rsid w:val="00F234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19B91"/>
  <w15:docId w15:val="{B05E5479-CFA1-6447-9DDC-2202DC54B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link w:val="Heading1Char"/>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customStyle="1" w:styleId="Heading1Char">
    <w:name w:val="Heading 1 Char"/>
    <w:basedOn w:val="DefaultParagraphFont"/>
    <w:link w:val="Heading1"/>
    <w:uiPriority w:val="9"/>
    <w:rsid w:val="009E1162"/>
    <w:rPr>
      <w:color w:val="2E74B5"/>
      <w:sz w:val="32"/>
      <w:szCs w:val="32"/>
    </w:rPr>
  </w:style>
  <w:style w:type="paragraph" w:customStyle="1" w:styleId="Title2">
    <w:name w:val="Title2"/>
    <w:basedOn w:val="Normal"/>
    <w:next w:val="Normal"/>
    <w:rsid w:val="009E1162"/>
    <w:pPr>
      <w:tabs>
        <w:tab w:val="left" w:pos="648"/>
        <w:tab w:val="right" w:pos="7776"/>
        <w:tab w:val="left" w:pos="7848"/>
      </w:tabs>
    </w:pPr>
    <w:rPr>
      <w:rFonts w:eastAsia="Batang"/>
      <w:szCs w:val="20"/>
    </w:rPr>
  </w:style>
  <w:style w:type="paragraph" w:styleId="Header">
    <w:name w:val="header"/>
    <w:basedOn w:val="Normal"/>
    <w:link w:val="HeaderChar"/>
    <w:uiPriority w:val="99"/>
    <w:unhideWhenUsed/>
    <w:rsid w:val="009E1162"/>
    <w:pPr>
      <w:tabs>
        <w:tab w:val="center" w:pos="4680"/>
        <w:tab w:val="right" w:pos="9360"/>
      </w:tabs>
    </w:pPr>
  </w:style>
  <w:style w:type="character" w:customStyle="1" w:styleId="HeaderChar">
    <w:name w:val="Header Char"/>
    <w:basedOn w:val="DefaultParagraphFont"/>
    <w:link w:val="Header"/>
    <w:uiPriority w:val="99"/>
    <w:rsid w:val="009E1162"/>
  </w:style>
  <w:style w:type="paragraph" w:styleId="Footer">
    <w:name w:val="footer"/>
    <w:basedOn w:val="Normal"/>
    <w:link w:val="FooterChar"/>
    <w:uiPriority w:val="99"/>
    <w:unhideWhenUsed/>
    <w:rsid w:val="009E1162"/>
    <w:pPr>
      <w:tabs>
        <w:tab w:val="center" w:pos="4680"/>
        <w:tab w:val="right" w:pos="9360"/>
      </w:tabs>
    </w:pPr>
  </w:style>
  <w:style w:type="character" w:customStyle="1" w:styleId="FooterChar">
    <w:name w:val="Footer Char"/>
    <w:basedOn w:val="DefaultParagraphFont"/>
    <w:link w:val="Footer"/>
    <w:uiPriority w:val="99"/>
    <w:rsid w:val="009E1162"/>
  </w:style>
  <w:style w:type="character" w:styleId="PageNumber">
    <w:name w:val="page number"/>
    <w:basedOn w:val="DefaultParagraphFont"/>
    <w:uiPriority w:val="99"/>
    <w:semiHidden/>
    <w:unhideWhenUsed/>
    <w:rsid w:val="00C37D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1181</Words>
  <Characters>6734</Characters>
  <Application>Microsoft Office Word</Application>
  <DocSecurity>4</DocSecurity>
  <Lines>56</Lines>
  <Paragraphs>15</Paragraphs>
  <ScaleCrop>false</ScaleCrop>
  <Company/>
  <LinksUpToDate>false</LinksUpToDate>
  <CharactersWithSpaces>7900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Camyl Moreno Pantojas</cp:lastModifiedBy>
  <cp:revision>2</cp:revision>
  <dcterms:created xsi:type="dcterms:W3CDTF">2026-03-17T18:51:00Z</dcterms:created>
  <dcterms:modified xsi:type="dcterms:W3CDTF">2026-03-17T18:51:00Z</dcterms:modified>
</cp:coreProperties>
</file>