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892E631" w:rsidR="003A0F75" w:rsidRPr="00A33B4F" w:rsidRDefault="00DF39ED" w:rsidP="00DD334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GOBIERNO </w:t>
      </w:r>
      <w:r w:rsidR="00F54F2E" w:rsidRPr="00A33B4F">
        <w:rPr>
          <w:rFonts w:ascii="Book Antiqua" w:eastAsia="Book Antiqua" w:hAnsi="Book Antiqua" w:cs="Book Antiqua"/>
          <w:sz w:val="28"/>
          <w:szCs w:val="28"/>
        </w:rPr>
        <w:t>DE PUERTO RICO</w:t>
      </w:r>
    </w:p>
    <w:p w14:paraId="00000002" w14:textId="77777777" w:rsidR="003A0F75" w:rsidRPr="00FB543C" w:rsidRDefault="003A0F75" w:rsidP="00DD334E">
      <w:pPr>
        <w:jc w:val="center"/>
        <w:rPr>
          <w:rFonts w:ascii="Book Antiqua" w:eastAsia="Book Antiqua" w:hAnsi="Book Antiqua" w:cs="Book Antiqua"/>
        </w:rPr>
      </w:pPr>
    </w:p>
    <w:p w14:paraId="00000003" w14:textId="7C3A1868" w:rsidR="003A0F75" w:rsidRPr="0046197E" w:rsidRDefault="00A274AD" w:rsidP="00A274A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46197E">
        <w:rPr>
          <w:rFonts w:ascii="Book Antiqua" w:eastAsia="Book Antiqua" w:hAnsi="Book Antiqua" w:cs="Book Antiqua"/>
          <w:lang w:val="es-PR"/>
        </w:rPr>
        <w:t>20ma.</w:t>
      </w:r>
      <w:r w:rsidR="00F54F2E" w:rsidRPr="0046197E">
        <w:rPr>
          <w:rFonts w:ascii="Book Antiqua" w:eastAsia="Book Antiqua" w:hAnsi="Book Antiqua" w:cs="Book Antiqua"/>
          <w:lang w:val="es-PR"/>
        </w:rPr>
        <w:tab/>
        <w:t>Asamblea</w:t>
      </w:r>
      <w:proofErr w:type="gramStart"/>
      <w:r w:rsidR="00F54F2E" w:rsidRPr="0046197E">
        <w:rPr>
          <w:rFonts w:ascii="Book Antiqua" w:eastAsia="Book Antiqua" w:hAnsi="Book Antiqua" w:cs="Book Antiqua"/>
          <w:lang w:val="es-PR"/>
        </w:rPr>
        <w:tab/>
      </w:r>
      <w:r w:rsidR="00DF39ED" w:rsidRPr="0046197E">
        <w:rPr>
          <w:rFonts w:ascii="Book Antiqua" w:eastAsia="Book Antiqua" w:hAnsi="Book Antiqua" w:cs="Book Antiqua"/>
          <w:lang w:val="es-PR"/>
        </w:rPr>
        <w:t xml:space="preserve">  </w:t>
      </w:r>
      <w:r w:rsidRPr="0046197E">
        <w:rPr>
          <w:rFonts w:ascii="Book Antiqua" w:eastAsia="Book Antiqua" w:hAnsi="Book Antiqua" w:cs="Book Antiqua"/>
          <w:lang w:val="es-PR"/>
        </w:rPr>
        <w:tab/>
      </w:r>
      <w:proofErr w:type="gramEnd"/>
      <w:r w:rsidRPr="0046197E">
        <w:rPr>
          <w:rFonts w:ascii="Book Antiqua" w:eastAsia="Book Antiqua" w:hAnsi="Book Antiqua" w:cs="Book Antiqua"/>
          <w:lang w:val="es-PR"/>
        </w:rPr>
        <w:tab/>
      </w:r>
      <w:r w:rsidRPr="0046197E">
        <w:rPr>
          <w:rFonts w:ascii="Book Antiqua" w:eastAsia="Book Antiqua" w:hAnsi="Book Antiqua" w:cs="Book Antiqua"/>
          <w:lang w:val="es-PR"/>
        </w:rPr>
        <w:tab/>
      </w:r>
      <w:r w:rsidRPr="0046197E">
        <w:rPr>
          <w:rFonts w:ascii="Book Antiqua" w:eastAsia="Book Antiqua" w:hAnsi="Book Antiqua" w:cs="Book Antiqua"/>
          <w:lang w:val="es-PR"/>
        </w:rPr>
        <w:tab/>
      </w:r>
      <w:r w:rsidRPr="0046197E">
        <w:rPr>
          <w:rFonts w:ascii="Book Antiqua" w:eastAsia="Book Antiqua" w:hAnsi="Book Antiqua" w:cs="Book Antiqua"/>
          <w:lang w:val="es-PR"/>
        </w:rPr>
        <w:tab/>
      </w:r>
      <w:r w:rsidRPr="0046197E">
        <w:rPr>
          <w:rFonts w:ascii="Book Antiqua" w:eastAsia="Book Antiqua" w:hAnsi="Book Antiqua" w:cs="Book Antiqua"/>
          <w:lang w:val="es-PR"/>
        </w:rPr>
        <w:tab/>
        <w:t xml:space="preserve">          </w:t>
      </w:r>
      <w:r w:rsidR="00DF39ED" w:rsidRPr="0046197E">
        <w:rPr>
          <w:rFonts w:ascii="Book Antiqua" w:eastAsia="Book Antiqua" w:hAnsi="Book Antiqua" w:cs="Book Antiqua"/>
          <w:lang w:val="es-PR"/>
        </w:rPr>
        <w:t xml:space="preserve"> </w:t>
      </w:r>
      <w:r w:rsidR="0046197E">
        <w:rPr>
          <w:rFonts w:ascii="Book Antiqua" w:eastAsia="Book Antiqua" w:hAnsi="Book Antiqua" w:cs="Book Antiqua"/>
          <w:lang w:val="es-PR"/>
        </w:rPr>
        <w:t xml:space="preserve">            </w:t>
      </w:r>
      <w:r w:rsidRPr="0046197E">
        <w:rPr>
          <w:rFonts w:ascii="Book Antiqua" w:eastAsia="Book Antiqua" w:hAnsi="Book Antiqua" w:cs="Book Antiqua"/>
          <w:lang w:val="es-PR"/>
        </w:rPr>
        <w:t>3ra.</w:t>
      </w:r>
      <w:r w:rsidR="00DF39ED" w:rsidRPr="0046197E">
        <w:rPr>
          <w:rFonts w:ascii="Book Antiqua" w:eastAsia="Book Antiqua" w:hAnsi="Book Antiqua" w:cs="Book Antiqua"/>
          <w:lang w:val="es-PR"/>
        </w:rPr>
        <w:t xml:space="preserve"> </w:t>
      </w:r>
      <w:r w:rsidR="00F54F2E" w:rsidRPr="0046197E">
        <w:rPr>
          <w:rFonts w:ascii="Book Antiqua" w:eastAsia="Book Antiqua" w:hAnsi="Book Antiqua" w:cs="Book Antiqua"/>
          <w:lang w:val="es-PR"/>
        </w:rPr>
        <w:t>Sesión</w:t>
      </w:r>
    </w:p>
    <w:p w14:paraId="00000004" w14:textId="5BC728AB" w:rsidR="003A0F75" w:rsidRPr="0046197E" w:rsidRDefault="00F54F2E" w:rsidP="00A274A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46197E">
        <w:rPr>
          <w:rFonts w:ascii="Book Antiqua" w:eastAsia="Book Antiqua" w:hAnsi="Book Antiqua" w:cs="Book Antiqua"/>
          <w:lang w:val="es-PR"/>
        </w:rPr>
        <w:tab/>
        <w:t>Legislativa</w:t>
      </w:r>
      <w:r w:rsidRPr="0046197E">
        <w:rPr>
          <w:rFonts w:ascii="Book Antiqua" w:eastAsia="Book Antiqua" w:hAnsi="Book Antiqua" w:cs="Book Antiqua"/>
          <w:lang w:val="es-PR"/>
        </w:rPr>
        <w:tab/>
      </w:r>
      <w:r w:rsidR="00DF39ED" w:rsidRPr="0046197E">
        <w:rPr>
          <w:rFonts w:ascii="Book Antiqua" w:eastAsia="Book Antiqua" w:hAnsi="Book Antiqua" w:cs="Book Antiqua"/>
          <w:lang w:val="es-PR"/>
        </w:rPr>
        <w:t xml:space="preserve"> </w:t>
      </w:r>
      <w:r w:rsidRPr="0046197E">
        <w:rPr>
          <w:rFonts w:ascii="Book Antiqua" w:eastAsia="Book Antiqua" w:hAnsi="Book Antiqua" w:cs="Book Antiqua"/>
          <w:lang w:val="es-PR"/>
        </w:rPr>
        <w:tab/>
      </w:r>
      <w:r w:rsidR="00A274AD" w:rsidRPr="0046197E">
        <w:rPr>
          <w:rFonts w:ascii="Book Antiqua" w:eastAsia="Book Antiqua" w:hAnsi="Book Antiqua" w:cs="Book Antiqua"/>
          <w:lang w:val="es-PR"/>
        </w:rPr>
        <w:tab/>
      </w:r>
      <w:r w:rsidR="00A274AD" w:rsidRPr="0046197E">
        <w:rPr>
          <w:rFonts w:ascii="Book Antiqua" w:eastAsia="Book Antiqua" w:hAnsi="Book Antiqua" w:cs="Book Antiqua"/>
          <w:lang w:val="es-PR"/>
        </w:rPr>
        <w:tab/>
      </w:r>
      <w:r w:rsidR="00A274AD" w:rsidRPr="0046197E">
        <w:rPr>
          <w:rFonts w:ascii="Book Antiqua" w:eastAsia="Book Antiqua" w:hAnsi="Book Antiqua" w:cs="Book Antiqua"/>
          <w:lang w:val="es-PR"/>
        </w:rPr>
        <w:tab/>
      </w:r>
      <w:r w:rsidR="00A274AD" w:rsidRPr="0046197E">
        <w:rPr>
          <w:rFonts w:ascii="Book Antiqua" w:eastAsia="Book Antiqua" w:hAnsi="Book Antiqua" w:cs="Book Antiqua"/>
          <w:lang w:val="es-PR"/>
        </w:rPr>
        <w:tab/>
      </w:r>
      <w:r w:rsidR="00A274AD" w:rsidRPr="0046197E">
        <w:rPr>
          <w:rFonts w:ascii="Book Antiqua" w:eastAsia="Book Antiqua" w:hAnsi="Book Antiqua" w:cs="Book Antiqua"/>
          <w:lang w:val="es-PR"/>
        </w:rPr>
        <w:tab/>
      </w:r>
      <w:r w:rsidR="00A274AD" w:rsidRPr="0046197E">
        <w:rPr>
          <w:rFonts w:ascii="Book Antiqua" w:eastAsia="Book Antiqua" w:hAnsi="Book Antiqua" w:cs="Book Antiqua"/>
          <w:lang w:val="es-PR"/>
        </w:rPr>
        <w:tab/>
      </w:r>
      <w:r w:rsidR="00A274AD" w:rsidRPr="0046197E">
        <w:rPr>
          <w:rFonts w:ascii="Book Antiqua" w:eastAsia="Book Antiqua" w:hAnsi="Book Antiqua" w:cs="Book Antiqua"/>
          <w:lang w:val="es-PR"/>
        </w:rPr>
        <w:tab/>
        <w:t xml:space="preserve">      </w:t>
      </w:r>
      <w:r w:rsidRPr="0046197E">
        <w:rPr>
          <w:rFonts w:ascii="Book Antiqua" w:eastAsia="Book Antiqua" w:hAnsi="Book Antiqua" w:cs="Book Antiqua"/>
          <w:lang w:val="es-PR"/>
        </w:rPr>
        <w:t>Ordinaria</w:t>
      </w:r>
    </w:p>
    <w:p w14:paraId="00000005" w14:textId="77777777" w:rsidR="003A0F75" w:rsidRPr="0046197E" w:rsidRDefault="003A0F75" w:rsidP="00A274AD">
      <w:pPr>
        <w:rPr>
          <w:rFonts w:ascii="Book Antiqua" w:hAnsi="Book Antiqua"/>
          <w:lang w:val="es-PR"/>
        </w:rPr>
      </w:pPr>
    </w:p>
    <w:p w14:paraId="00000006" w14:textId="77777777" w:rsidR="003A0F75" w:rsidRDefault="00F54F2E" w:rsidP="00DD334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33B4F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3BA9E728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204AFFED" w:rsidR="003A0F75" w:rsidRDefault="002915AC" w:rsidP="00DD334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C.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 xml:space="preserve"> de la C. </w:t>
      </w:r>
      <w:r w:rsidR="00E91375">
        <w:rPr>
          <w:rFonts w:ascii="Book Antiqua" w:eastAsia="Book Antiqua" w:hAnsi="Book Antiqua" w:cs="Book Antiqua"/>
          <w:b/>
          <w:sz w:val="52"/>
          <w:szCs w:val="52"/>
        </w:rPr>
        <w:t>277</w:t>
      </w:r>
    </w:p>
    <w:p w14:paraId="5F3F764F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3C970662" w:rsidR="003A0F75" w:rsidRDefault="00C56AFB" w:rsidP="00DD334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30 DE ENERO DE 2026</w:t>
      </w:r>
    </w:p>
    <w:p w14:paraId="16DDBEA8" w14:textId="77777777" w:rsidR="00011940" w:rsidRPr="00A33B4F" w:rsidRDefault="00011940" w:rsidP="00DD334E">
      <w:pPr>
        <w:jc w:val="center"/>
        <w:rPr>
          <w:rFonts w:ascii="Book Antiqua" w:eastAsia="Book Antiqua" w:hAnsi="Book Antiqua" w:cs="Book Antiqua"/>
        </w:rPr>
      </w:pPr>
    </w:p>
    <w:p w14:paraId="43E58437" w14:textId="50AE21B5" w:rsidR="00971805" w:rsidRDefault="00F54F2E" w:rsidP="00DD334E">
      <w:pPr>
        <w:jc w:val="center"/>
        <w:rPr>
          <w:rFonts w:ascii="Book Antiqua" w:eastAsia="Book Antiqua" w:hAnsi="Book Antiqua" w:cs="Book Antiqua"/>
        </w:rPr>
      </w:pPr>
      <w:r w:rsidRPr="00283D7E">
        <w:rPr>
          <w:rFonts w:ascii="Book Antiqua" w:eastAsia="Book Antiqua" w:hAnsi="Book Antiqua" w:cs="Book Antiqua"/>
        </w:rPr>
        <w:t>Presentad</w:t>
      </w:r>
      <w:r w:rsidR="00DD334E">
        <w:rPr>
          <w:rFonts w:ascii="Book Antiqua" w:eastAsia="Book Antiqua" w:hAnsi="Book Antiqua" w:cs="Book Antiqua"/>
        </w:rPr>
        <w:t>a</w:t>
      </w:r>
      <w:r w:rsidRPr="00283D7E">
        <w:rPr>
          <w:rFonts w:ascii="Book Antiqua" w:eastAsia="Book Antiqua" w:hAnsi="Book Antiqua" w:cs="Book Antiqua"/>
        </w:rPr>
        <w:t xml:space="preserve"> por </w:t>
      </w:r>
      <w:r w:rsidR="00DF39ED">
        <w:rPr>
          <w:rFonts w:ascii="Book Antiqua" w:eastAsia="Book Antiqua" w:hAnsi="Book Antiqua" w:cs="Book Antiqua"/>
        </w:rPr>
        <w:t xml:space="preserve">el </w:t>
      </w:r>
      <w:r w:rsidRPr="00283D7E">
        <w:rPr>
          <w:rFonts w:ascii="Book Antiqua" w:eastAsia="Book Antiqua" w:hAnsi="Book Antiqua" w:cs="Book Antiqua"/>
        </w:rPr>
        <w:t>representante</w:t>
      </w:r>
      <w:r w:rsidR="00DF39ED">
        <w:rPr>
          <w:rFonts w:ascii="Book Antiqua" w:eastAsia="Book Antiqua" w:hAnsi="Book Antiqua" w:cs="Book Antiqua"/>
        </w:rPr>
        <w:t xml:space="preserve"> </w:t>
      </w:r>
      <w:r w:rsidR="00DF39ED" w:rsidRPr="00DF39ED">
        <w:rPr>
          <w:rFonts w:ascii="Book Antiqua" w:eastAsia="Book Antiqua" w:hAnsi="Book Antiqua" w:cs="Book Antiqua"/>
          <w:i/>
          <w:iCs/>
        </w:rPr>
        <w:t>Santiago Guzmán</w:t>
      </w:r>
      <w:r w:rsidR="00DF39ED">
        <w:rPr>
          <w:rFonts w:ascii="Book Antiqua" w:eastAsia="Book Antiqua" w:hAnsi="Book Antiqua" w:cs="Book Antiqua"/>
        </w:rPr>
        <w:t xml:space="preserve"> </w:t>
      </w:r>
    </w:p>
    <w:p w14:paraId="2AF5CC90" w14:textId="0DE990A2" w:rsidR="00203600" w:rsidRDefault="00203600" w:rsidP="00DD334E">
      <w:pPr>
        <w:jc w:val="center"/>
        <w:rPr>
          <w:rFonts w:ascii="Book Antiqua" w:eastAsia="Book Antiqua" w:hAnsi="Book Antiqua" w:cs="Book Antiqua"/>
          <w:iCs/>
        </w:rPr>
      </w:pPr>
    </w:p>
    <w:p w14:paraId="0000000B" w14:textId="19C02D5B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Referid</w:t>
      </w:r>
      <w:r w:rsidR="00DD334E">
        <w:rPr>
          <w:rFonts w:ascii="Book Antiqua" w:eastAsia="Book Antiqua" w:hAnsi="Book Antiqua" w:cs="Book Antiqua"/>
        </w:rPr>
        <w:t>a</w:t>
      </w:r>
      <w:r w:rsidRPr="00A33B4F">
        <w:rPr>
          <w:rFonts w:ascii="Book Antiqua" w:eastAsia="Book Antiqua" w:hAnsi="Book Antiqua" w:cs="Book Antiqua"/>
        </w:rPr>
        <w:t xml:space="preserve"> a </w:t>
      </w:r>
      <w:r w:rsidR="0046197E">
        <w:rPr>
          <w:rFonts w:ascii="Book Antiqua" w:eastAsia="Book Antiqua" w:hAnsi="Book Antiqua" w:cs="Book Antiqua"/>
        </w:rPr>
        <w:t>la Comisión de Transportación e Infraestructura</w:t>
      </w:r>
    </w:p>
    <w:p w14:paraId="0000000C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A33B4F" w:rsidRDefault="00DD334E" w:rsidP="00DD334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3385B6D0" w:rsidR="002915AC" w:rsidRPr="002915AC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2915AC">
        <w:rPr>
          <w:rFonts w:ascii="Book Antiqua" w:eastAsia="Book Antiqua" w:hAnsi="Book Antiqua" w:cs="Book Antiqua"/>
        </w:rPr>
        <w:t xml:space="preserve">Para </w:t>
      </w:r>
      <w:r w:rsidR="002915AC" w:rsidRPr="002915AC">
        <w:rPr>
          <w:rFonts w:ascii="Book Antiqua" w:hAnsi="Book Antiqua"/>
          <w:color w:val="000000"/>
        </w:rPr>
        <w:t xml:space="preserve">designar </w:t>
      </w:r>
      <w:r w:rsidR="00CE71BB">
        <w:rPr>
          <w:rFonts w:ascii="Book Antiqua" w:hAnsi="Book Antiqua"/>
          <w:color w:val="000000"/>
        </w:rPr>
        <w:t xml:space="preserve">el tramo de </w:t>
      </w:r>
      <w:r w:rsidR="00AB7252" w:rsidRPr="00AB7252">
        <w:rPr>
          <w:rFonts w:ascii="Book Antiqua" w:hAnsi="Book Antiqua"/>
          <w:color w:val="000000"/>
        </w:rPr>
        <w:t xml:space="preserve">la Carretera PR-866, ubicada en </w:t>
      </w:r>
      <w:r w:rsidR="006B44B9">
        <w:rPr>
          <w:rFonts w:ascii="Book Antiqua" w:hAnsi="Book Antiqua"/>
          <w:color w:val="000000"/>
        </w:rPr>
        <w:t>la Urb. Levittown</w:t>
      </w:r>
      <w:r w:rsidR="00AB7252" w:rsidRPr="00AB7252">
        <w:rPr>
          <w:rFonts w:ascii="Book Antiqua" w:hAnsi="Book Antiqua"/>
          <w:color w:val="000000"/>
        </w:rPr>
        <w:t>,</w:t>
      </w:r>
      <w:r w:rsidR="00CE71BB">
        <w:rPr>
          <w:rFonts w:ascii="Book Antiqua" w:hAnsi="Book Antiqua"/>
          <w:color w:val="000000"/>
        </w:rPr>
        <w:t xml:space="preserve"> que discurre </w:t>
      </w:r>
      <w:r w:rsidR="006B44B9" w:rsidRPr="006B44B9">
        <w:rPr>
          <w:rFonts w:ascii="Book Antiqua" w:hAnsi="Book Antiqua"/>
          <w:color w:val="000000"/>
          <w:lang w:val="es-PR"/>
        </w:rPr>
        <w:t>desde la Avenida Boulevard hasta la Panadería Aquino en intersección con la Avenida Amalia Paoli en</w:t>
      </w:r>
      <w:r w:rsidR="008A4859">
        <w:rPr>
          <w:rFonts w:ascii="Book Antiqua" w:hAnsi="Book Antiqua"/>
          <w:color w:val="000000"/>
          <w:lang w:val="es-PR"/>
        </w:rPr>
        <w:t xml:space="preserve"> el Municipio de</w:t>
      </w:r>
      <w:r w:rsidR="006B44B9" w:rsidRPr="006B44B9">
        <w:rPr>
          <w:rFonts w:ascii="Book Antiqua" w:hAnsi="Book Antiqua"/>
          <w:color w:val="000000"/>
          <w:lang w:val="es-PR"/>
        </w:rPr>
        <w:t xml:space="preserve"> Toa Baja, como Avenida Olga Tañón</w:t>
      </w:r>
      <w:r w:rsidR="00CE71BB">
        <w:rPr>
          <w:rFonts w:ascii="Book Antiqua" w:hAnsi="Book Antiqua"/>
          <w:color w:val="000000"/>
        </w:rPr>
        <w:t>,</w:t>
      </w:r>
      <w:r w:rsidR="00AB7252" w:rsidRPr="00AB7252">
        <w:rPr>
          <w:rFonts w:ascii="Book Antiqua" w:hAnsi="Book Antiqua"/>
          <w:color w:val="000000"/>
        </w:rPr>
        <w:t xml:space="preserve"> en reconocimiento a su destacada trayectoria</w:t>
      </w:r>
      <w:r w:rsidR="00AF1852">
        <w:rPr>
          <w:rFonts w:ascii="Book Antiqua" w:hAnsi="Book Antiqua"/>
          <w:color w:val="000000"/>
        </w:rPr>
        <w:t xml:space="preserve"> artística y </w:t>
      </w:r>
      <w:r w:rsidR="00D97548" w:rsidRPr="008D6AEA">
        <w:rPr>
          <w:rFonts w:ascii="Book Antiqua" w:hAnsi="Book Antiqua"/>
          <w:lang w:val="es-PR"/>
        </w:rPr>
        <w:t>su firme compromiso social y humanitario</w:t>
      </w:r>
      <w:r w:rsidR="00AB7252" w:rsidRPr="00AB7252">
        <w:rPr>
          <w:rFonts w:ascii="Book Antiqua" w:hAnsi="Book Antiqua"/>
          <w:color w:val="000000"/>
        </w:rPr>
        <w:t xml:space="preserve">; </w:t>
      </w:r>
      <w:r w:rsidR="00595EE4">
        <w:rPr>
          <w:rFonts w:ascii="Book Antiqua" w:hAnsi="Book Antiqua"/>
          <w:color w:val="000000"/>
        </w:rPr>
        <w:t>autorizar la instalación de rótulos, autorizar el pareo de fondos</w:t>
      </w:r>
      <w:r w:rsidR="00971805">
        <w:rPr>
          <w:rFonts w:ascii="Book Antiqua" w:hAnsi="Book Antiqua"/>
          <w:color w:val="000000"/>
        </w:rPr>
        <w:t>; y para otros fines relacionados</w:t>
      </w:r>
      <w:r w:rsidR="00024385" w:rsidRPr="00386D5F">
        <w:rPr>
          <w:rFonts w:ascii="Book Antiqua" w:hAnsi="Book Antiqua"/>
          <w:color w:val="000000"/>
        </w:rPr>
        <w:t>.</w:t>
      </w:r>
    </w:p>
    <w:p w14:paraId="00000010" w14:textId="77777777" w:rsidR="003A0F75" w:rsidRPr="00A33B4F" w:rsidRDefault="003A0F75" w:rsidP="00DD334E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60595BE4" w14:textId="1DEC2216" w:rsidR="00DD761E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Olga Teresa Tañón Ortiz, conocida internacionalmente como Olga Tañón, nació San Juan, Puerto Rico.</w:t>
      </w:r>
      <w:r w:rsidR="00287B9B">
        <w:rPr>
          <w:rFonts w:ascii="Book Antiqua" w:hAnsi="Book Antiqua"/>
          <w:lang w:val="es-PR"/>
        </w:rPr>
        <w:t xml:space="preserve"> Pero fue en el Municipio de Toa Baja donde </w:t>
      </w:r>
      <w:r w:rsidR="00C5129D">
        <w:rPr>
          <w:rFonts w:ascii="Book Antiqua" w:hAnsi="Book Antiqua"/>
          <w:lang w:val="es-PR"/>
        </w:rPr>
        <w:t>creció</w:t>
      </w:r>
      <w:r w:rsidR="009429CB">
        <w:rPr>
          <w:rFonts w:ascii="Book Antiqua" w:hAnsi="Book Antiqua"/>
          <w:lang w:val="es-PR"/>
        </w:rPr>
        <w:t xml:space="preserve"> se formó como persona y desarrolló su carácter. </w:t>
      </w:r>
      <w:r w:rsidR="008557B2">
        <w:rPr>
          <w:rFonts w:ascii="Book Antiqua" w:hAnsi="Book Antiqua"/>
          <w:lang w:val="es-PR"/>
        </w:rPr>
        <w:t xml:space="preserve">Específicamente, se crio en un hogar humilde </w:t>
      </w:r>
      <w:r w:rsidR="009429CB">
        <w:rPr>
          <w:rFonts w:ascii="Book Antiqua" w:hAnsi="Book Antiqua"/>
          <w:lang w:val="es-PR"/>
        </w:rPr>
        <w:t>en el área de Levittown</w:t>
      </w:r>
      <w:r w:rsidR="001D7D9B">
        <w:rPr>
          <w:rFonts w:ascii="Book Antiqua" w:hAnsi="Book Antiqua"/>
          <w:lang w:val="es-PR"/>
        </w:rPr>
        <w:t xml:space="preserve">; por lo que posee un vínculo importante con </w:t>
      </w:r>
      <w:r w:rsidR="008557B2">
        <w:rPr>
          <w:rFonts w:ascii="Book Antiqua" w:hAnsi="Book Antiqua"/>
          <w:lang w:val="es-PR"/>
        </w:rPr>
        <w:t>nuestra</w:t>
      </w:r>
      <w:r w:rsidR="001D7D9B">
        <w:rPr>
          <w:rFonts w:ascii="Book Antiqua" w:hAnsi="Book Antiqua"/>
          <w:lang w:val="es-PR"/>
        </w:rPr>
        <w:t xml:space="preserve"> </w:t>
      </w:r>
      <w:r w:rsidR="00DD761E">
        <w:rPr>
          <w:rFonts w:ascii="Book Antiqua" w:hAnsi="Book Antiqua"/>
          <w:lang w:val="es-PR"/>
        </w:rPr>
        <w:t>ciudad llanera.</w:t>
      </w:r>
      <w:r w:rsidRPr="008D6AEA">
        <w:rPr>
          <w:rFonts w:ascii="Book Antiqua" w:hAnsi="Book Antiqua"/>
          <w:lang w:val="es-PR"/>
        </w:rPr>
        <w:t xml:space="preserve"> </w:t>
      </w:r>
    </w:p>
    <w:p w14:paraId="7B551FD4" w14:textId="77777777" w:rsidR="00DD761E" w:rsidRDefault="00DD761E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194F96EE" w14:textId="33CF1E18" w:rsidR="008D6AEA" w:rsidRPr="008D6AEA" w:rsidRDefault="00DD761E" w:rsidP="008D6AE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el ámbito profesional, e</w:t>
      </w:r>
      <w:r w:rsidR="008D6AEA" w:rsidRPr="008D6AEA">
        <w:rPr>
          <w:rFonts w:ascii="Book Antiqua" w:hAnsi="Book Antiqua"/>
          <w:lang w:val="es-PR"/>
        </w:rPr>
        <w:t>s una de las artistas puertorriqueñas más influyentes de la música latina y una de las principales exponentes del merengue a nivel mundial, género que ha contribuido significativamente a internacionalizar desde Puerto Rico.</w:t>
      </w:r>
    </w:p>
    <w:p w14:paraId="1D5DDA4A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348C1AB5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Su carrera artística inició a finales de la década de 1980 como vocalista de la orquesta femenina Las Nenas de Ringo y Jossie, experiencia que marcó el comienzo de una trayectoria ascendente caracterizada por disciplina, carácter y excelencia interpretativa. En 1992 inició su carrera como solista, consolidándose rápidamente como una de las voces más potentes y reconocibles de la música tropical.</w:t>
      </w:r>
    </w:p>
    <w:p w14:paraId="7DE952B7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7B1722D3" w14:textId="15C3D451" w:rsid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lastRenderedPageBreak/>
        <w:t xml:space="preserve">A lo largo de más de tres décadas de carrera, Olga Tañón ha lanzado numerosas producciones discográficas que han alcanzado gran éxito comercial y crítico, logrando ventas millonarias y múltiples reconocimientos internacionales, entre ellos Premios Grammy Latinos, Premios Billboard de la Música Latina y Premios Lo Nuestro. Su estilo vocal, energía escénica y versatilidad musical le han valido el reconocimiento del público y de la industria, </w:t>
      </w:r>
      <w:r w:rsidR="00DD761E">
        <w:rPr>
          <w:rFonts w:ascii="Book Antiqua" w:hAnsi="Book Antiqua"/>
          <w:lang w:val="es-PR"/>
        </w:rPr>
        <w:t xml:space="preserve">por lo que se le conoce como </w:t>
      </w:r>
      <w:r w:rsidRPr="008D6AEA">
        <w:rPr>
          <w:rFonts w:ascii="Book Antiqua" w:hAnsi="Book Antiqua"/>
          <w:lang w:val="es-PR"/>
        </w:rPr>
        <w:t>“La Mujer de Fuego”.</w:t>
      </w:r>
    </w:p>
    <w:p w14:paraId="5542EDB0" w14:textId="77777777" w:rsidR="0079313A" w:rsidRDefault="0079313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5B647327" w14:textId="2F3D0A11" w:rsidR="0079313A" w:rsidRPr="0079313A" w:rsidRDefault="001C5A3C" w:rsidP="0079313A">
      <w:pPr>
        <w:ind w:firstLine="720"/>
        <w:jc w:val="both"/>
        <w:rPr>
          <w:rFonts w:ascii="Book Antiqua" w:hAnsi="Book Antiqua"/>
          <w:lang w:val="es-PR"/>
        </w:rPr>
      </w:pPr>
      <w:r w:rsidRPr="0079313A">
        <w:rPr>
          <w:rFonts w:ascii="Book Antiqua" w:hAnsi="Book Antiqua"/>
          <w:lang w:val="es-PR"/>
        </w:rPr>
        <w:t>Sus interpretaciones se caracterizan por letras que abordan el amor, el desamor, la superación personal, la identidad femenina y el orgullo latino.</w:t>
      </w:r>
      <w:r>
        <w:rPr>
          <w:rFonts w:ascii="Book Antiqua" w:hAnsi="Book Antiqua"/>
          <w:lang w:val="es-PR"/>
        </w:rPr>
        <w:t xml:space="preserve"> </w:t>
      </w:r>
      <w:r w:rsidR="0079313A" w:rsidRPr="0079313A">
        <w:rPr>
          <w:rFonts w:ascii="Book Antiqua" w:hAnsi="Book Antiqua"/>
          <w:lang w:val="es-PR"/>
        </w:rPr>
        <w:t>A lo largo de su carrera ha lanzado más de 20 producciones discográficas, entre ellas álbumes emblemáticos como:</w:t>
      </w:r>
    </w:p>
    <w:p w14:paraId="37A27962" w14:textId="77777777" w:rsidR="0079313A" w:rsidRPr="0079313A" w:rsidRDefault="0079313A" w:rsidP="0079313A">
      <w:pPr>
        <w:ind w:firstLine="720"/>
        <w:jc w:val="both"/>
        <w:rPr>
          <w:rFonts w:ascii="Book Antiqua" w:hAnsi="Book Antiqua"/>
          <w:lang w:val="es-PR"/>
        </w:rPr>
      </w:pPr>
    </w:p>
    <w:p w14:paraId="6F1772C0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Mujer de fuego (1995)</w:t>
      </w:r>
    </w:p>
    <w:p w14:paraId="719A1AE5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Te acordarás de mí (1998)</w:t>
      </w:r>
    </w:p>
    <w:p w14:paraId="4006B9CE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Yo por ti (2001)</w:t>
      </w:r>
    </w:p>
    <w:p w14:paraId="5D12DBFE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Siente el amor (2009)</w:t>
      </w:r>
    </w:p>
    <w:p w14:paraId="378E760B" w14:textId="77777777" w:rsid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Olga Tañón y Punto (2017)</w:t>
      </w:r>
    </w:p>
    <w:p w14:paraId="2B8B43CB" w14:textId="70B8A1DD" w:rsidR="005C1613" w:rsidRDefault="00EE5CCE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>
        <w:rPr>
          <w:rFonts w:ascii="Book Antiqua" w:hAnsi="Book Antiqua"/>
          <w:lang w:val="en-US"/>
        </w:rPr>
        <w:t>Así Yo Soy (2024)</w:t>
      </w:r>
    </w:p>
    <w:p w14:paraId="42615992" w14:textId="11DEC510" w:rsidR="00EE5CCE" w:rsidRPr="0079313A" w:rsidRDefault="00EE5CCE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>
        <w:rPr>
          <w:rFonts w:ascii="Book Antiqua" w:hAnsi="Book Antiqua"/>
          <w:lang w:val="en-US"/>
        </w:rPr>
        <w:t>PR24SIETE</w:t>
      </w:r>
      <w:r w:rsidR="007C3663">
        <w:rPr>
          <w:rFonts w:ascii="Book Antiqua" w:hAnsi="Book Antiqua"/>
          <w:lang w:val="en-US"/>
        </w:rPr>
        <w:t xml:space="preserve"> – Soy de Aquí (2025)</w:t>
      </w:r>
    </w:p>
    <w:p w14:paraId="419FEBAB" w14:textId="77777777" w:rsidR="008D6AEA" w:rsidRPr="008D6AEA" w:rsidRDefault="008D6AEA" w:rsidP="001C5A3C">
      <w:pPr>
        <w:jc w:val="both"/>
        <w:rPr>
          <w:rFonts w:ascii="Book Antiqua" w:hAnsi="Book Antiqua"/>
          <w:lang w:val="es-PR"/>
        </w:rPr>
      </w:pPr>
    </w:p>
    <w:p w14:paraId="2F20D21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Más allá de sus logros artísticos, Olga Tañón se ha distinguido por su firme compromiso social y humanitario. Ha utilizado su plataforma pública para abogar por los derechos de las personas con diversidad funcional, apoyar causas relacionadas con la niñez, la mujer y las comunidades más vulnerables, y solidarizarse activamente con el pueblo de Puerto Rico en momentos de emergencia y dificultad, demostrando un profundo sentido de responsabilidad social y amor patrio.</w:t>
      </w:r>
    </w:p>
    <w:p w14:paraId="1927B2F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23087615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Su vida personal ha estado marcada por la resiliencia, la fe y un fuerte compromiso con su familia, valores que ha proyectado consistentemente tanto dentro como fuera del escenario. Su testimonio como madre y su sensibilidad ante las realidades sociales han fortalecido su vínculo con el pueblo puertorriqueño.</w:t>
      </w:r>
    </w:p>
    <w:p w14:paraId="16A6D5C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19630397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Olga Tañón representa un símbolo de orgullo nacional y un ejemplo de liderazgo femenino en la industria musical. Su legado trasciende la música, consolidándola como una embajadora cultural de Puerto Rico, cuya obra y labor social continúan inspirando a generaciones presentes y futuras.</w:t>
      </w:r>
    </w:p>
    <w:p w14:paraId="0E2F09B0" w14:textId="77777777" w:rsidR="000F47A5" w:rsidRDefault="000F47A5" w:rsidP="00DD334E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197CE145" w14:textId="693215E8" w:rsidR="00FB543C" w:rsidRDefault="00AB7252" w:rsidP="00AB7252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  <w:r w:rsidRPr="00AB7252">
        <w:rPr>
          <w:rFonts w:ascii="Book Antiqua" w:hAnsi="Book Antiqua"/>
          <w:color w:val="000000"/>
        </w:rPr>
        <w:t xml:space="preserve">En muestra </w:t>
      </w:r>
      <w:r w:rsidR="00655DE9">
        <w:rPr>
          <w:rFonts w:ascii="Book Antiqua" w:hAnsi="Book Antiqua"/>
          <w:color w:val="000000"/>
        </w:rPr>
        <w:t>del</w:t>
      </w:r>
      <w:r w:rsidRPr="00AB7252">
        <w:rPr>
          <w:rFonts w:ascii="Book Antiqua" w:hAnsi="Book Antiqua"/>
          <w:color w:val="000000"/>
        </w:rPr>
        <w:t xml:space="preserve"> aprecio</w:t>
      </w:r>
      <w:r w:rsidR="00581501">
        <w:rPr>
          <w:rFonts w:ascii="Book Antiqua" w:hAnsi="Book Antiqua"/>
          <w:color w:val="000000"/>
        </w:rPr>
        <w:t xml:space="preserve"> que le guarda la ciudad que le vio crecer</w:t>
      </w:r>
      <w:r w:rsidRPr="00AB7252">
        <w:rPr>
          <w:rFonts w:ascii="Book Antiqua" w:hAnsi="Book Antiqua"/>
          <w:color w:val="000000"/>
        </w:rPr>
        <w:t xml:space="preserve"> y como acto de </w:t>
      </w:r>
      <w:r w:rsidR="00581501">
        <w:rPr>
          <w:rFonts w:ascii="Book Antiqua" w:hAnsi="Book Antiqua"/>
          <w:color w:val="000000"/>
        </w:rPr>
        <w:t>reconocimiento</w:t>
      </w:r>
      <w:r w:rsidRPr="00AB7252">
        <w:rPr>
          <w:rFonts w:ascii="Book Antiqua" w:hAnsi="Book Antiqua"/>
          <w:color w:val="000000"/>
        </w:rPr>
        <w:t xml:space="preserve">, </w:t>
      </w:r>
      <w:r w:rsidR="00424D36">
        <w:rPr>
          <w:rFonts w:ascii="Book Antiqua" w:hAnsi="Book Antiqua"/>
          <w:color w:val="000000"/>
        </w:rPr>
        <w:t>estimamos meritorio</w:t>
      </w:r>
      <w:r w:rsidRPr="00AB7252">
        <w:rPr>
          <w:rFonts w:ascii="Book Antiqua" w:hAnsi="Book Antiqua"/>
          <w:color w:val="000000"/>
        </w:rPr>
        <w:t xml:space="preserve"> rendirle homenaje </w:t>
      </w:r>
      <w:r w:rsidR="00424D36">
        <w:rPr>
          <w:rFonts w:ascii="Book Antiqua" w:hAnsi="Book Antiqua"/>
          <w:color w:val="000000"/>
        </w:rPr>
        <w:t xml:space="preserve">mediante la designación </w:t>
      </w:r>
      <w:r w:rsidR="00450582">
        <w:rPr>
          <w:rFonts w:ascii="Book Antiqua" w:hAnsi="Book Antiqua"/>
          <w:color w:val="000000"/>
          <w:lang w:val="es-PR"/>
        </w:rPr>
        <w:t xml:space="preserve">de </w:t>
      </w:r>
      <w:r w:rsidR="00424D36">
        <w:rPr>
          <w:rFonts w:ascii="Book Antiqua" w:hAnsi="Book Antiqua"/>
          <w:color w:val="000000"/>
          <w:lang w:val="es-PR"/>
        </w:rPr>
        <w:t>la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2E031D">
        <w:rPr>
          <w:rFonts w:ascii="Book Antiqua" w:hAnsi="Book Antiqua"/>
          <w:color w:val="000000"/>
          <w:lang w:val="es-PR"/>
        </w:rPr>
        <w:t>c</w:t>
      </w:r>
      <w:r w:rsidR="00A464E6">
        <w:rPr>
          <w:rFonts w:ascii="Book Antiqua" w:hAnsi="Book Antiqua"/>
          <w:color w:val="000000"/>
          <w:lang w:val="es-PR"/>
        </w:rPr>
        <w:t>arr</w:t>
      </w:r>
      <w:r w:rsidR="002E031D">
        <w:rPr>
          <w:rFonts w:ascii="Book Antiqua" w:hAnsi="Book Antiqua"/>
          <w:color w:val="000000"/>
          <w:lang w:val="es-PR"/>
        </w:rPr>
        <w:t>etera</w:t>
      </w:r>
      <w:r w:rsidR="00A464E6">
        <w:rPr>
          <w:rFonts w:ascii="Book Antiqua" w:hAnsi="Book Antiqua"/>
          <w:color w:val="000000"/>
          <w:lang w:val="es-PR"/>
        </w:rPr>
        <w:t xml:space="preserve"> PR-866 conocida como Avenida Los Dominicos,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2E031D">
        <w:rPr>
          <w:rFonts w:ascii="Book Antiqua" w:hAnsi="Book Antiqua"/>
          <w:color w:val="000000"/>
          <w:lang w:val="es-PR"/>
        </w:rPr>
        <w:t xml:space="preserve">en el tramo </w:t>
      </w:r>
      <w:r w:rsidR="00450582">
        <w:rPr>
          <w:rFonts w:ascii="Book Antiqua" w:hAnsi="Book Antiqua"/>
          <w:color w:val="000000"/>
          <w:lang w:val="es-PR"/>
        </w:rPr>
        <w:t xml:space="preserve">que comprende desde la </w:t>
      </w:r>
      <w:r w:rsidR="00F6009D">
        <w:rPr>
          <w:rFonts w:ascii="Book Antiqua" w:hAnsi="Book Antiqua"/>
          <w:color w:val="000000"/>
          <w:lang w:val="es-PR"/>
        </w:rPr>
        <w:t>Avenida Boulevard</w:t>
      </w:r>
      <w:r w:rsidR="0058161D">
        <w:rPr>
          <w:rFonts w:ascii="Book Antiqua" w:hAnsi="Book Antiqua"/>
          <w:color w:val="000000"/>
          <w:lang w:val="es-PR"/>
        </w:rPr>
        <w:t xml:space="preserve"> hasta </w:t>
      </w:r>
      <w:r w:rsidR="00450582">
        <w:rPr>
          <w:rFonts w:ascii="Book Antiqua" w:hAnsi="Book Antiqua"/>
          <w:color w:val="000000"/>
          <w:lang w:val="es-PR"/>
        </w:rPr>
        <w:t xml:space="preserve">la Panadería </w:t>
      </w:r>
      <w:r w:rsidR="0058161D">
        <w:rPr>
          <w:rFonts w:ascii="Book Antiqua" w:hAnsi="Book Antiqua"/>
          <w:color w:val="000000"/>
          <w:lang w:val="es-PR"/>
        </w:rPr>
        <w:t>Aquino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85793A">
        <w:rPr>
          <w:rFonts w:ascii="Book Antiqua" w:hAnsi="Book Antiqua"/>
          <w:color w:val="000000"/>
          <w:lang w:val="es-PR"/>
        </w:rPr>
        <w:t>en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8F4C87">
        <w:rPr>
          <w:rFonts w:ascii="Book Antiqua" w:hAnsi="Book Antiqua"/>
          <w:color w:val="000000"/>
          <w:lang w:val="es-PR"/>
        </w:rPr>
        <w:t xml:space="preserve">intersección con </w:t>
      </w:r>
      <w:r w:rsidR="00450582">
        <w:rPr>
          <w:rFonts w:ascii="Book Antiqua" w:hAnsi="Book Antiqua"/>
          <w:color w:val="000000"/>
          <w:lang w:val="es-PR"/>
        </w:rPr>
        <w:t xml:space="preserve">la </w:t>
      </w:r>
      <w:r w:rsidR="003D198A">
        <w:rPr>
          <w:rFonts w:ascii="Book Antiqua" w:hAnsi="Book Antiqua"/>
          <w:color w:val="000000"/>
          <w:lang w:val="es-PR"/>
        </w:rPr>
        <w:t>Avenida</w:t>
      </w:r>
      <w:r w:rsidR="000322F1">
        <w:rPr>
          <w:rFonts w:ascii="Book Antiqua" w:hAnsi="Book Antiqua"/>
          <w:color w:val="000000"/>
          <w:lang w:val="es-PR"/>
        </w:rPr>
        <w:t xml:space="preserve"> Amalia Paoli</w:t>
      </w:r>
      <w:r w:rsidR="0085793A">
        <w:rPr>
          <w:rFonts w:ascii="Book Antiqua" w:hAnsi="Book Antiqua"/>
          <w:color w:val="000000"/>
          <w:lang w:val="es-PR"/>
        </w:rPr>
        <w:t xml:space="preserve"> en Toa Baja</w:t>
      </w:r>
      <w:r w:rsidR="002E031D">
        <w:rPr>
          <w:rFonts w:ascii="Book Antiqua" w:hAnsi="Book Antiqua"/>
          <w:color w:val="000000"/>
          <w:lang w:val="es-PR"/>
        </w:rPr>
        <w:t>, como Avenida Olga Tañón</w:t>
      </w:r>
      <w:r w:rsidR="000322F1">
        <w:rPr>
          <w:rFonts w:ascii="Book Antiqua" w:hAnsi="Book Antiqua"/>
          <w:color w:val="000000"/>
          <w:lang w:val="es-PR"/>
        </w:rPr>
        <w:t>.</w:t>
      </w:r>
    </w:p>
    <w:p w14:paraId="2C75263B" w14:textId="77777777" w:rsidR="00341D39" w:rsidRDefault="00341D39" w:rsidP="00AB7252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31765E02" w14:textId="77777777" w:rsidR="00E43DB6" w:rsidRPr="00AB7252" w:rsidRDefault="00E43DB6" w:rsidP="00AB7252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00000020" w14:textId="5126026A" w:rsidR="003A0F75" w:rsidRPr="00A33B4F" w:rsidRDefault="00A95269" w:rsidP="00DD334E">
      <w:pPr>
        <w:spacing w:line="480" w:lineRule="auto"/>
        <w:rPr>
          <w:rFonts w:ascii="Book Antiqua" w:eastAsia="Book Antiqua" w:hAnsi="Book Antiqua" w:cs="Book Antiqua"/>
          <w:i/>
        </w:rPr>
        <w:sectPr w:rsidR="003A0F75" w:rsidRPr="00A33B4F" w:rsidSect="00174A6C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lastRenderedPageBreak/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09768C6F" w14:textId="716BBC6E" w:rsidR="00B838FD" w:rsidRDefault="00A95269" w:rsidP="00117446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</w:rPr>
        <w:t>Sección</w:t>
      </w:r>
      <w:r w:rsidRPr="00A95269">
        <w:rPr>
          <w:rFonts w:ascii="Book Antiqua" w:hAnsi="Book Antiqua"/>
          <w:color w:val="000000"/>
        </w:rPr>
        <w:t xml:space="preserve"> 1.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-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Se</w:t>
      </w:r>
      <w:r w:rsidR="00AB7252" w:rsidRPr="00AB7252">
        <w:rPr>
          <w:rFonts w:ascii="Book Antiqua" w:hAnsi="Book Antiqua"/>
          <w:color w:val="000000"/>
        </w:rPr>
        <w:t xml:space="preserve"> designa </w:t>
      </w:r>
      <w:r w:rsidR="00E43DB6" w:rsidRPr="00E43DB6">
        <w:rPr>
          <w:rFonts w:ascii="Book Antiqua" w:hAnsi="Book Antiqua"/>
          <w:color w:val="000000"/>
        </w:rPr>
        <w:t xml:space="preserve">el tramo de la Carretera PR-866, ubicada en la Urb. Levittown, que discurre </w:t>
      </w:r>
      <w:r w:rsidR="00E43DB6" w:rsidRPr="00E43DB6">
        <w:rPr>
          <w:rFonts w:ascii="Book Antiqua" w:hAnsi="Book Antiqua"/>
          <w:color w:val="000000"/>
          <w:lang w:val="es-PR"/>
        </w:rPr>
        <w:t xml:space="preserve">desde la Avenida Boulevard hasta la Panadería Aquino en intersección con la Avenida Amalia Paoli en </w:t>
      </w:r>
      <w:r w:rsidR="008A4859">
        <w:rPr>
          <w:rFonts w:ascii="Book Antiqua" w:hAnsi="Book Antiqua"/>
          <w:color w:val="000000"/>
          <w:lang w:val="es-PR"/>
        </w:rPr>
        <w:t xml:space="preserve">el Municipio de </w:t>
      </w:r>
      <w:r w:rsidR="00E43DB6" w:rsidRPr="00E43DB6">
        <w:rPr>
          <w:rFonts w:ascii="Book Antiqua" w:hAnsi="Book Antiqua"/>
          <w:color w:val="000000"/>
          <w:lang w:val="es-PR"/>
        </w:rPr>
        <w:t>Toa Baja, como Avenida Olga Tañón</w:t>
      </w:r>
      <w:r w:rsidR="00E43DB6" w:rsidRPr="00E43DB6">
        <w:rPr>
          <w:rFonts w:ascii="Book Antiqua" w:hAnsi="Book Antiqua"/>
          <w:color w:val="000000"/>
        </w:rPr>
        <w:t xml:space="preserve">, en reconocimiento a su destacada trayectoria artística y </w:t>
      </w:r>
      <w:r w:rsidR="00E43DB6" w:rsidRPr="00E43DB6">
        <w:rPr>
          <w:rFonts w:ascii="Book Antiqua" w:hAnsi="Book Antiqua"/>
          <w:color w:val="000000"/>
          <w:lang w:val="es-PR"/>
        </w:rPr>
        <w:t>su firme compromiso social y humanitario</w:t>
      </w:r>
      <w:r w:rsidRPr="00283D7E">
        <w:rPr>
          <w:rFonts w:ascii="Book Antiqua" w:hAnsi="Book Antiqua"/>
          <w:color w:val="000000"/>
        </w:rPr>
        <w:t>.</w:t>
      </w:r>
    </w:p>
    <w:p w14:paraId="68522718" w14:textId="62D2D23A" w:rsidR="000D1999" w:rsidRDefault="00C621DE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40181E">
        <w:rPr>
          <w:rFonts w:ascii="Book Antiqua" w:hAnsi="Book Antiqua"/>
          <w:color w:val="000000"/>
        </w:rPr>
        <w:t xml:space="preserve">Sección </w:t>
      </w:r>
      <w:r w:rsidR="005B75B9" w:rsidRPr="0040181E">
        <w:rPr>
          <w:rFonts w:ascii="Book Antiqua" w:hAnsi="Book Antiqua"/>
          <w:color w:val="000000"/>
        </w:rPr>
        <w:t>2</w:t>
      </w:r>
      <w:r w:rsidR="00A95269" w:rsidRPr="0040181E">
        <w:rPr>
          <w:rFonts w:ascii="Book Antiqua" w:hAnsi="Book Antiqua"/>
          <w:color w:val="000000"/>
        </w:rPr>
        <w:t>.-</w:t>
      </w:r>
      <w:r w:rsidRPr="0040181E">
        <w:rPr>
          <w:rFonts w:ascii="Book Antiqua" w:hAnsi="Book Antiqua"/>
          <w:color w:val="000000"/>
        </w:rPr>
        <w:t xml:space="preserve"> </w:t>
      </w:r>
      <w:r w:rsidR="000D1999" w:rsidRPr="0040181E">
        <w:rPr>
          <w:rFonts w:ascii="Book Antiqua" w:hAnsi="Book Antiqua"/>
          <w:lang w:val="es-PR"/>
        </w:rPr>
        <w:t>El Departamento de Transportación y Obras Públicas</w:t>
      </w:r>
      <w:r w:rsidR="00AB7252">
        <w:rPr>
          <w:rFonts w:ascii="Book Antiqua" w:hAnsi="Book Antiqua"/>
          <w:lang w:val="es-PR"/>
        </w:rPr>
        <w:t xml:space="preserve"> (DTOP)</w:t>
      </w:r>
      <w:r w:rsidR="000D1999" w:rsidRPr="0040181E">
        <w:rPr>
          <w:rFonts w:ascii="Book Antiqua" w:hAnsi="Book Antiqua"/>
          <w:lang w:val="es-PR"/>
        </w:rPr>
        <w:t xml:space="preserve"> </w:t>
      </w:r>
      <w:r w:rsidR="0040181E" w:rsidRPr="0040181E">
        <w:rPr>
          <w:rFonts w:ascii="Book Antiqua" w:hAnsi="Book Antiqua"/>
          <w:lang w:val="es-PR"/>
        </w:rPr>
        <w:t>adoptará las medidas necesarias</w:t>
      </w:r>
      <w:r w:rsidR="000D1999" w:rsidRPr="0040181E">
        <w:rPr>
          <w:rFonts w:ascii="Book Antiqua" w:hAnsi="Book Antiqua"/>
          <w:lang w:val="es-PR"/>
        </w:rPr>
        <w:t xml:space="preserve">, en coordinación con el Municipio </w:t>
      </w:r>
      <w:r w:rsidR="009B43E1">
        <w:rPr>
          <w:rFonts w:ascii="Book Antiqua" w:hAnsi="Book Antiqua"/>
          <w:lang w:val="es-PR"/>
        </w:rPr>
        <w:t xml:space="preserve">Autónomo </w:t>
      </w:r>
      <w:r w:rsidR="000D1999" w:rsidRPr="0040181E">
        <w:rPr>
          <w:rFonts w:ascii="Book Antiqua" w:hAnsi="Book Antiqua"/>
          <w:lang w:val="es-PR"/>
        </w:rPr>
        <w:t xml:space="preserve">de Toa Baja, </w:t>
      </w:r>
      <w:r w:rsidR="0040181E" w:rsidRPr="0040181E">
        <w:rPr>
          <w:rFonts w:ascii="Book Antiqua" w:hAnsi="Book Antiqua"/>
          <w:color w:val="000000"/>
        </w:rPr>
        <w:t xml:space="preserve">para dar cumplimiento a los propósitos de esta </w:t>
      </w:r>
      <w:r w:rsidR="0040181E">
        <w:rPr>
          <w:rFonts w:ascii="Book Antiqua" w:hAnsi="Book Antiqua"/>
          <w:color w:val="000000"/>
        </w:rPr>
        <w:t>Resolución Conjunta</w:t>
      </w:r>
      <w:r w:rsidR="00AB7252">
        <w:rPr>
          <w:rFonts w:ascii="Book Antiqua" w:hAnsi="Book Antiqua"/>
          <w:color w:val="000000"/>
        </w:rPr>
        <w:t>, incluyendo la rotulación adecuada de dicha vía pública</w:t>
      </w:r>
      <w:r w:rsidR="0040181E">
        <w:rPr>
          <w:rFonts w:ascii="Book Antiqua" w:hAnsi="Book Antiqua"/>
          <w:color w:val="000000"/>
        </w:rPr>
        <w:t xml:space="preserve">. </w:t>
      </w:r>
    </w:p>
    <w:p w14:paraId="322BBD41" w14:textId="201FB30E" w:rsidR="00AB7252" w:rsidRPr="0040181E" w:rsidRDefault="00AB7252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 w:eastAsia="x-none"/>
        </w:rPr>
      </w:pPr>
      <w:r>
        <w:rPr>
          <w:rFonts w:ascii="Book Antiqua" w:hAnsi="Book Antiqua"/>
          <w:color w:val="000000"/>
        </w:rPr>
        <w:t>Sección 3.-</w:t>
      </w:r>
      <w:r w:rsidRPr="00AB7252">
        <w:rPr>
          <w:color w:val="222222"/>
          <w:sz w:val="30"/>
          <w:szCs w:val="30"/>
          <w:shd w:val="clear" w:color="auto" w:fill="FFFFFF"/>
        </w:rPr>
        <w:t xml:space="preserve"> </w:t>
      </w:r>
      <w:r w:rsidRPr="00AB7252">
        <w:rPr>
          <w:rFonts w:ascii="Book Antiqua" w:hAnsi="Book Antiqua"/>
          <w:color w:val="000000"/>
        </w:rPr>
        <w:t>Los gastos relacionados con la rotulación serán sufragados conforme a las disposiciones presupuestarias disponibles del DTOP</w:t>
      </w:r>
      <w:r>
        <w:rPr>
          <w:rFonts w:ascii="Book Antiqua" w:hAnsi="Book Antiqua"/>
          <w:color w:val="000000"/>
        </w:rPr>
        <w:t>.</w:t>
      </w:r>
    </w:p>
    <w:p w14:paraId="00000036" w14:textId="439EA298" w:rsidR="003A0F75" w:rsidRDefault="00C621DE" w:rsidP="00386D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5B75B9">
        <w:rPr>
          <w:rFonts w:ascii="Book Antiqua" w:hAnsi="Book Antiqua"/>
          <w:color w:val="000000"/>
        </w:rPr>
        <w:t>Sección</w:t>
      </w:r>
      <w:r w:rsidR="00A95269" w:rsidRPr="005B75B9">
        <w:rPr>
          <w:rFonts w:ascii="Book Antiqua" w:hAnsi="Book Antiqua"/>
          <w:color w:val="000000"/>
        </w:rPr>
        <w:t> </w:t>
      </w:r>
      <w:r w:rsidR="00E759E9">
        <w:rPr>
          <w:rFonts w:ascii="Book Antiqua" w:hAnsi="Book Antiqua"/>
          <w:color w:val="000000"/>
          <w:lang w:val="es-ES"/>
        </w:rPr>
        <w:t>4</w:t>
      </w:r>
      <w:r w:rsidR="00A95269" w:rsidRPr="005B75B9">
        <w:rPr>
          <w:rFonts w:ascii="Book Antiqua" w:hAnsi="Book Antiqua"/>
          <w:color w:val="000000"/>
        </w:rPr>
        <w:t>.</w:t>
      </w:r>
      <w:r w:rsidRPr="005B75B9">
        <w:rPr>
          <w:rFonts w:ascii="Book Antiqua" w:hAnsi="Book Antiqua"/>
          <w:color w:val="000000"/>
        </w:rPr>
        <w:t xml:space="preserve"> </w:t>
      </w:r>
      <w:r w:rsidR="00D62684" w:rsidRPr="005B75B9">
        <w:rPr>
          <w:rFonts w:ascii="Book Antiqua" w:hAnsi="Book Antiqua"/>
          <w:color w:val="000000"/>
        </w:rPr>
        <w:t>–</w:t>
      </w:r>
      <w:r w:rsidRPr="005B75B9">
        <w:rPr>
          <w:rFonts w:ascii="Book Antiqua" w:hAnsi="Book Antiqua"/>
          <w:color w:val="000000"/>
        </w:rPr>
        <w:t xml:space="preserve"> </w:t>
      </w:r>
      <w:r w:rsidR="00A95269" w:rsidRPr="005B75B9">
        <w:rPr>
          <w:rFonts w:ascii="Book Antiqua" w:hAnsi="Book Antiqua"/>
          <w:color w:val="000000"/>
          <w:lang w:val="es-ES"/>
        </w:rPr>
        <w:t>Est</w:t>
      </w:r>
      <w:r w:rsidR="00D62684" w:rsidRPr="005B75B9">
        <w:rPr>
          <w:rFonts w:ascii="Book Antiqua" w:hAnsi="Book Antiqua"/>
          <w:color w:val="000000"/>
          <w:lang w:val="es-ES"/>
        </w:rPr>
        <w:t>a Resolución Conjunta</w:t>
      </w:r>
      <w:r w:rsidR="00A95269" w:rsidRPr="00A95269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26D7" w14:textId="77777777" w:rsidR="00B33EB4" w:rsidRDefault="00B33EB4">
      <w:r>
        <w:separator/>
      </w:r>
    </w:p>
  </w:endnote>
  <w:endnote w:type="continuationSeparator" w:id="0">
    <w:p w14:paraId="2C18358E" w14:textId="77777777" w:rsidR="00B33EB4" w:rsidRDefault="00B3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5CF575C9-395A-4377-B419-3457C843B6A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B1B0104A-E0C2-48BC-8E76-D0C9A7070B50}"/>
    <w:embedItalic r:id="rId3" w:fontKey="{B7839A4F-D836-4777-8372-44FA2AB6F6FD}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AD050526-9684-4357-8319-B73FC013A0AA}"/>
    <w:embedBold r:id="rId5" w:fontKey="{45C73B63-D8C4-470A-A23D-11C6E0147CFF}"/>
    <w:embedItalic r:id="rId6" w:fontKey="{87B3DBEE-4B87-40CE-9C73-09CA2804E95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9B1DC87E-4A9E-4228-9BC7-5388CD02B61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86314817-BCEC-4C6F-81EE-6C031C94C83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B5FAA" w14:textId="77777777" w:rsidR="00B33EB4" w:rsidRDefault="00B33EB4">
      <w:r>
        <w:separator/>
      </w:r>
    </w:p>
  </w:footnote>
  <w:footnote w:type="continuationSeparator" w:id="0">
    <w:p w14:paraId="7E78DA7A" w14:textId="77777777" w:rsidR="00B33EB4" w:rsidRDefault="00B33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D3B33"/>
    <w:multiLevelType w:val="multilevel"/>
    <w:tmpl w:val="89EE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622C0"/>
    <w:multiLevelType w:val="multilevel"/>
    <w:tmpl w:val="CBE8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9B6D85"/>
    <w:multiLevelType w:val="multilevel"/>
    <w:tmpl w:val="B4A8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574932">
    <w:abstractNumId w:val="2"/>
  </w:num>
  <w:num w:numId="2" w16cid:durableId="545680762">
    <w:abstractNumId w:val="1"/>
  </w:num>
  <w:num w:numId="3" w16cid:durableId="1591086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05E49"/>
    <w:rsid w:val="00011940"/>
    <w:rsid w:val="00013586"/>
    <w:rsid w:val="00024385"/>
    <w:rsid w:val="00026F79"/>
    <w:rsid w:val="000322F1"/>
    <w:rsid w:val="000600A6"/>
    <w:rsid w:val="00067B97"/>
    <w:rsid w:val="00082EB8"/>
    <w:rsid w:val="00086439"/>
    <w:rsid w:val="00087616"/>
    <w:rsid w:val="0009297C"/>
    <w:rsid w:val="000A32FE"/>
    <w:rsid w:val="000A690E"/>
    <w:rsid w:val="000A77B6"/>
    <w:rsid w:val="000D0E8F"/>
    <w:rsid w:val="000D1999"/>
    <w:rsid w:val="000F47A5"/>
    <w:rsid w:val="00117446"/>
    <w:rsid w:val="00131B6F"/>
    <w:rsid w:val="00131E20"/>
    <w:rsid w:val="00170EE4"/>
    <w:rsid w:val="00174A6C"/>
    <w:rsid w:val="001808CC"/>
    <w:rsid w:val="001865B5"/>
    <w:rsid w:val="001B7D77"/>
    <w:rsid w:val="001C0A0C"/>
    <w:rsid w:val="001C5A3C"/>
    <w:rsid w:val="001D7D9B"/>
    <w:rsid w:val="001E61A3"/>
    <w:rsid w:val="00203600"/>
    <w:rsid w:val="00203CEA"/>
    <w:rsid w:val="00215C80"/>
    <w:rsid w:val="00216A6C"/>
    <w:rsid w:val="00216DC5"/>
    <w:rsid w:val="00217052"/>
    <w:rsid w:val="00224AED"/>
    <w:rsid w:val="002673C7"/>
    <w:rsid w:val="002709B2"/>
    <w:rsid w:val="0028191A"/>
    <w:rsid w:val="00283D7E"/>
    <w:rsid w:val="00287B9B"/>
    <w:rsid w:val="002900AD"/>
    <w:rsid w:val="002915AC"/>
    <w:rsid w:val="002D1802"/>
    <w:rsid w:val="002E031D"/>
    <w:rsid w:val="003145BC"/>
    <w:rsid w:val="00320889"/>
    <w:rsid w:val="00322321"/>
    <w:rsid w:val="00341D39"/>
    <w:rsid w:val="00345319"/>
    <w:rsid w:val="003453BF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198A"/>
    <w:rsid w:val="003D7B56"/>
    <w:rsid w:val="003F5C3C"/>
    <w:rsid w:val="003F7F9F"/>
    <w:rsid w:val="0040181E"/>
    <w:rsid w:val="004103C8"/>
    <w:rsid w:val="00424D36"/>
    <w:rsid w:val="00450582"/>
    <w:rsid w:val="0046197E"/>
    <w:rsid w:val="004675EF"/>
    <w:rsid w:val="00467CD2"/>
    <w:rsid w:val="0047661C"/>
    <w:rsid w:val="0049606B"/>
    <w:rsid w:val="004B3706"/>
    <w:rsid w:val="004D3284"/>
    <w:rsid w:val="004E6E70"/>
    <w:rsid w:val="004F0785"/>
    <w:rsid w:val="004F1F07"/>
    <w:rsid w:val="0050278E"/>
    <w:rsid w:val="005032BC"/>
    <w:rsid w:val="005352D9"/>
    <w:rsid w:val="00551C87"/>
    <w:rsid w:val="00564A1E"/>
    <w:rsid w:val="0057150B"/>
    <w:rsid w:val="005726D1"/>
    <w:rsid w:val="00581501"/>
    <w:rsid w:val="0058161D"/>
    <w:rsid w:val="00581652"/>
    <w:rsid w:val="00595EE4"/>
    <w:rsid w:val="005A5188"/>
    <w:rsid w:val="005B4995"/>
    <w:rsid w:val="005B75B9"/>
    <w:rsid w:val="005C1613"/>
    <w:rsid w:val="005D08C7"/>
    <w:rsid w:val="005E106E"/>
    <w:rsid w:val="00601EEC"/>
    <w:rsid w:val="00603052"/>
    <w:rsid w:val="00612F6D"/>
    <w:rsid w:val="00621742"/>
    <w:rsid w:val="00635235"/>
    <w:rsid w:val="00643733"/>
    <w:rsid w:val="0065082A"/>
    <w:rsid w:val="00655DE9"/>
    <w:rsid w:val="00667FF9"/>
    <w:rsid w:val="0067158F"/>
    <w:rsid w:val="00684099"/>
    <w:rsid w:val="0069798C"/>
    <w:rsid w:val="006B372A"/>
    <w:rsid w:val="006B44B9"/>
    <w:rsid w:val="006C4B15"/>
    <w:rsid w:val="006E213E"/>
    <w:rsid w:val="006E222B"/>
    <w:rsid w:val="006F641E"/>
    <w:rsid w:val="006F7066"/>
    <w:rsid w:val="0071545B"/>
    <w:rsid w:val="00717952"/>
    <w:rsid w:val="00721A72"/>
    <w:rsid w:val="007538EF"/>
    <w:rsid w:val="00754576"/>
    <w:rsid w:val="007636B8"/>
    <w:rsid w:val="00763CFF"/>
    <w:rsid w:val="007927AE"/>
    <w:rsid w:val="0079313A"/>
    <w:rsid w:val="007A2FDB"/>
    <w:rsid w:val="007B2787"/>
    <w:rsid w:val="007B2AE1"/>
    <w:rsid w:val="007B6D3F"/>
    <w:rsid w:val="007B6DE7"/>
    <w:rsid w:val="007C3663"/>
    <w:rsid w:val="007C4BAC"/>
    <w:rsid w:val="007D3FF2"/>
    <w:rsid w:val="007D4423"/>
    <w:rsid w:val="007D46BE"/>
    <w:rsid w:val="007E586A"/>
    <w:rsid w:val="007F1D94"/>
    <w:rsid w:val="007F2129"/>
    <w:rsid w:val="007F36F4"/>
    <w:rsid w:val="00815CF9"/>
    <w:rsid w:val="008222ED"/>
    <w:rsid w:val="008303E0"/>
    <w:rsid w:val="00831201"/>
    <w:rsid w:val="00845B92"/>
    <w:rsid w:val="00847FBC"/>
    <w:rsid w:val="008557B2"/>
    <w:rsid w:val="0085793A"/>
    <w:rsid w:val="00862CE5"/>
    <w:rsid w:val="00882C97"/>
    <w:rsid w:val="00883C0F"/>
    <w:rsid w:val="00892029"/>
    <w:rsid w:val="008A0956"/>
    <w:rsid w:val="008A4859"/>
    <w:rsid w:val="008A5E58"/>
    <w:rsid w:val="008C0B5B"/>
    <w:rsid w:val="008D6AEA"/>
    <w:rsid w:val="008E1A9E"/>
    <w:rsid w:val="008F4C87"/>
    <w:rsid w:val="00903AFB"/>
    <w:rsid w:val="009058C5"/>
    <w:rsid w:val="00915A16"/>
    <w:rsid w:val="009429CB"/>
    <w:rsid w:val="009631CD"/>
    <w:rsid w:val="00971805"/>
    <w:rsid w:val="00971E4B"/>
    <w:rsid w:val="00977557"/>
    <w:rsid w:val="009A04EA"/>
    <w:rsid w:val="009B43E1"/>
    <w:rsid w:val="009C53DA"/>
    <w:rsid w:val="009E7A49"/>
    <w:rsid w:val="00A274AD"/>
    <w:rsid w:val="00A301F6"/>
    <w:rsid w:val="00A33B4F"/>
    <w:rsid w:val="00A44F45"/>
    <w:rsid w:val="00A464E6"/>
    <w:rsid w:val="00A52DA9"/>
    <w:rsid w:val="00A575A9"/>
    <w:rsid w:val="00A65163"/>
    <w:rsid w:val="00A95269"/>
    <w:rsid w:val="00AA4E10"/>
    <w:rsid w:val="00AB2051"/>
    <w:rsid w:val="00AB7252"/>
    <w:rsid w:val="00AC3B45"/>
    <w:rsid w:val="00AD2624"/>
    <w:rsid w:val="00AD2F21"/>
    <w:rsid w:val="00AD3291"/>
    <w:rsid w:val="00AE7115"/>
    <w:rsid w:val="00AF1852"/>
    <w:rsid w:val="00AF63A8"/>
    <w:rsid w:val="00B33EB4"/>
    <w:rsid w:val="00B54BAA"/>
    <w:rsid w:val="00B63192"/>
    <w:rsid w:val="00B63276"/>
    <w:rsid w:val="00B768EF"/>
    <w:rsid w:val="00B838FD"/>
    <w:rsid w:val="00B8556E"/>
    <w:rsid w:val="00B97F62"/>
    <w:rsid w:val="00BA506B"/>
    <w:rsid w:val="00BB2518"/>
    <w:rsid w:val="00BC31F5"/>
    <w:rsid w:val="00BC3913"/>
    <w:rsid w:val="00BD700D"/>
    <w:rsid w:val="00C0698E"/>
    <w:rsid w:val="00C11C31"/>
    <w:rsid w:val="00C45B13"/>
    <w:rsid w:val="00C5129D"/>
    <w:rsid w:val="00C56AFB"/>
    <w:rsid w:val="00C621DE"/>
    <w:rsid w:val="00C65527"/>
    <w:rsid w:val="00C81C69"/>
    <w:rsid w:val="00C86BFD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CE71BB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97548"/>
    <w:rsid w:val="00DA0274"/>
    <w:rsid w:val="00DA3D95"/>
    <w:rsid w:val="00DA737B"/>
    <w:rsid w:val="00DC12AC"/>
    <w:rsid w:val="00DD334E"/>
    <w:rsid w:val="00DD761E"/>
    <w:rsid w:val="00DE3FF5"/>
    <w:rsid w:val="00DE66F1"/>
    <w:rsid w:val="00DF3689"/>
    <w:rsid w:val="00DF39ED"/>
    <w:rsid w:val="00E31317"/>
    <w:rsid w:val="00E404E1"/>
    <w:rsid w:val="00E43DB6"/>
    <w:rsid w:val="00E548FE"/>
    <w:rsid w:val="00E74F4D"/>
    <w:rsid w:val="00E759E9"/>
    <w:rsid w:val="00E7698F"/>
    <w:rsid w:val="00E76A34"/>
    <w:rsid w:val="00E82BB1"/>
    <w:rsid w:val="00E91375"/>
    <w:rsid w:val="00EB1C10"/>
    <w:rsid w:val="00ED507D"/>
    <w:rsid w:val="00ED6F88"/>
    <w:rsid w:val="00EE5CCE"/>
    <w:rsid w:val="00EF0531"/>
    <w:rsid w:val="00EF356F"/>
    <w:rsid w:val="00EF51FE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009D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link w:val="TextonotapieC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B1C9D"/>
  </w:style>
  <w:style w:type="character" w:styleId="Refdenotaalpie">
    <w:name w:val="footnote reference"/>
    <w:basedOn w:val="Fuentedeprrafopredeter"/>
    <w:uiPriority w:val="99"/>
    <w:semiHidden/>
    <w:unhideWhenUsed/>
    <w:rsid w:val="005B1C9D"/>
    <w:rPr>
      <w:vertAlign w:val="superscript"/>
    </w:rPr>
  </w:style>
  <w:style w:type="paragraph" w:styleId="Prrafodelista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402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022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0220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02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022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24099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784</Words>
  <Characters>4284</Characters>
  <Application>Microsoft Office Word</Application>
  <DocSecurity>0</DocSecurity>
  <Lines>102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Rocío Alayón Morell</cp:lastModifiedBy>
  <cp:revision>4</cp:revision>
  <cp:lastPrinted>2024-05-21T18:36:00Z</cp:lastPrinted>
  <dcterms:created xsi:type="dcterms:W3CDTF">2026-01-30T15:55:00Z</dcterms:created>
  <dcterms:modified xsi:type="dcterms:W3CDTF">2026-02-02T14:04:00Z</dcterms:modified>
</cp:coreProperties>
</file>