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F05D99" w14:textId="77777777" w:rsidR="00BE1233" w:rsidRDefault="00BE1233" w:rsidP="00BE1233">
      <w:pPr>
        <w:rPr>
          <w:rFonts w:ascii="Book Antiqua" w:eastAsia="Book Antiqua" w:hAnsi="Book Antiqua" w:cs="Book Antiqua"/>
          <w:sz w:val="28"/>
          <w:szCs w:val="28"/>
        </w:rPr>
      </w:pPr>
    </w:p>
    <w:p w14:paraId="00000008" w14:textId="3048A0DB" w:rsidR="003A0F75" w:rsidRPr="00ED5A5C" w:rsidRDefault="00ED5A5C" w:rsidP="00ED5A5C">
      <w:pPr>
        <w:rPr>
          <w:rFonts w:ascii="Book Antiqua" w:eastAsia="Book Antiqua" w:hAnsi="Book Antiqua" w:cs="Book Antiqua"/>
          <w:b/>
        </w:rPr>
      </w:pPr>
      <w:r w:rsidRPr="00ED5A5C">
        <w:rPr>
          <w:rFonts w:ascii="Book Antiqua" w:hAnsi="Book Antiqua"/>
          <w:b/>
          <w:bCs/>
          <w:color w:val="000000" w:themeColor="text1"/>
        </w:rPr>
        <w:t>(</w:t>
      </w:r>
      <w:r w:rsidR="002915AC" w:rsidRPr="00ED5A5C">
        <w:rPr>
          <w:rFonts w:ascii="Book Antiqua" w:eastAsia="Book Antiqua" w:hAnsi="Book Antiqua" w:cs="Book Antiqua"/>
          <w:b/>
        </w:rPr>
        <w:t>R</w:t>
      </w:r>
      <w:r w:rsidR="00F54F2E" w:rsidRPr="00ED5A5C">
        <w:rPr>
          <w:rFonts w:ascii="Book Antiqua" w:eastAsia="Book Antiqua" w:hAnsi="Book Antiqua" w:cs="Book Antiqua"/>
          <w:b/>
        </w:rPr>
        <w:t>.</w:t>
      </w:r>
      <w:r w:rsidR="002915AC" w:rsidRPr="00ED5A5C">
        <w:rPr>
          <w:rFonts w:ascii="Book Antiqua" w:eastAsia="Book Antiqua" w:hAnsi="Book Antiqua" w:cs="Book Antiqua"/>
          <w:b/>
        </w:rPr>
        <w:t xml:space="preserve"> C.</w:t>
      </w:r>
      <w:r w:rsidR="00F54F2E" w:rsidRPr="00ED5A5C">
        <w:rPr>
          <w:rFonts w:ascii="Book Antiqua" w:eastAsia="Book Antiqua" w:hAnsi="Book Antiqua" w:cs="Book Antiqua"/>
          <w:b/>
        </w:rPr>
        <w:t xml:space="preserve"> de la C. </w:t>
      </w:r>
      <w:r w:rsidR="00E91375" w:rsidRPr="00ED5A5C">
        <w:rPr>
          <w:rFonts w:ascii="Book Antiqua" w:eastAsia="Book Antiqua" w:hAnsi="Book Antiqua" w:cs="Book Antiqua"/>
          <w:b/>
        </w:rPr>
        <w:t>277</w:t>
      </w:r>
      <w:r w:rsidRPr="00ED5A5C">
        <w:rPr>
          <w:rFonts w:ascii="Book Antiqua" w:eastAsia="Book Antiqua" w:hAnsi="Book Antiqua" w:cs="Book Antiqua"/>
          <w:b/>
        </w:rPr>
        <w:t>)</w:t>
      </w:r>
    </w:p>
    <w:p w14:paraId="0000000C" w14:textId="77777777" w:rsidR="003A0F75" w:rsidRPr="00A33B4F" w:rsidRDefault="003A0F75" w:rsidP="00DD334E">
      <w:pPr>
        <w:jc w:val="both"/>
        <w:rPr>
          <w:rFonts w:ascii="Book Antiqua" w:eastAsia="Book Antiqua" w:hAnsi="Book Antiqua" w:cs="Book Antiqua"/>
        </w:rPr>
      </w:pPr>
    </w:p>
    <w:p w14:paraId="0000000D" w14:textId="14958A01" w:rsidR="003A0F75" w:rsidRPr="00A33B4F" w:rsidRDefault="00DD334E" w:rsidP="00ED5A5C">
      <w:pPr>
        <w:jc w:val="center"/>
        <w:rPr>
          <w:rFonts w:ascii="Book Antiqua" w:eastAsia="Book Antiqua" w:hAnsi="Book Antiqua" w:cs="Book Antiqua"/>
          <w:b/>
          <w:sz w:val="28"/>
          <w:szCs w:val="28"/>
        </w:rPr>
      </w:pPr>
      <w:r>
        <w:rPr>
          <w:rFonts w:ascii="Book Antiqua" w:eastAsia="Book Antiqua" w:hAnsi="Book Antiqua" w:cs="Book Antiqua"/>
          <w:b/>
          <w:sz w:val="28"/>
          <w:szCs w:val="28"/>
        </w:rPr>
        <w:t>RESOLUCIÓN CONJUNTA</w:t>
      </w:r>
    </w:p>
    <w:p w14:paraId="0000000E" w14:textId="77777777" w:rsidR="003A0F75" w:rsidRPr="00A33B4F" w:rsidRDefault="003A0F75" w:rsidP="00DD334E">
      <w:pPr>
        <w:jc w:val="both"/>
        <w:rPr>
          <w:rFonts w:ascii="Book Antiqua" w:eastAsia="Book Antiqua" w:hAnsi="Book Antiqua" w:cs="Book Antiqua"/>
        </w:rPr>
      </w:pPr>
    </w:p>
    <w:p w14:paraId="6F1D545C" w14:textId="3385B6D0" w:rsidR="002915AC" w:rsidRPr="002915AC" w:rsidRDefault="00F54F2E" w:rsidP="00DD334E">
      <w:pPr>
        <w:shd w:val="clear" w:color="auto" w:fill="FFFFFF"/>
        <w:ind w:left="720" w:hanging="720"/>
        <w:jc w:val="both"/>
        <w:rPr>
          <w:rFonts w:ascii="Book Antiqua" w:hAnsi="Book Antiqua"/>
          <w:color w:val="000000"/>
          <w:lang w:val="es-PR"/>
        </w:rPr>
      </w:pPr>
      <w:r w:rsidRPr="002915AC">
        <w:rPr>
          <w:rFonts w:ascii="Book Antiqua" w:eastAsia="Book Antiqua" w:hAnsi="Book Antiqua" w:cs="Book Antiqua"/>
        </w:rPr>
        <w:t xml:space="preserve">Para </w:t>
      </w:r>
      <w:r w:rsidR="002915AC" w:rsidRPr="002915AC">
        <w:rPr>
          <w:rFonts w:ascii="Book Antiqua" w:hAnsi="Book Antiqua"/>
          <w:color w:val="000000"/>
        </w:rPr>
        <w:t xml:space="preserve">designar </w:t>
      </w:r>
      <w:r w:rsidR="00CE71BB">
        <w:rPr>
          <w:rFonts w:ascii="Book Antiqua" w:hAnsi="Book Antiqua"/>
          <w:color w:val="000000"/>
        </w:rPr>
        <w:t xml:space="preserve">el tramo de </w:t>
      </w:r>
      <w:r w:rsidR="00AB7252" w:rsidRPr="00AB7252">
        <w:rPr>
          <w:rFonts w:ascii="Book Antiqua" w:hAnsi="Book Antiqua"/>
          <w:color w:val="000000"/>
        </w:rPr>
        <w:t xml:space="preserve">la Carretera PR-866, ubicada en </w:t>
      </w:r>
      <w:r w:rsidR="006B44B9">
        <w:rPr>
          <w:rFonts w:ascii="Book Antiqua" w:hAnsi="Book Antiqua"/>
          <w:color w:val="000000"/>
        </w:rPr>
        <w:t>la Urb. Levittown</w:t>
      </w:r>
      <w:r w:rsidR="00AB7252" w:rsidRPr="00AB7252">
        <w:rPr>
          <w:rFonts w:ascii="Book Antiqua" w:hAnsi="Book Antiqua"/>
          <w:color w:val="000000"/>
        </w:rPr>
        <w:t>,</w:t>
      </w:r>
      <w:r w:rsidR="00CE71BB">
        <w:rPr>
          <w:rFonts w:ascii="Book Antiqua" w:hAnsi="Book Antiqua"/>
          <w:color w:val="000000"/>
        </w:rPr>
        <w:t xml:space="preserve"> que discurre </w:t>
      </w:r>
      <w:r w:rsidR="006B44B9" w:rsidRPr="006B44B9">
        <w:rPr>
          <w:rFonts w:ascii="Book Antiqua" w:hAnsi="Book Antiqua"/>
          <w:color w:val="000000"/>
          <w:lang w:val="es-PR"/>
        </w:rPr>
        <w:t>desde la Avenida Boulevard hasta la Panadería Aquino en intersección con la Avenida Amalia Paoli en</w:t>
      </w:r>
      <w:r w:rsidR="008A4859">
        <w:rPr>
          <w:rFonts w:ascii="Book Antiqua" w:hAnsi="Book Antiqua"/>
          <w:color w:val="000000"/>
          <w:lang w:val="es-PR"/>
        </w:rPr>
        <w:t xml:space="preserve"> el Municipio de</w:t>
      </w:r>
      <w:r w:rsidR="006B44B9" w:rsidRPr="006B44B9">
        <w:rPr>
          <w:rFonts w:ascii="Book Antiqua" w:hAnsi="Book Antiqua"/>
          <w:color w:val="000000"/>
          <w:lang w:val="es-PR"/>
        </w:rPr>
        <w:t xml:space="preserve"> Toa Baja, como Avenida Olga Tañón</w:t>
      </w:r>
      <w:r w:rsidR="00CE71BB">
        <w:rPr>
          <w:rFonts w:ascii="Book Antiqua" w:hAnsi="Book Antiqua"/>
          <w:color w:val="000000"/>
        </w:rPr>
        <w:t>,</w:t>
      </w:r>
      <w:r w:rsidR="00AB7252" w:rsidRPr="00AB7252">
        <w:rPr>
          <w:rFonts w:ascii="Book Antiqua" w:hAnsi="Book Antiqua"/>
          <w:color w:val="000000"/>
        </w:rPr>
        <w:t xml:space="preserve"> en reconocimiento a su destacada trayectoria</w:t>
      </w:r>
      <w:r w:rsidR="00AF1852">
        <w:rPr>
          <w:rFonts w:ascii="Book Antiqua" w:hAnsi="Book Antiqua"/>
          <w:color w:val="000000"/>
        </w:rPr>
        <w:t xml:space="preserve"> artística y </w:t>
      </w:r>
      <w:r w:rsidR="00D97548" w:rsidRPr="008D6AEA">
        <w:rPr>
          <w:rFonts w:ascii="Book Antiqua" w:hAnsi="Book Antiqua"/>
          <w:lang w:val="es-PR"/>
        </w:rPr>
        <w:t>su firme compromiso social y humanitario</w:t>
      </w:r>
      <w:r w:rsidR="00AB7252" w:rsidRPr="00AB7252">
        <w:rPr>
          <w:rFonts w:ascii="Book Antiqua" w:hAnsi="Book Antiqua"/>
          <w:color w:val="000000"/>
        </w:rPr>
        <w:t xml:space="preserve">; </w:t>
      </w:r>
      <w:r w:rsidR="00595EE4">
        <w:rPr>
          <w:rFonts w:ascii="Book Antiqua" w:hAnsi="Book Antiqua"/>
          <w:color w:val="000000"/>
        </w:rPr>
        <w:t>autorizar la instalación de rótulos, autorizar el pareo de fondos</w:t>
      </w:r>
      <w:r w:rsidR="00971805">
        <w:rPr>
          <w:rFonts w:ascii="Book Antiqua" w:hAnsi="Book Antiqua"/>
          <w:color w:val="000000"/>
        </w:rPr>
        <w:t>; y para otros fines relacionados</w:t>
      </w:r>
      <w:r w:rsidR="00024385" w:rsidRPr="00386D5F">
        <w:rPr>
          <w:rFonts w:ascii="Book Antiqua" w:hAnsi="Book Antiqua"/>
          <w:color w:val="000000"/>
        </w:rPr>
        <w:t>.</w:t>
      </w:r>
    </w:p>
    <w:p w14:paraId="00000010" w14:textId="77777777" w:rsidR="003A0F75" w:rsidRPr="00A33B4F" w:rsidRDefault="003A0F75" w:rsidP="00DD334E">
      <w:pPr>
        <w:ind w:firstLine="360"/>
        <w:jc w:val="center"/>
        <w:rPr>
          <w:rFonts w:ascii="Book Antiqua" w:eastAsia="Book Antiqua" w:hAnsi="Book Antiqua" w:cs="Book Antiqua"/>
        </w:rPr>
      </w:pPr>
    </w:p>
    <w:p w14:paraId="00000011" w14:textId="77777777" w:rsidR="003A0F75" w:rsidRPr="00A33B4F" w:rsidRDefault="00F54F2E" w:rsidP="00DD334E">
      <w:pPr>
        <w:jc w:val="center"/>
        <w:rPr>
          <w:rFonts w:ascii="Book Antiqua" w:eastAsia="Book Antiqua" w:hAnsi="Book Antiqua" w:cs="Book Antiqua"/>
        </w:rPr>
      </w:pPr>
      <w:r w:rsidRPr="00A33B4F">
        <w:rPr>
          <w:rFonts w:ascii="Book Antiqua" w:eastAsia="Book Antiqua" w:hAnsi="Book Antiqua" w:cs="Book Antiqua"/>
        </w:rPr>
        <w:t>EXPOSICIÓN DE MOTIVOS</w:t>
      </w:r>
    </w:p>
    <w:p w14:paraId="6952E3D4" w14:textId="77777777" w:rsidR="00CD0D69" w:rsidRDefault="00CD0D69" w:rsidP="00DD334E">
      <w:pPr>
        <w:jc w:val="both"/>
        <w:rPr>
          <w:rFonts w:ascii="Book Antiqua" w:eastAsia="Book Antiqua" w:hAnsi="Book Antiqua" w:cs="Book Antiqua"/>
        </w:rPr>
      </w:pPr>
    </w:p>
    <w:p w14:paraId="60595BE4" w14:textId="1DEC2216" w:rsidR="00DD761E" w:rsidRDefault="008D6AEA" w:rsidP="008D6AEA">
      <w:pPr>
        <w:ind w:firstLine="720"/>
        <w:jc w:val="both"/>
        <w:rPr>
          <w:rFonts w:ascii="Book Antiqua" w:hAnsi="Book Antiqua"/>
          <w:lang w:val="es-PR"/>
        </w:rPr>
      </w:pPr>
      <w:r w:rsidRPr="008D6AEA">
        <w:rPr>
          <w:rFonts w:ascii="Book Antiqua" w:hAnsi="Book Antiqua"/>
          <w:lang w:val="es-PR"/>
        </w:rPr>
        <w:t>Olga Teresa Tañón Ortiz, conocida internacionalmente como Olga Tañón, nació San Juan, Puerto Rico.</w:t>
      </w:r>
      <w:r w:rsidR="00287B9B">
        <w:rPr>
          <w:rFonts w:ascii="Book Antiqua" w:hAnsi="Book Antiqua"/>
          <w:lang w:val="es-PR"/>
        </w:rPr>
        <w:t xml:space="preserve"> Pero fue en el Municipio de Toa Baja donde </w:t>
      </w:r>
      <w:r w:rsidR="00C5129D">
        <w:rPr>
          <w:rFonts w:ascii="Book Antiqua" w:hAnsi="Book Antiqua"/>
          <w:lang w:val="es-PR"/>
        </w:rPr>
        <w:t>creció</w:t>
      </w:r>
      <w:r w:rsidR="009429CB">
        <w:rPr>
          <w:rFonts w:ascii="Book Antiqua" w:hAnsi="Book Antiqua"/>
          <w:lang w:val="es-PR"/>
        </w:rPr>
        <w:t xml:space="preserve"> se formó como persona y desarrolló su carácter. </w:t>
      </w:r>
      <w:r w:rsidR="008557B2">
        <w:rPr>
          <w:rFonts w:ascii="Book Antiqua" w:hAnsi="Book Antiqua"/>
          <w:lang w:val="es-PR"/>
        </w:rPr>
        <w:t xml:space="preserve">Específicamente, se crio en un hogar humilde </w:t>
      </w:r>
      <w:r w:rsidR="009429CB">
        <w:rPr>
          <w:rFonts w:ascii="Book Antiqua" w:hAnsi="Book Antiqua"/>
          <w:lang w:val="es-PR"/>
        </w:rPr>
        <w:t>en el área de Levittown</w:t>
      </w:r>
      <w:r w:rsidR="001D7D9B">
        <w:rPr>
          <w:rFonts w:ascii="Book Antiqua" w:hAnsi="Book Antiqua"/>
          <w:lang w:val="es-PR"/>
        </w:rPr>
        <w:t xml:space="preserve">; por lo que posee un vínculo importante con </w:t>
      </w:r>
      <w:r w:rsidR="008557B2">
        <w:rPr>
          <w:rFonts w:ascii="Book Antiqua" w:hAnsi="Book Antiqua"/>
          <w:lang w:val="es-PR"/>
        </w:rPr>
        <w:t>nuestra</w:t>
      </w:r>
      <w:r w:rsidR="001D7D9B">
        <w:rPr>
          <w:rFonts w:ascii="Book Antiqua" w:hAnsi="Book Antiqua"/>
          <w:lang w:val="es-PR"/>
        </w:rPr>
        <w:t xml:space="preserve"> </w:t>
      </w:r>
      <w:r w:rsidR="00DD761E">
        <w:rPr>
          <w:rFonts w:ascii="Book Antiqua" w:hAnsi="Book Antiqua"/>
          <w:lang w:val="es-PR"/>
        </w:rPr>
        <w:t>ciudad llanera.</w:t>
      </w:r>
      <w:r w:rsidRPr="008D6AEA">
        <w:rPr>
          <w:rFonts w:ascii="Book Antiqua" w:hAnsi="Book Antiqua"/>
          <w:lang w:val="es-PR"/>
        </w:rPr>
        <w:t xml:space="preserve"> </w:t>
      </w:r>
    </w:p>
    <w:p w14:paraId="7B551FD4" w14:textId="77777777" w:rsidR="00DD761E" w:rsidRDefault="00DD761E" w:rsidP="008D6AEA">
      <w:pPr>
        <w:ind w:firstLine="720"/>
        <w:jc w:val="both"/>
        <w:rPr>
          <w:rFonts w:ascii="Book Antiqua" w:hAnsi="Book Antiqua"/>
          <w:lang w:val="es-PR"/>
        </w:rPr>
      </w:pPr>
    </w:p>
    <w:p w14:paraId="194F96EE" w14:textId="33CF1E18" w:rsidR="008D6AEA" w:rsidRPr="008D6AEA" w:rsidRDefault="00DD761E" w:rsidP="008D6AEA">
      <w:pPr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En el ámbito profesional, e</w:t>
      </w:r>
      <w:r w:rsidR="008D6AEA" w:rsidRPr="008D6AEA">
        <w:rPr>
          <w:rFonts w:ascii="Book Antiqua" w:hAnsi="Book Antiqua"/>
          <w:lang w:val="es-PR"/>
        </w:rPr>
        <w:t>s una de las artistas puertorriqueñas más influyentes de la música latina y una de las principales exponentes del merengue a nivel mundial, género que ha contribuido significativamente a internacionalizar desde Puerto Rico.</w:t>
      </w:r>
    </w:p>
    <w:p w14:paraId="1D5DDA4A" w14:textId="77777777" w:rsidR="008D6AEA" w:rsidRPr="008D6AEA" w:rsidRDefault="008D6AEA" w:rsidP="008D6AEA">
      <w:pPr>
        <w:ind w:firstLine="720"/>
        <w:jc w:val="both"/>
        <w:rPr>
          <w:rFonts w:ascii="Book Antiqua" w:hAnsi="Book Antiqua"/>
          <w:lang w:val="es-PR"/>
        </w:rPr>
      </w:pPr>
    </w:p>
    <w:p w14:paraId="348C1AB5" w14:textId="77777777" w:rsidR="008D6AEA" w:rsidRPr="008D6AEA" w:rsidRDefault="008D6AEA" w:rsidP="008D6AEA">
      <w:pPr>
        <w:ind w:firstLine="720"/>
        <w:jc w:val="both"/>
        <w:rPr>
          <w:rFonts w:ascii="Book Antiqua" w:hAnsi="Book Antiqua"/>
          <w:lang w:val="es-PR"/>
        </w:rPr>
      </w:pPr>
      <w:r w:rsidRPr="008D6AEA">
        <w:rPr>
          <w:rFonts w:ascii="Book Antiqua" w:hAnsi="Book Antiqua"/>
          <w:lang w:val="es-PR"/>
        </w:rPr>
        <w:t>Su carrera artística inició a finales de la década de 1980 como vocalista de la orquesta femenina Las Nenas de Ringo y Jossie, experiencia que marcó el comienzo de una trayectoria ascendente caracterizada por disciplina, carácter y excelencia interpretativa. En 1992 inició su carrera como solista, consolidándose rápidamente como una de las voces más potentes y reconocibles de la música tropical.</w:t>
      </w:r>
    </w:p>
    <w:p w14:paraId="7DE952B7" w14:textId="77777777" w:rsidR="008D6AEA" w:rsidRPr="008D6AEA" w:rsidRDefault="008D6AEA" w:rsidP="008D6AEA">
      <w:pPr>
        <w:ind w:firstLine="720"/>
        <w:jc w:val="both"/>
        <w:rPr>
          <w:rFonts w:ascii="Book Antiqua" w:hAnsi="Book Antiqua"/>
          <w:lang w:val="es-PR"/>
        </w:rPr>
      </w:pPr>
    </w:p>
    <w:p w14:paraId="7B1722D3" w14:textId="15C3D451" w:rsidR="008D6AEA" w:rsidRDefault="008D6AEA" w:rsidP="008D6AEA">
      <w:pPr>
        <w:ind w:firstLine="720"/>
        <w:jc w:val="both"/>
        <w:rPr>
          <w:rFonts w:ascii="Book Antiqua" w:hAnsi="Book Antiqua"/>
          <w:lang w:val="es-PR"/>
        </w:rPr>
      </w:pPr>
      <w:r w:rsidRPr="008D6AEA">
        <w:rPr>
          <w:rFonts w:ascii="Book Antiqua" w:hAnsi="Book Antiqua"/>
          <w:lang w:val="es-PR"/>
        </w:rPr>
        <w:t xml:space="preserve">A lo largo de más de tres décadas de carrera, Olga Tañón ha lanzado numerosas producciones discográficas que han alcanzado gran éxito comercial y crítico, logrando ventas millonarias y múltiples reconocimientos internacionales, entre ellos Premios Grammy Latinos, Premios Billboard de la Música Latina y Premios Lo Nuestro. Su estilo vocal, energía escénica y versatilidad musical le han valido el reconocimiento del público y de la industria, </w:t>
      </w:r>
      <w:r w:rsidR="00DD761E">
        <w:rPr>
          <w:rFonts w:ascii="Book Antiqua" w:hAnsi="Book Antiqua"/>
          <w:lang w:val="es-PR"/>
        </w:rPr>
        <w:t xml:space="preserve">por lo que se le conoce como </w:t>
      </w:r>
      <w:r w:rsidRPr="008D6AEA">
        <w:rPr>
          <w:rFonts w:ascii="Book Antiqua" w:hAnsi="Book Antiqua"/>
          <w:lang w:val="es-PR"/>
        </w:rPr>
        <w:t>“La Mujer de Fuego”.</w:t>
      </w:r>
    </w:p>
    <w:p w14:paraId="5542EDB0" w14:textId="77777777" w:rsidR="0079313A" w:rsidRDefault="0079313A" w:rsidP="008D6AEA">
      <w:pPr>
        <w:ind w:firstLine="720"/>
        <w:jc w:val="both"/>
        <w:rPr>
          <w:rFonts w:ascii="Book Antiqua" w:hAnsi="Book Antiqua"/>
          <w:lang w:val="es-PR"/>
        </w:rPr>
      </w:pPr>
    </w:p>
    <w:p w14:paraId="5B647327" w14:textId="2F3D0A11" w:rsidR="0079313A" w:rsidRPr="0079313A" w:rsidRDefault="001C5A3C" w:rsidP="0079313A">
      <w:pPr>
        <w:ind w:firstLine="720"/>
        <w:jc w:val="both"/>
        <w:rPr>
          <w:rFonts w:ascii="Book Antiqua" w:hAnsi="Book Antiqua"/>
          <w:lang w:val="es-PR"/>
        </w:rPr>
      </w:pPr>
      <w:r w:rsidRPr="0079313A">
        <w:rPr>
          <w:rFonts w:ascii="Book Antiqua" w:hAnsi="Book Antiqua"/>
          <w:lang w:val="es-PR"/>
        </w:rPr>
        <w:t>Sus interpretaciones se caracterizan por letras que abordan el amor, el desamor, la superación personal, la identidad femenina y el orgullo latino.</w:t>
      </w:r>
      <w:r>
        <w:rPr>
          <w:rFonts w:ascii="Book Antiqua" w:hAnsi="Book Antiqua"/>
          <w:lang w:val="es-PR"/>
        </w:rPr>
        <w:t xml:space="preserve"> </w:t>
      </w:r>
      <w:r w:rsidR="0079313A" w:rsidRPr="0079313A">
        <w:rPr>
          <w:rFonts w:ascii="Book Antiqua" w:hAnsi="Book Antiqua"/>
          <w:lang w:val="es-PR"/>
        </w:rPr>
        <w:t>A lo largo de su carrera ha lanzado más de 20 producciones discográficas, entre ellas álbumes emblemáticos como:</w:t>
      </w:r>
    </w:p>
    <w:p w14:paraId="37A27962" w14:textId="77777777" w:rsidR="0079313A" w:rsidRPr="0079313A" w:rsidRDefault="0079313A" w:rsidP="0079313A">
      <w:pPr>
        <w:ind w:firstLine="720"/>
        <w:jc w:val="both"/>
        <w:rPr>
          <w:rFonts w:ascii="Book Antiqua" w:hAnsi="Book Antiqua"/>
          <w:lang w:val="es-PR"/>
        </w:rPr>
      </w:pPr>
    </w:p>
    <w:p w14:paraId="6F1772C0" w14:textId="77777777" w:rsidR="0079313A" w:rsidRPr="0079313A" w:rsidRDefault="0079313A" w:rsidP="0079313A">
      <w:pPr>
        <w:numPr>
          <w:ilvl w:val="0"/>
          <w:numId w:val="1"/>
        </w:numPr>
        <w:jc w:val="both"/>
        <w:rPr>
          <w:rFonts w:ascii="Book Antiqua" w:hAnsi="Book Antiqua"/>
          <w:lang w:val="en-US"/>
        </w:rPr>
      </w:pPr>
      <w:r w:rsidRPr="0079313A">
        <w:rPr>
          <w:rFonts w:ascii="Book Antiqua" w:hAnsi="Book Antiqua"/>
          <w:lang w:val="en-US"/>
        </w:rPr>
        <w:t>Mujer de fuego (1995)</w:t>
      </w:r>
    </w:p>
    <w:p w14:paraId="719A1AE5" w14:textId="77777777" w:rsidR="0079313A" w:rsidRPr="0079313A" w:rsidRDefault="0079313A" w:rsidP="0079313A">
      <w:pPr>
        <w:numPr>
          <w:ilvl w:val="0"/>
          <w:numId w:val="1"/>
        </w:numPr>
        <w:jc w:val="both"/>
        <w:rPr>
          <w:rFonts w:ascii="Book Antiqua" w:hAnsi="Book Antiqua"/>
          <w:lang w:val="en-US"/>
        </w:rPr>
      </w:pPr>
      <w:r w:rsidRPr="0079313A">
        <w:rPr>
          <w:rFonts w:ascii="Book Antiqua" w:hAnsi="Book Antiqua"/>
          <w:lang w:val="en-US"/>
        </w:rPr>
        <w:t>Te acordarás de mí (1998)</w:t>
      </w:r>
    </w:p>
    <w:p w14:paraId="4006B9CE" w14:textId="77777777" w:rsidR="0079313A" w:rsidRPr="0079313A" w:rsidRDefault="0079313A" w:rsidP="0079313A">
      <w:pPr>
        <w:numPr>
          <w:ilvl w:val="0"/>
          <w:numId w:val="1"/>
        </w:numPr>
        <w:jc w:val="both"/>
        <w:rPr>
          <w:rFonts w:ascii="Book Antiqua" w:hAnsi="Book Antiqua"/>
          <w:lang w:val="en-US"/>
        </w:rPr>
      </w:pPr>
      <w:r w:rsidRPr="0079313A">
        <w:rPr>
          <w:rFonts w:ascii="Book Antiqua" w:hAnsi="Book Antiqua"/>
          <w:lang w:val="en-US"/>
        </w:rPr>
        <w:t>Yo por ti (2001)</w:t>
      </w:r>
    </w:p>
    <w:p w14:paraId="5D12DBFE" w14:textId="77777777" w:rsidR="0079313A" w:rsidRPr="0079313A" w:rsidRDefault="0079313A" w:rsidP="0079313A">
      <w:pPr>
        <w:numPr>
          <w:ilvl w:val="0"/>
          <w:numId w:val="1"/>
        </w:numPr>
        <w:jc w:val="both"/>
        <w:rPr>
          <w:rFonts w:ascii="Book Antiqua" w:hAnsi="Book Antiqua"/>
          <w:lang w:val="en-US"/>
        </w:rPr>
      </w:pPr>
      <w:r w:rsidRPr="0079313A">
        <w:rPr>
          <w:rFonts w:ascii="Book Antiqua" w:hAnsi="Book Antiqua"/>
          <w:lang w:val="en-US"/>
        </w:rPr>
        <w:lastRenderedPageBreak/>
        <w:t>Siente el amor (2009)</w:t>
      </w:r>
    </w:p>
    <w:p w14:paraId="378E760B" w14:textId="77777777" w:rsidR="0079313A" w:rsidRDefault="0079313A" w:rsidP="0079313A">
      <w:pPr>
        <w:numPr>
          <w:ilvl w:val="0"/>
          <w:numId w:val="1"/>
        </w:numPr>
        <w:jc w:val="both"/>
        <w:rPr>
          <w:rFonts w:ascii="Book Antiqua" w:hAnsi="Book Antiqua"/>
          <w:lang w:val="en-US"/>
        </w:rPr>
      </w:pPr>
      <w:r w:rsidRPr="0079313A">
        <w:rPr>
          <w:rFonts w:ascii="Book Antiqua" w:hAnsi="Book Antiqua"/>
          <w:lang w:val="en-US"/>
        </w:rPr>
        <w:t>Olga Tañón y Punto (2017)</w:t>
      </w:r>
    </w:p>
    <w:p w14:paraId="2B8B43CB" w14:textId="70B8A1DD" w:rsidR="005C1613" w:rsidRDefault="00EE5CCE" w:rsidP="0079313A">
      <w:pPr>
        <w:numPr>
          <w:ilvl w:val="0"/>
          <w:numId w:val="1"/>
        </w:numPr>
        <w:jc w:val="both"/>
        <w:rPr>
          <w:rFonts w:ascii="Book Antiqua" w:hAnsi="Book Antiqua"/>
          <w:lang w:val="en-US"/>
        </w:rPr>
      </w:pPr>
      <w:r>
        <w:rPr>
          <w:rFonts w:ascii="Book Antiqua" w:hAnsi="Book Antiqua"/>
          <w:lang w:val="en-US"/>
        </w:rPr>
        <w:t>Así Yo Soy (2024)</w:t>
      </w:r>
    </w:p>
    <w:p w14:paraId="42615992" w14:textId="11DEC510" w:rsidR="00EE5CCE" w:rsidRPr="0079313A" w:rsidRDefault="00EE5CCE" w:rsidP="0079313A">
      <w:pPr>
        <w:numPr>
          <w:ilvl w:val="0"/>
          <w:numId w:val="1"/>
        </w:numPr>
        <w:jc w:val="both"/>
        <w:rPr>
          <w:rFonts w:ascii="Book Antiqua" w:hAnsi="Book Antiqua"/>
          <w:lang w:val="en-US"/>
        </w:rPr>
      </w:pPr>
      <w:r>
        <w:rPr>
          <w:rFonts w:ascii="Book Antiqua" w:hAnsi="Book Antiqua"/>
          <w:lang w:val="en-US"/>
        </w:rPr>
        <w:t>PR24SIETE</w:t>
      </w:r>
      <w:r w:rsidR="007C3663">
        <w:rPr>
          <w:rFonts w:ascii="Book Antiqua" w:hAnsi="Book Antiqua"/>
          <w:lang w:val="en-US"/>
        </w:rPr>
        <w:t xml:space="preserve"> – Soy de Aquí (2025)</w:t>
      </w:r>
    </w:p>
    <w:p w14:paraId="419FEBAB" w14:textId="77777777" w:rsidR="008D6AEA" w:rsidRPr="008D6AEA" w:rsidRDefault="008D6AEA" w:rsidP="001C5A3C">
      <w:pPr>
        <w:jc w:val="both"/>
        <w:rPr>
          <w:rFonts w:ascii="Book Antiqua" w:hAnsi="Book Antiqua"/>
          <w:lang w:val="es-PR"/>
        </w:rPr>
      </w:pPr>
    </w:p>
    <w:p w14:paraId="2F20D211" w14:textId="77777777" w:rsidR="008D6AEA" w:rsidRPr="008D6AEA" w:rsidRDefault="008D6AEA" w:rsidP="008D6AEA">
      <w:pPr>
        <w:ind w:firstLine="720"/>
        <w:jc w:val="both"/>
        <w:rPr>
          <w:rFonts w:ascii="Book Antiqua" w:hAnsi="Book Antiqua"/>
          <w:lang w:val="es-PR"/>
        </w:rPr>
      </w:pPr>
      <w:r w:rsidRPr="008D6AEA">
        <w:rPr>
          <w:rFonts w:ascii="Book Antiqua" w:hAnsi="Book Antiqua"/>
          <w:lang w:val="es-PR"/>
        </w:rPr>
        <w:t>Más allá de sus logros artísticos, Olga Tañón se ha distinguido por su firme compromiso social y humanitario. Ha utilizado su plataforma pública para abogar por los derechos de las personas con diversidad funcional, apoyar causas relacionadas con la niñez, la mujer y las comunidades más vulnerables, y solidarizarse activamente con el pueblo de Puerto Rico en momentos de emergencia y dificultad, demostrando un profundo sentido de responsabilidad social y amor patrio.</w:t>
      </w:r>
    </w:p>
    <w:p w14:paraId="1927B2F1" w14:textId="77777777" w:rsidR="008D6AEA" w:rsidRPr="008D6AEA" w:rsidRDefault="008D6AEA" w:rsidP="008D6AEA">
      <w:pPr>
        <w:ind w:firstLine="720"/>
        <w:jc w:val="both"/>
        <w:rPr>
          <w:rFonts w:ascii="Book Antiqua" w:hAnsi="Book Antiqua"/>
          <w:lang w:val="es-PR"/>
        </w:rPr>
      </w:pPr>
    </w:p>
    <w:p w14:paraId="23087615" w14:textId="77777777" w:rsidR="008D6AEA" w:rsidRPr="008D6AEA" w:rsidRDefault="008D6AEA" w:rsidP="008D6AEA">
      <w:pPr>
        <w:ind w:firstLine="720"/>
        <w:jc w:val="both"/>
        <w:rPr>
          <w:rFonts w:ascii="Book Antiqua" w:hAnsi="Book Antiqua"/>
          <w:lang w:val="es-PR"/>
        </w:rPr>
      </w:pPr>
      <w:r w:rsidRPr="008D6AEA">
        <w:rPr>
          <w:rFonts w:ascii="Book Antiqua" w:hAnsi="Book Antiqua"/>
          <w:lang w:val="es-PR"/>
        </w:rPr>
        <w:t>Su vida personal ha estado marcada por la resiliencia, la fe y un fuerte compromiso con su familia, valores que ha proyectado consistentemente tanto dentro como fuera del escenario. Su testimonio como madre y su sensibilidad ante las realidades sociales han fortalecido su vínculo con el pueblo puertorriqueño.</w:t>
      </w:r>
    </w:p>
    <w:p w14:paraId="16A6D5C1" w14:textId="77777777" w:rsidR="008D6AEA" w:rsidRPr="008D6AEA" w:rsidRDefault="008D6AEA" w:rsidP="008D6AEA">
      <w:pPr>
        <w:ind w:firstLine="720"/>
        <w:jc w:val="both"/>
        <w:rPr>
          <w:rFonts w:ascii="Book Antiqua" w:hAnsi="Book Antiqua"/>
          <w:lang w:val="es-PR"/>
        </w:rPr>
      </w:pPr>
    </w:p>
    <w:p w14:paraId="19630397" w14:textId="77777777" w:rsidR="008D6AEA" w:rsidRPr="008D6AEA" w:rsidRDefault="008D6AEA" w:rsidP="008D6AEA">
      <w:pPr>
        <w:ind w:firstLine="720"/>
        <w:jc w:val="both"/>
        <w:rPr>
          <w:rFonts w:ascii="Book Antiqua" w:hAnsi="Book Antiqua"/>
          <w:lang w:val="es-PR"/>
        </w:rPr>
      </w:pPr>
      <w:r w:rsidRPr="008D6AEA">
        <w:rPr>
          <w:rFonts w:ascii="Book Antiqua" w:hAnsi="Book Antiqua"/>
          <w:lang w:val="es-PR"/>
        </w:rPr>
        <w:t>Olga Tañón representa un símbolo de orgullo nacional y un ejemplo de liderazgo femenino en la industria musical. Su legado trasciende la música, consolidándola como una embajadora cultural de Puerto Rico, cuya obra y labor social continúan inspirando a generaciones presentes y futuras.</w:t>
      </w:r>
    </w:p>
    <w:p w14:paraId="0E2F09B0" w14:textId="77777777" w:rsidR="000F47A5" w:rsidRDefault="000F47A5" w:rsidP="00DD334E">
      <w:pPr>
        <w:shd w:val="clear" w:color="auto" w:fill="FFFFFF"/>
        <w:ind w:firstLine="720"/>
        <w:jc w:val="both"/>
        <w:rPr>
          <w:rFonts w:ascii="Book Antiqua" w:hAnsi="Book Antiqua"/>
          <w:color w:val="000000"/>
          <w:lang w:val="es-PR"/>
        </w:rPr>
      </w:pPr>
    </w:p>
    <w:p w14:paraId="197CE145" w14:textId="693215E8" w:rsidR="00FB543C" w:rsidRDefault="00AB7252" w:rsidP="00AB7252">
      <w:pPr>
        <w:shd w:val="clear" w:color="auto" w:fill="FFFFFF"/>
        <w:ind w:firstLine="720"/>
        <w:jc w:val="both"/>
        <w:rPr>
          <w:rFonts w:ascii="Book Antiqua" w:hAnsi="Book Antiqua"/>
          <w:color w:val="000000"/>
          <w:lang w:val="es-PR"/>
        </w:rPr>
      </w:pPr>
      <w:r w:rsidRPr="00AB7252">
        <w:rPr>
          <w:rFonts w:ascii="Book Antiqua" w:hAnsi="Book Antiqua"/>
          <w:color w:val="000000"/>
        </w:rPr>
        <w:t xml:space="preserve">En muestra </w:t>
      </w:r>
      <w:r w:rsidR="00655DE9">
        <w:rPr>
          <w:rFonts w:ascii="Book Antiqua" w:hAnsi="Book Antiqua"/>
          <w:color w:val="000000"/>
        </w:rPr>
        <w:t>del</w:t>
      </w:r>
      <w:r w:rsidRPr="00AB7252">
        <w:rPr>
          <w:rFonts w:ascii="Book Antiqua" w:hAnsi="Book Antiqua"/>
          <w:color w:val="000000"/>
        </w:rPr>
        <w:t xml:space="preserve"> aprecio</w:t>
      </w:r>
      <w:r w:rsidR="00581501">
        <w:rPr>
          <w:rFonts w:ascii="Book Antiqua" w:hAnsi="Book Antiqua"/>
          <w:color w:val="000000"/>
        </w:rPr>
        <w:t xml:space="preserve"> que le guarda la ciudad que le vio crecer</w:t>
      </w:r>
      <w:r w:rsidRPr="00AB7252">
        <w:rPr>
          <w:rFonts w:ascii="Book Antiqua" w:hAnsi="Book Antiqua"/>
          <w:color w:val="000000"/>
        </w:rPr>
        <w:t xml:space="preserve"> y como acto de </w:t>
      </w:r>
      <w:r w:rsidR="00581501">
        <w:rPr>
          <w:rFonts w:ascii="Book Antiqua" w:hAnsi="Book Antiqua"/>
          <w:color w:val="000000"/>
        </w:rPr>
        <w:t>reconocimiento</w:t>
      </w:r>
      <w:r w:rsidRPr="00AB7252">
        <w:rPr>
          <w:rFonts w:ascii="Book Antiqua" w:hAnsi="Book Antiqua"/>
          <w:color w:val="000000"/>
        </w:rPr>
        <w:t xml:space="preserve">, </w:t>
      </w:r>
      <w:r w:rsidR="00424D36">
        <w:rPr>
          <w:rFonts w:ascii="Book Antiqua" w:hAnsi="Book Antiqua"/>
          <w:color w:val="000000"/>
        </w:rPr>
        <w:t>estimamos meritorio</w:t>
      </w:r>
      <w:r w:rsidRPr="00AB7252">
        <w:rPr>
          <w:rFonts w:ascii="Book Antiqua" w:hAnsi="Book Antiqua"/>
          <w:color w:val="000000"/>
        </w:rPr>
        <w:t xml:space="preserve"> rendirle homenaje </w:t>
      </w:r>
      <w:r w:rsidR="00424D36">
        <w:rPr>
          <w:rFonts w:ascii="Book Antiqua" w:hAnsi="Book Antiqua"/>
          <w:color w:val="000000"/>
        </w:rPr>
        <w:t xml:space="preserve">mediante la designación </w:t>
      </w:r>
      <w:r w:rsidR="00450582">
        <w:rPr>
          <w:rFonts w:ascii="Book Antiqua" w:hAnsi="Book Antiqua"/>
          <w:color w:val="000000"/>
          <w:lang w:val="es-PR"/>
        </w:rPr>
        <w:t xml:space="preserve">de </w:t>
      </w:r>
      <w:r w:rsidR="00424D36">
        <w:rPr>
          <w:rFonts w:ascii="Book Antiqua" w:hAnsi="Book Antiqua"/>
          <w:color w:val="000000"/>
          <w:lang w:val="es-PR"/>
        </w:rPr>
        <w:t>la</w:t>
      </w:r>
      <w:r w:rsidR="00450582">
        <w:rPr>
          <w:rFonts w:ascii="Book Antiqua" w:hAnsi="Book Antiqua"/>
          <w:color w:val="000000"/>
          <w:lang w:val="es-PR"/>
        </w:rPr>
        <w:t xml:space="preserve"> </w:t>
      </w:r>
      <w:r w:rsidR="002E031D">
        <w:rPr>
          <w:rFonts w:ascii="Book Antiqua" w:hAnsi="Book Antiqua"/>
          <w:color w:val="000000"/>
          <w:lang w:val="es-PR"/>
        </w:rPr>
        <w:t>c</w:t>
      </w:r>
      <w:r w:rsidR="00A464E6">
        <w:rPr>
          <w:rFonts w:ascii="Book Antiqua" w:hAnsi="Book Antiqua"/>
          <w:color w:val="000000"/>
          <w:lang w:val="es-PR"/>
        </w:rPr>
        <w:t>arr</w:t>
      </w:r>
      <w:r w:rsidR="002E031D">
        <w:rPr>
          <w:rFonts w:ascii="Book Antiqua" w:hAnsi="Book Antiqua"/>
          <w:color w:val="000000"/>
          <w:lang w:val="es-PR"/>
        </w:rPr>
        <w:t>etera</w:t>
      </w:r>
      <w:r w:rsidR="00A464E6">
        <w:rPr>
          <w:rFonts w:ascii="Book Antiqua" w:hAnsi="Book Antiqua"/>
          <w:color w:val="000000"/>
          <w:lang w:val="es-PR"/>
        </w:rPr>
        <w:t xml:space="preserve"> PR-866 conocida como Avenida Los Dominicos,</w:t>
      </w:r>
      <w:r w:rsidR="00450582">
        <w:rPr>
          <w:rFonts w:ascii="Book Antiqua" w:hAnsi="Book Antiqua"/>
          <w:color w:val="000000"/>
          <w:lang w:val="es-PR"/>
        </w:rPr>
        <w:t xml:space="preserve"> </w:t>
      </w:r>
      <w:r w:rsidR="002E031D">
        <w:rPr>
          <w:rFonts w:ascii="Book Antiqua" w:hAnsi="Book Antiqua"/>
          <w:color w:val="000000"/>
          <w:lang w:val="es-PR"/>
        </w:rPr>
        <w:t xml:space="preserve">en el tramo </w:t>
      </w:r>
      <w:r w:rsidR="00450582">
        <w:rPr>
          <w:rFonts w:ascii="Book Antiqua" w:hAnsi="Book Antiqua"/>
          <w:color w:val="000000"/>
          <w:lang w:val="es-PR"/>
        </w:rPr>
        <w:t xml:space="preserve">que comprende desde la </w:t>
      </w:r>
      <w:r w:rsidR="00F6009D">
        <w:rPr>
          <w:rFonts w:ascii="Book Antiqua" w:hAnsi="Book Antiqua"/>
          <w:color w:val="000000"/>
          <w:lang w:val="es-PR"/>
        </w:rPr>
        <w:t>Avenida Boulevard</w:t>
      </w:r>
      <w:r w:rsidR="0058161D">
        <w:rPr>
          <w:rFonts w:ascii="Book Antiqua" w:hAnsi="Book Antiqua"/>
          <w:color w:val="000000"/>
          <w:lang w:val="es-PR"/>
        </w:rPr>
        <w:t xml:space="preserve"> hasta </w:t>
      </w:r>
      <w:r w:rsidR="00450582">
        <w:rPr>
          <w:rFonts w:ascii="Book Antiqua" w:hAnsi="Book Antiqua"/>
          <w:color w:val="000000"/>
          <w:lang w:val="es-PR"/>
        </w:rPr>
        <w:t xml:space="preserve">la Panadería </w:t>
      </w:r>
      <w:r w:rsidR="0058161D">
        <w:rPr>
          <w:rFonts w:ascii="Book Antiqua" w:hAnsi="Book Antiqua"/>
          <w:color w:val="000000"/>
          <w:lang w:val="es-PR"/>
        </w:rPr>
        <w:t>Aquino</w:t>
      </w:r>
      <w:r w:rsidR="00450582">
        <w:rPr>
          <w:rFonts w:ascii="Book Antiqua" w:hAnsi="Book Antiqua"/>
          <w:color w:val="000000"/>
          <w:lang w:val="es-PR"/>
        </w:rPr>
        <w:t xml:space="preserve"> </w:t>
      </w:r>
      <w:r w:rsidR="0085793A">
        <w:rPr>
          <w:rFonts w:ascii="Book Antiqua" w:hAnsi="Book Antiqua"/>
          <w:color w:val="000000"/>
          <w:lang w:val="es-PR"/>
        </w:rPr>
        <w:t>en</w:t>
      </w:r>
      <w:r w:rsidR="00450582">
        <w:rPr>
          <w:rFonts w:ascii="Book Antiqua" w:hAnsi="Book Antiqua"/>
          <w:color w:val="000000"/>
          <w:lang w:val="es-PR"/>
        </w:rPr>
        <w:t xml:space="preserve"> </w:t>
      </w:r>
      <w:r w:rsidR="008F4C87">
        <w:rPr>
          <w:rFonts w:ascii="Book Antiqua" w:hAnsi="Book Antiqua"/>
          <w:color w:val="000000"/>
          <w:lang w:val="es-PR"/>
        </w:rPr>
        <w:t xml:space="preserve">intersección con </w:t>
      </w:r>
      <w:r w:rsidR="00450582">
        <w:rPr>
          <w:rFonts w:ascii="Book Antiqua" w:hAnsi="Book Antiqua"/>
          <w:color w:val="000000"/>
          <w:lang w:val="es-PR"/>
        </w:rPr>
        <w:t xml:space="preserve">la </w:t>
      </w:r>
      <w:r w:rsidR="003D198A">
        <w:rPr>
          <w:rFonts w:ascii="Book Antiqua" w:hAnsi="Book Antiqua"/>
          <w:color w:val="000000"/>
          <w:lang w:val="es-PR"/>
        </w:rPr>
        <w:t>Avenida</w:t>
      </w:r>
      <w:r w:rsidR="000322F1">
        <w:rPr>
          <w:rFonts w:ascii="Book Antiqua" w:hAnsi="Book Antiqua"/>
          <w:color w:val="000000"/>
          <w:lang w:val="es-PR"/>
        </w:rPr>
        <w:t xml:space="preserve"> Amalia Paoli</w:t>
      </w:r>
      <w:r w:rsidR="0085793A">
        <w:rPr>
          <w:rFonts w:ascii="Book Antiqua" w:hAnsi="Book Antiqua"/>
          <w:color w:val="000000"/>
          <w:lang w:val="es-PR"/>
        </w:rPr>
        <w:t xml:space="preserve"> en Toa Baja</w:t>
      </w:r>
      <w:r w:rsidR="002E031D">
        <w:rPr>
          <w:rFonts w:ascii="Book Antiqua" w:hAnsi="Book Antiqua"/>
          <w:color w:val="000000"/>
          <w:lang w:val="es-PR"/>
        </w:rPr>
        <w:t>, como Avenida Olga Tañón</w:t>
      </w:r>
      <w:r w:rsidR="000322F1">
        <w:rPr>
          <w:rFonts w:ascii="Book Antiqua" w:hAnsi="Book Antiqua"/>
          <w:color w:val="000000"/>
          <w:lang w:val="es-PR"/>
        </w:rPr>
        <w:t>.</w:t>
      </w:r>
    </w:p>
    <w:p w14:paraId="31765E02" w14:textId="77777777" w:rsidR="00E43DB6" w:rsidRPr="00AB7252" w:rsidRDefault="00E43DB6" w:rsidP="00BE1233">
      <w:pPr>
        <w:shd w:val="clear" w:color="auto" w:fill="FFFFFF"/>
        <w:jc w:val="both"/>
        <w:rPr>
          <w:rFonts w:ascii="Book Antiqua" w:hAnsi="Book Antiqua"/>
          <w:color w:val="000000"/>
          <w:lang w:val="es-PR"/>
        </w:rPr>
      </w:pPr>
    </w:p>
    <w:p w14:paraId="00000020" w14:textId="5126026A" w:rsidR="003A0F75" w:rsidRPr="00A33B4F" w:rsidRDefault="00A95269" w:rsidP="00DD334E">
      <w:pPr>
        <w:spacing w:line="480" w:lineRule="auto"/>
        <w:rPr>
          <w:rFonts w:ascii="Book Antiqua" w:eastAsia="Book Antiqua" w:hAnsi="Book Antiqua" w:cs="Book Antiqua"/>
          <w:i/>
        </w:rPr>
        <w:sectPr w:rsidR="003A0F75" w:rsidRPr="00A33B4F" w:rsidSect="00174A6C">
          <w:headerReference w:type="default" r:id="rId8"/>
          <w:pgSz w:w="12240" w:h="15840"/>
          <w:pgMar w:top="1440" w:right="1440" w:bottom="1440" w:left="1440" w:header="720" w:footer="720" w:gutter="0"/>
          <w:pgNumType w:start="1"/>
          <w:cols w:space="720"/>
          <w:titlePg/>
        </w:sectPr>
      </w:pPr>
      <w:r>
        <w:rPr>
          <w:rFonts w:ascii="Book Antiqua" w:eastAsia="Book Antiqua" w:hAnsi="Book Antiqua" w:cs="Book Antiqua"/>
          <w:i/>
        </w:rPr>
        <w:t>RESUÉLVESE</w:t>
      </w:r>
      <w:r w:rsidRPr="00A33B4F">
        <w:rPr>
          <w:rFonts w:ascii="Book Antiqua" w:eastAsia="Book Antiqua" w:hAnsi="Book Antiqua" w:cs="Book Antiqua"/>
          <w:i/>
        </w:rPr>
        <w:t xml:space="preserve"> </w:t>
      </w:r>
      <w:r w:rsidR="00F54F2E" w:rsidRPr="00A33B4F">
        <w:rPr>
          <w:rFonts w:ascii="Book Antiqua" w:eastAsia="Book Antiqua" w:hAnsi="Book Antiqua" w:cs="Book Antiqua"/>
          <w:i/>
        </w:rPr>
        <w:t>POR LA ASAMBLEA LEGISLATIVA DE PUERTO RICO:</w:t>
      </w:r>
    </w:p>
    <w:p w14:paraId="09768C6F" w14:textId="716BBC6E" w:rsidR="00B838FD" w:rsidRDefault="00A95269" w:rsidP="00ED5A5C">
      <w:pPr>
        <w:shd w:val="clear" w:color="auto" w:fill="FFFFFF"/>
        <w:ind w:firstLine="720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Sección</w:t>
      </w:r>
      <w:r w:rsidRPr="00A95269">
        <w:rPr>
          <w:rFonts w:ascii="Book Antiqua" w:hAnsi="Book Antiqua"/>
          <w:color w:val="000000"/>
        </w:rPr>
        <w:t xml:space="preserve"> 1.</w:t>
      </w:r>
      <w:r>
        <w:rPr>
          <w:rFonts w:ascii="Book Antiqua" w:hAnsi="Book Antiqua"/>
          <w:color w:val="000000"/>
        </w:rPr>
        <w:t xml:space="preserve"> </w:t>
      </w:r>
      <w:r w:rsidRPr="00A95269">
        <w:rPr>
          <w:rFonts w:ascii="Book Antiqua" w:hAnsi="Book Antiqua"/>
          <w:color w:val="000000"/>
        </w:rPr>
        <w:t>-</w:t>
      </w:r>
      <w:r>
        <w:rPr>
          <w:rFonts w:ascii="Book Antiqua" w:hAnsi="Book Antiqua"/>
          <w:color w:val="000000"/>
        </w:rPr>
        <w:t xml:space="preserve"> </w:t>
      </w:r>
      <w:r w:rsidRPr="00A95269">
        <w:rPr>
          <w:rFonts w:ascii="Book Antiqua" w:hAnsi="Book Antiqua"/>
          <w:color w:val="000000"/>
        </w:rPr>
        <w:t>Se</w:t>
      </w:r>
      <w:r w:rsidR="00AB7252" w:rsidRPr="00AB7252">
        <w:rPr>
          <w:rFonts w:ascii="Book Antiqua" w:hAnsi="Book Antiqua"/>
          <w:color w:val="000000"/>
        </w:rPr>
        <w:t xml:space="preserve"> designa </w:t>
      </w:r>
      <w:r w:rsidR="00E43DB6" w:rsidRPr="00E43DB6">
        <w:rPr>
          <w:rFonts w:ascii="Book Antiqua" w:hAnsi="Book Antiqua"/>
          <w:color w:val="000000"/>
        </w:rPr>
        <w:t xml:space="preserve">el tramo de la Carretera PR-866, ubicada en la Urb. Levittown, que discurre </w:t>
      </w:r>
      <w:r w:rsidR="00E43DB6" w:rsidRPr="00E43DB6">
        <w:rPr>
          <w:rFonts w:ascii="Book Antiqua" w:hAnsi="Book Antiqua"/>
          <w:color w:val="000000"/>
          <w:lang w:val="es-PR"/>
        </w:rPr>
        <w:t xml:space="preserve">desde la Avenida Boulevard hasta la Panadería Aquino en intersección con la Avenida Amalia Paoli en </w:t>
      </w:r>
      <w:r w:rsidR="008A4859">
        <w:rPr>
          <w:rFonts w:ascii="Book Antiqua" w:hAnsi="Book Antiqua"/>
          <w:color w:val="000000"/>
          <w:lang w:val="es-PR"/>
        </w:rPr>
        <w:t xml:space="preserve">el Municipio de </w:t>
      </w:r>
      <w:r w:rsidR="00E43DB6" w:rsidRPr="00E43DB6">
        <w:rPr>
          <w:rFonts w:ascii="Book Antiqua" w:hAnsi="Book Antiqua"/>
          <w:color w:val="000000"/>
          <w:lang w:val="es-PR"/>
        </w:rPr>
        <w:t>Toa Baja, como Avenida Olga Tañón</w:t>
      </w:r>
      <w:r w:rsidR="00E43DB6" w:rsidRPr="00E43DB6">
        <w:rPr>
          <w:rFonts w:ascii="Book Antiqua" w:hAnsi="Book Antiqua"/>
          <w:color w:val="000000"/>
        </w:rPr>
        <w:t xml:space="preserve">, en reconocimiento a su destacada trayectoria artística y </w:t>
      </w:r>
      <w:r w:rsidR="00E43DB6" w:rsidRPr="00E43DB6">
        <w:rPr>
          <w:rFonts w:ascii="Book Antiqua" w:hAnsi="Book Antiqua"/>
          <w:color w:val="000000"/>
          <w:lang w:val="es-PR"/>
        </w:rPr>
        <w:t>su firme compromiso social y humanitario</w:t>
      </w:r>
      <w:r w:rsidRPr="00283D7E">
        <w:rPr>
          <w:rFonts w:ascii="Book Antiqua" w:hAnsi="Book Antiqua"/>
          <w:color w:val="000000"/>
        </w:rPr>
        <w:t>.</w:t>
      </w:r>
    </w:p>
    <w:p w14:paraId="49B30952" w14:textId="77777777" w:rsidR="00ED5A5C" w:rsidRDefault="00ED5A5C" w:rsidP="00ED5A5C">
      <w:pPr>
        <w:shd w:val="clear" w:color="auto" w:fill="FFFFFF"/>
        <w:ind w:firstLine="720"/>
        <w:jc w:val="both"/>
        <w:rPr>
          <w:rFonts w:ascii="Book Antiqua" w:hAnsi="Book Antiqua"/>
          <w:color w:val="000000"/>
          <w:lang w:val="es-PR"/>
        </w:rPr>
      </w:pPr>
    </w:p>
    <w:p w14:paraId="68522718" w14:textId="62D2D23A" w:rsidR="000D1999" w:rsidRDefault="00C621DE" w:rsidP="00ED5A5C">
      <w:pPr>
        <w:ind w:firstLine="720"/>
        <w:jc w:val="both"/>
        <w:rPr>
          <w:rFonts w:ascii="Book Antiqua" w:hAnsi="Book Antiqua"/>
          <w:color w:val="000000"/>
        </w:rPr>
      </w:pPr>
      <w:r w:rsidRPr="0040181E">
        <w:rPr>
          <w:rFonts w:ascii="Book Antiqua" w:hAnsi="Book Antiqua"/>
          <w:color w:val="000000"/>
        </w:rPr>
        <w:t xml:space="preserve">Sección </w:t>
      </w:r>
      <w:r w:rsidR="005B75B9" w:rsidRPr="0040181E">
        <w:rPr>
          <w:rFonts w:ascii="Book Antiqua" w:hAnsi="Book Antiqua"/>
          <w:color w:val="000000"/>
        </w:rPr>
        <w:t>2</w:t>
      </w:r>
      <w:r w:rsidR="00A95269" w:rsidRPr="0040181E">
        <w:rPr>
          <w:rFonts w:ascii="Book Antiqua" w:hAnsi="Book Antiqua"/>
          <w:color w:val="000000"/>
        </w:rPr>
        <w:t>.-</w:t>
      </w:r>
      <w:r w:rsidRPr="0040181E">
        <w:rPr>
          <w:rFonts w:ascii="Book Antiqua" w:hAnsi="Book Antiqua"/>
          <w:color w:val="000000"/>
        </w:rPr>
        <w:t xml:space="preserve"> </w:t>
      </w:r>
      <w:r w:rsidR="000D1999" w:rsidRPr="0040181E">
        <w:rPr>
          <w:rFonts w:ascii="Book Antiqua" w:hAnsi="Book Antiqua"/>
          <w:lang w:val="es-PR"/>
        </w:rPr>
        <w:t>El Departamento de Transportación y Obras Públicas</w:t>
      </w:r>
      <w:r w:rsidR="00AB7252">
        <w:rPr>
          <w:rFonts w:ascii="Book Antiqua" w:hAnsi="Book Antiqua"/>
          <w:lang w:val="es-PR"/>
        </w:rPr>
        <w:t xml:space="preserve"> (DTOP)</w:t>
      </w:r>
      <w:r w:rsidR="000D1999" w:rsidRPr="0040181E">
        <w:rPr>
          <w:rFonts w:ascii="Book Antiqua" w:hAnsi="Book Antiqua"/>
          <w:lang w:val="es-PR"/>
        </w:rPr>
        <w:t xml:space="preserve"> </w:t>
      </w:r>
      <w:r w:rsidR="0040181E" w:rsidRPr="0040181E">
        <w:rPr>
          <w:rFonts w:ascii="Book Antiqua" w:hAnsi="Book Antiqua"/>
          <w:lang w:val="es-PR"/>
        </w:rPr>
        <w:t>adoptará las medidas necesarias</w:t>
      </w:r>
      <w:r w:rsidR="000D1999" w:rsidRPr="0040181E">
        <w:rPr>
          <w:rFonts w:ascii="Book Antiqua" w:hAnsi="Book Antiqua"/>
          <w:lang w:val="es-PR"/>
        </w:rPr>
        <w:t xml:space="preserve">, en coordinación con el Municipio </w:t>
      </w:r>
      <w:r w:rsidR="009B43E1">
        <w:rPr>
          <w:rFonts w:ascii="Book Antiqua" w:hAnsi="Book Antiqua"/>
          <w:lang w:val="es-PR"/>
        </w:rPr>
        <w:t xml:space="preserve">Autónomo </w:t>
      </w:r>
      <w:r w:rsidR="000D1999" w:rsidRPr="0040181E">
        <w:rPr>
          <w:rFonts w:ascii="Book Antiqua" w:hAnsi="Book Antiqua"/>
          <w:lang w:val="es-PR"/>
        </w:rPr>
        <w:t xml:space="preserve">de Toa Baja, </w:t>
      </w:r>
      <w:r w:rsidR="0040181E" w:rsidRPr="0040181E">
        <w:rPr>
          <w:rFonts w:ascii="Book Antiqua" w:hAnsi="Book Antiqua"/>
          <w:color w:val="000000"/>
        </w:rPr>
        <w:t xml:space="preserve">para dar cumplimiento a los propósitos de esta </w:t>
      </w:r>
      <w:r w:rsidR="0040181E">
        <w:rPr>
          <w:rFonts w:ascii="Book Antiqua" w:hAnsi="Book Antiqua"/>
          <w:color w:val="000000"/>
        </w:rPr>
        <w:t>Resolución Conjunta</w:t>
      </w:r>
      <w:r w:rsidR="00AB7252">
        <w:rPr>
          <w:rFonts w:ascii="Book Antiqua" w:hAnsi="Book Antiqua"/>
          <w:color w:val="000000"/>
        </w:rPr>
        <w:t>, incluyendo la rotulación adecuada de dicha vía pública</w:t>
      </w:r>
      <w:r w:rsidR="0040181E">
        <w:rPr>
          <w:rFonts w:ascii="Book Antiqua" w:hAnsi="Book Antiqua"/>
          <w:color w:val="000000"/>
        </w:rPr>
        <w:t xml:space="preserve">. </w:t>
      </w:r>
    </w:p>
    <w:p w14:paraId="6F3FCAB6" w14:textId="77777777" w:rsidR="00ED5A5C" w:rsidRDefault="00ED5A5C" w:rsidP="00ED5A5C">
      <w:pPr>
        <w:ind w:firstLine="720"/>
        <w:jc w:val="both"/>
        <w:rPr>
          <w:rFonts w:ascii="Book Antiqua" w:hAnsi="Book Antiqua"/>
          <w:color w:val="000000"/>
        </w:rPr>
      </w:pPr>
    </w:p>
    <w:p w14:paraId="322BBD41" w14:textId="201FB30E" w:rsidR="00AB7252" w:rsidRPr="0040181E" w:rsidRDefault="00AB7252" w:rsidP="00ED5A5C">
      <w:pPr>
        <w:ind w:firstLine="720"/>
        <w:jc w:val="both"/>
        <w:rPr>
          <w:rFonts w:ascii="Book Antiqua" w:hAnsi="Book Antiqua"/>
          <w:color w:val="000000"/>
          <w:lang w:val="es-PR" w:eastAsia="x-none"/>
        </w:rPr>
      </w:pPr>
      <w:r>
        <w:rPr>
          <w:rFonts w:ascii="Book Antiqua" w:hAnsi="Book Antiqua"/>
          <w:color w:val="000000"/>
        </w:rPr>
        <w:t>Sección 3.-</w:t>
      </w:r>
      <w:r w:rsidRPr="00AB7252">
        <w:rPr>
          <w:color w:val="222222"/>
          <w:sz w:val="30"/>
          <w:szCs w:val="30"/>
          <w:shd w:val="clear" w:color="auto" w:fill="FFFFFF"/>
        </w:rPr>
        <w:t xml:space="preserve"> </w:t>
      </w:r>
      <w:r w:rsidRPr="00AB7252">
        <w:rPr>
          <w:rFonts w:ascii="Book Antiqua" w:hAnsi="Book Antiqua"/>
          <w:color w:val="000000"/>
        </w:rPr>
        <w:t>Los gastos relacionados con la rotulación serán sufragados conforme a las disposiciones presupuestarias disponibles del DTOP</w:t>
      </w:r>
      <w:r>
        <w:rPr>
          <w:rFonts w:ascii="Book Antiqua" w:hAnsi="Book Antiqua"/>
          <w:color w:val="000000"/>
        </w:rPr>
        <w:t>.</w:t>
      </w:r>
    </w:p>
    <w:p w14:paraId="00000036" w14:textId="439EA298" w:rsidR="003A0F75" w:rsidRDefault="00C621DE" w:rsidP="00ED5A5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720"/>
        <w:jc w:val="both"/>
        <w:rPr>
          <w:rFonts w:ascii="Book Antiqua" w:eastAsia="Book Antiqua" w:hAnsi="Book Antiqua" w:cs="Book Antiqua"/>
        </w:rPr>
      </w:pPr>
      <w:r w:rsidRPr="005B75B9">
        <w:rPr>
          <w:rFonts w:ascii="Book Antiqua" w:hAnsi="Book Antiqua"/>
          <w:color w:val="000000"/>
        </w:rPr>
        <w:lastRenderedPageBreak/>
        <w:t>Sección</w:t>
      </w:r>
      <w:r w:rsidR="00A95269" w:rsidRPr="005B75B9">
        <w:rPr>
          <w:rFonts w:ascii="Book Antiqua" w:hAnsi="Book Antiqua"/>
          <w:color w:val="000000"/>
        </w:rPr>
        <w:t> </w:t>
      </w:r>
      <w:r w:rsidR="00E759E9">
        <w:rPr>
          <w:rFonts w:ascii="Book Antiqua" w:hAnsi="Book Antiqua"/>
          <w:color w:val="000000"/>
          <w:lang w:val="es-ES"/>
        </w:rPr>
        <w:t>4</w:t>
      </w:r>
      <w:r w:rsidR="00A95269" w:rsidRPr="005B75B9">
        <w:rPr>
          <w:rFonts w:ascii="Book Antiqua" w:hAnsi="Book Antiqua"/>
          <w:color w:val="000000"/>
        </w:rPr>
        <w:t>.</w:t>
      </w:r>
      <w:r w:rsidRPr="005B75B9">
        <w:rPr>
          <w:rFonts w:ascii="Book Antiqua" w:hAnsi="Book Antiqua"/>
          <w:color w:val="000000"/>
        </w:rPr>
        <w:t xml:space="preserve"> </w:t>
      </w:r>
      <w:r w:rsidR="00D62684" w:rsidRPr="005B75B9">
        <w:rPr>
          <w:rFonts w:ascii="Book Antiqua" w:hAnsi="Book Antiqua"/>
          <w:color w:val="000000"/>
        </w:rPr>
        <w:t>–</w:t>
      </w:r>
      <w:r w:rsidRPr="005B75B9">
        <w:rPr>
          <w:rFonts w:ascii="Book Antiqua" w:hAnsi="Book Antiqua"/>
          <w:color w:val="000000"/>
        </w:rPr>
        <w:t xml:space="preserve"> </w:t>
      </w:r>
      <w:r w:rsidR="00A95269" w:rsidRPr="005B75B9">
        <w:rPr>
          <w:rFonts w:ascii="Book Antiqua" w:hAnsi="Book Antiqua"/>
          <w:color w:val="000000"/>
          <w:lang w:val="es-ES"/>
        </w:rPr>
        <w:t>Est</w:t>
      </w:r>
      <w:r w:rsidR="00D62684" w:rsidRPr="005B75B9">
        <w:rPr>
          <w:rFonts w:ascii="Book Antiqua" w:hAnsi="Book Antiqua"/>
          <w:color w:val="000000"/>
          <w:lang w:val="es-ES"/>
        </w:rPr>
        <w:t>a Resolución Conjunta</w:t>
      </w:r>
      <w:r w:rsidR="00A95269" w:rsidRPr="00A95269">
        <w:rPr>
          <w:rFonts w:ascii="Book Antiqua" w:hAnsi="Book Antiqua"/>
          <w:color w:val="000000"/>
          <w:lang w:val="es-ES"/>
        </w:rPr>
        <w:t xml:space="preserve"> comenzará a regir inmediatamente después de su aprobación.</w:t>
      </w:r>
    </w:p>
    <w:sectPr w:rsidR="003A0F75" w:rsidSect="00ED5A5C">
      <w:type w:val="continuous"/>
      <w:pgSz w:w="12240" w:h="15840"/>
      <w:pgMar w:top="1440" w:right="1440" w:bottom="1440" w:left="1440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8A26D7" w14:textId="77777777" w:rsidR="00B33EB4" w:rsidRDefault="00B33EB4">
      <w:r>
        <w:separator/>
      </w:r>
    </w:p>
  </w:endnote>
  <w:endnote w:type="continuationSeparator" w:id="0">
    <w:p w14:paraId="2C18358E" w14:textId="77777777" w:rsidR="00B33EB4" w:rsidRDefault="00B33E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1" w:fontKey="{B0A67C8B-83F7-402D-9A44-22C5DF323C31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2" w:fontKey="{6FFC501E-C259-4452-A872-435DE48DDC3D}"/>
    <w:embedItalic r:id="rId3" w:fontKey="{D094254C-2C06-42F9-BD01-BEBCBAE9A65B}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  <w:embedRegular r:id="rId4" w:fontKey="{5C0EC42C-E374-47CD-A8DC-A3FDC0734E45}"/>
    <w:embedBold r:id="rId5" w:fontKey="{D80DEC2F-78DD-4E3A-956F-01F6E45F5EBD}"/>
    <w:embedItalic r:id="rId6" w:fontKey="{4943EC21-5345-4618-B989-D8E97C8F80CD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7" w:fontKey="{E71DF245-94E2-456E-88D4-A5F068B47FDC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8" w:fontKey="{4C197A6F-6F75-40AF-BABF-174469AAFBE4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1B5FAA" w14:textId="77777777" w:rsidR="00B33EB4" w:rsidRDefault="00B33EB4">
      <w:r>
        <w:separator/>
      </w:r>
    </w:p>
  </w:footnote>
  <w:footnote w:type="continuationSeparator" w:id="0">
    <w:p w14:paraId="7E78DA7A" w14:textId="77777777" w:rsidR="00B33EB4" w:rsidRDefault="00B33E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37" w14:textId="166C486A" w:rsidR="003A0F75" w:rsidRDefault="00F54F2E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C86BFD">
      <w:rPr>
        <w:noProof/>
        <w:color w:val="000000"/>
      </w:rPr>
      <w:t>2</w:t>
    </w:r>
    <w:r>
      <w:rPr>
        <w:color w:val="000000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9D3B33"/>
    <w:multiLevelType w:val="multilevel"/>
    <w:tmpl w:val="89EED4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8A622C0"/>
    <w:multiLevelType w:val="multilevel"/>
    <w:tmpl w:val="CBE83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39B6D85"/>
    <w:multiLevelType w:val="multilevel"/>
    <w:tmpl w:val="B4A83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63574932">
    <w:abstractNumId w:val="2"/>
  </w:num>
  <w:num w:numId="2" w16cid:durableId="545680762">
    <w:abstractNumId w:val="1"/>
  </w:num>
  <w:num w:numId="3" w16cid:durableId="15910864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0F75"/>
    <w:rsid w:val="00004E4F"/>
    <w:rsid w:val="00005E49"/>
    <w:rsid w:val="00011940"/>
    <w:rsid w:val="00013586"/>
    <w:rsid w:val="00024385"/>
    <w:rsid w:val="00026F79"/>
    <w:rsid w:val="000322F1"/>
    <w:rsid w:val="000600A6"/>
    <w:rsid w:val="00067B97"/>
    <w:rsid w:val="00082EB8"/>
    <w:rsid w:val="00086439"/>
    <w:rsid w:val="00087616"/>
    <w:rsid w:val="0009297C"/>
    <w:rsid w:val="000A32FE"/>
    <w:rsid w:val="000A690E"/>
    <w:rsid w:val="000A77B6"/>
    <w:rsid w:val="000D0E8F"/>
    <w:rsid w:val="000D1999"/>
    <w:rsid w:val="000F47A5"/>
    <w:rsid w:val="00117446"/>
    <w:rsid w:val="00131B6F"/>
    <w:rsid w:val="00131E20"/>
    <w:rsid w:val="00170EE4"/>
    <w:rsid w:val="00174A6C"/>
    <w:rsid w:val="001808CC"/>
    <w:rsid w:val="001865B5"/>
    <w:rsid w:val="001867EC"/>
    <w:rsid w:val="001B7D77"/>
    <w:rsid w:val="001C0A0C"/>
    <w:rsid w:val="001C5A3C"/>
    <w:rsid w:val="001D7D9B"/>
    <w:rsid w:val="001E61A3"/>
    <w:rsid w:val="00203600"/>
    <w:rsid w:val="00203CEA"/>
    <w:rsid w:val="00215C80"/>
    <w:rsid w:val="00216A6C"/>
    <w:rsid w:val="00216DC5"/>
    <w:rsid w:val="00217052"/>
    <w:rsid w:val="00224AED"/>
    <w:rsid w:val="002673C7"/>
    <w:rsid w:val="002709B2"/>
    <w:rsid w:val="0028191A"/>
    <w:rsid w:val="00283D7E"/>
    <w:rsid w:val="00287B9B"/>
    <w:rsid w:val="002900AD"/>
    <w:rsid w:val="002915AC"/>
    <w:rsid w:val="002D1802"/>
    <w:rsid w:val="002E031D"/>
    <w:rsid w:val="003145BC"/>
    <w:rsid w:val="00320889"/>
    <w:rsid w:val="00322321"/>
    <w:rsid w:val="00341D39"/>
    <w:rsid w:val="00345319"/>
    <w:rsid w:val="003453BF"/>
    <w:rsid w:val="00386D5F"/>
    <w:rsid w:val="00386D7C"/>
    <w:rsid w:val="00397804"/>
    <w:rsid w:val="003A0229"/>
    <w:rsid w:val="003A0F75"/>
    <w:rsid w:val="003A4BF0"/>
    <w:rsid w:val="003B30B5"/>
    <w:rsid w:val="003C5B24"/>
    <w:rsid w:val="003C7CA0"/>
    <w:rsid w:val="003D198A"/>
    <w:rsid w:val="003D7B56"/>
    <w:rsid w:val="003F5C3C"/>
    <w:rsid w:val="003F7F9F"/>
    <w:rsid w:val="0040181E"/>
    <w:rsid w:val="004103C8"/>
    <w:rsid w:val="00424D36"/>
    <w:rsid w:val="00450582"/>
    <w:rsid w:val="0046197E"/>
    <w:rsid w:val="004675EF"/>
    <w:rsid w:val="00467CD2"/>
    <w:rsid w:val="0047661C"/>
    <w:rsid w:val="0049194E"/>
    <w:rsid w:val="0049606B"/>
    <w:rsid w:val="004B3706"/>
    <w:rsid w:val="004D3284"/>
    <w:rsid w:val="004E6E70"/>
    <w:rsid w:val="004F0785"/>
    <w:rsid w:val="004F1F07"/>
    <w:rsid w:val="0050278E"/>
    <w:rsid w:val="005032BC"/>
    <w:rsid w:val="005352D9"/>
    <w:rsid w:val="00551C87"/>
    <w:rsid w:val="00564A1E"/>
    <w:rsid w:val="0057150B"/>
    <w:rsid w:val="005726D1"/>
    <w:rsid w:val="00581501"/>
    <w:rsid w:val="0058161D"/>
    <w:rsid w:val="00581652"/>
    <w:rsid w:val="00595EE4"/>
    <w:rsid w:val="005A5188"/>
    <w:rsid w:val="005B4995"/>
    <w:rsid w:val="005B75B9"/>
    <w:rsid w:val="005C1613"/>
    <w:rsid w:val="005D08C7"/>
    <w:rsid w:val="005E106E"/>
    <w:rsid w:val="00601EEC"/>
    <w:rsid w:val="00603052"/>
    <w:rsid w:val="00612F6D"/>
    <w:rsid w:val="00621742"/>
    <w:rsid w:val="00635235"/>
    <w:rsid w:val="00643733"/>
    <w:rsid w:val="0065082A"/>
    <w:rsid w:val="00655DE9"/>
    <w:rsid w:val="00667FF9"/>
    <w:rsid w:val="0067158F"/>
    <w:rsid w:val="00684099"/>
    <w:rsid w:val="0069798C"/>
    <w:rsid w:val="006B372A"/>
    <w:rsid w:val="006B44B9"/>
    <w:rsid w:val="006C4B15"/>
    <w:rsid w:val="006E213E"/>
    <w:rsid w:val="006E222B"/>
    <w:rsid w:val="006F641E"/>
    <w:rsid w:val="006F7066"/>
    <w:rsid w:val="0071545B"/>
    <w:rsid w:val="00717952"/>
    <w:rsid w:val="00721A72"/>
    <w:rsid w:val="007538EF"/>
    <w:rsid w:val="00754576"/>
    <w:rsid w:val="007636B8"/>
    <w:rsid w:val="00763CFF"/>
    <w:rsid w:val="007927AE"/>
    <w:rsid w:val="0079313A"/>
    <w:rsid w:val="007A2FDB"/>
    <w:rsid w:val="007B2787"/>
    <w:rsid w:val="007B2AE1"/>
    <w:rsid w:val="007B6D3F"/>
    <w:rsid w:val="007B6DE7"/>
    <w:rsid w:val="007C3663"/>
    <w:rsid w:val="007C4BAC"/>
    <w:rsid w:val="007D3FF2"/>
    <w:rsid w:val="007D4423"/>
    <w:rsid w:val="007D46BE"/>
    <w:rsid w:val="007E586A"/>
    <w:rsid w:val="007F1D94"/>
    <w:rsid w:val="007F2129"/>
    <w:rsid w:val="007F36F4"/>
    <w:rsid w:val="00815CF9"/>
    <w:rsid w:val="008222ED"/>
    <w:rsid w:val="008303E0"/>
    <w:rsid w:val="00831201"/>
    <w:rsid w:val="00845B92"/>
    <w:rsid w:val="00847FBC"/>
    <w:rsid w:val="008557B2"/>
    <w:rsid w:val="0085793A"/>
    <w:rsid w:val="00862CE5"/>
    <w:rsid w:val="008775E0"/>
    <w:rsid w:val="00882C97"/>
    <w:rsid w:val="00883C0F"/>
    <w:rsid w:val="00892029"/>
    <w:rsid w:val="008A0956"/>
    <w:rsid w:val="008A4859"/>
    <w:rsid w:val="008A5E58"/>
    <w:rsid w:val="008C0B5B"/>
    <w:rsid w:val="008D5A15"/>
    <w:rsid w:val="008D6AEA"/>
    <w:rsid w:val="008E1A9E"/>
    <w:rsid w:val="008F4C87"/>
    <w:rsid w:val="00903AFB"/>
    <w:rsid w:val="009058C5"/>
    <w:rsid w:val="00915A16"/>
    <w:rsid w:val="009429CB"/>
    <w:rsid w:val="009631CD"/>
    <w:rsid w:val="00971805"/>
    <w:rsid w:val="00971E4B"/>
    <w:rsid w:val="00977557"/>
    <w:rsid w:val="009A04EA"/>
    <w:rsid w:val="009B43E1"/>
    <w:rsid w:val="009C1ACA"/>
    <w:rsid w:val="009C53DA"/>
    <w:rsid w:val="009E7A49"/>
    <w:rsid w:val="009F37B4"/>
    <w:rsid w:val="00A274AD"/>
    <w:rsid w:val="00A301F6"/>
    <w:rsid w:val="00A33B4F"/>
    <w:rsid w:val="00A44F45"/>
    <w:rsid w:val="00A464E6"/>
    <w:rsid w:val="00A52DA9"/>
    <w:rsid w:val="00A575A9"/>
    <w:rsid w:val="00A65163"/>
    <w:rsid w:val="00A95269"/>
    <w:rsid w:val="00AA3110"/>
    <w:rsid w:val="00AA4E10"/>
    <w:rsid w:val="00AB2051"/>
    <w:rsid w:val="00AB7252"/>
    <w:rsid w:val="00AC3B45"/>
    <w:rsid w:val="00AD2624"/>
    <w:rsid w:val="00AD2F21"/>
    <w:rsid w:val="00AD3291"/>
    <w:rsid w:val="00AE7115"/>
    <w:rsid w:val="00AF1852"/>
    <w:rsid w:val="00AF63A8"/>
    <w:rsid w:val="00B33EB4"/>
    <w:rsid w:val="00B54BAA"/>
    <w:rsid w:val="00B63192"/>
    <w:rsid w:val="00B63276"/>
    <w:rsid w:val="00B768EF"/>
    <w:rsid w:val="00B838FD"/>
    <w:rsid w:val="00B8556E"/>
    <w:rsid w:val="00B97F62"/>
    <w:rsid w:val="00BA506B"/>
    <w:rsid w:val="00BB2518"/>
    <w:rsid w:val="00BC31F5"/>
    <w:rsid w:val="00BC3913"/>
    <w:rsid w:val="00BD700D"/>
    <w:rsid w:val="00BE1233"/>
    <w:rsid w:val="00C0698E"/>
    <w:rsid w:val="00C11C31"/>
    <w:rsid w:val="00C45B13"/>
    <w:rsid w:val="00C5129D"/>
    <w:rsid w:val="00C56AFB"/>
    <w:rsid w:val="00C621DE"/>
    <w:rsid w:val="00C65527"/>
    <w:rsid w:val="00C81C69"/>
    <w:rsid w:val="00C86BFD"/>
    <w:rsid w:val="00CB3FE9"/>
    <w:rsid w:val="00CB43F5"/>
    <w:rsid w:val="00CB6498"/>
    <w:rsid w:val="00CC461A"/>
    <w:rsid w:val="00CD0D69"/>
    <w:rsid w:val="00CD11E0"/>
    <w:rsid w:val="00CE06C1"/>
    <w:rsid w:val="00CE0E4B"/>
    <w:rsid w:val="00CE6CCE"/>
    <w:rsid w:val="00CE71BB"/>
    <w:rsid w:val="00D015B5"/>
    <w:rsid w:val="00D27FE9"/>
    <w:rsid w:val="00D33274"/>
    <w:rsid w:val="00D4733C"/>
    <w:rsid w:val="00D51E1B"/>
    <w:rsid w:val="00D54838"/>
    <w:rsid w:val="00D62684"/>
    <w:rsid w:val="00D67D02"/>
    <w:rsid w:val="00D7222B"/>
    <w:rsid w:val="00D75A76"/>
    <w:rsid w:val="00D97548"/>
    <w:rsid w:val="00DA0274"/>
    <w:rsid w:val="00DA3D95"/>
    <w:rsid w:val="00DA737B"/>
    <w:rsid w:val="00DC12AC"/>
    <w:rsid w:val="00DD334E"/>
    <w:rsid w:val="00DD761E"/>
    <w:rsid w:val="00DE3FF5"/>
    <w:rsid w:val="00DE66F1"/>
    <w:rsid w:val="00DF3689"/>
    <w:rsid w:val="00DF39ED"/>
    <w:rsid w:val="00E31317"/>
    <w:rsid w:val="00E404E1"/>
    <w:rsid w:val="00E43DB6"/>
    <w:rsid w:val="00E548FE"/>
    <w:rsid w:val="00E74F4D"/>
    <w:rsid w:val="00E759E9"/>
    <w:rsid w:val="00E7698F"/>
    <w:rsid w:val="00E76A34"/>
    <w:rsid w:val="00E82BB1"/>
    <w:rsid w:val="00E91375"/>
    <w:rsid w:val="00EB1C10"/>
    <w:rsid w:val="00ED507D"/>
    <w:rsid w:val="00ED5A5C"/>
    <w:rsid w:val="00ED6F88"/>
    <w:rsid w:val="00EE5CCE"/>
    <w:rsid w:val="00EF0531"/>
    <w:rsid w:val="00EF356F"/>
    <w:rsid w:val="00EF51FE"/>
    <w:rsid w:val="00F10E13"/>
    <w:rsid w:val="00F13FBC"/>
    <w:rsid w:val="00F218AE"/>
    <w:rsid w:val="00F22ABC"/>
    <w:rsid w:val="00F314DF"/>
    <w:rsid w:val="00F31668"/>
    <w:rsid w:val="00F338AA"/>
    <w:rsid w:val="00F358E3"/>
    <w:rsid w:val="00F43F51"/>
    <w:rsid w:val="00F47B5B"/>
    <w:rsid w:val="00F54F2E"/>
    <w:rsid w:val="00F6009D"/>
    <w:rsid w:val="00F66A37"/>
    <w:rsid w:val="00F66C22"/>
    <w:rsid w:val="00F67129"/>
    <w:rsid w:val="00F744B4"/>
    <w:rsid w:val="00F852A9"/>
    <w:rsid w:val="00F90AA2"/>
    <w:rsid w:val="00F91162"/>
    <w:rsid w:val="00FA29AA"/>
    <w:rsid w:val="00FB543C"/>
    <w:rsid w:val="00FC3F33"/>
    <w:rsid w:val="00FC6C62"/>
    <w:rsid w:val="00FE4CF8"/>
    <w:rsid w:val="00FE7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EB8D483"/>
  <w15:docId w15:val="{654D9016-FB54-4CCC-B9C3-3F24B6171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s-ES_tradnl" w:eastAsia="es-P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Nmerodelnea">
    <w:name w:val="line number"/>
    <w:basedOn w:val="Fuentedeprrafopredeter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Encabezado">
    <w:name w:val="header"/>
    <w:basedOn w:val="Normal"/>
    <w:pPr>
      <w:tabs>
        <w:tab w:val="center" w:pos="4320"/>
        <w:tab w:val="right" w:pos="8640"/>
      </w:tabs>
    </w:pPr>
  </w:style>
  <w:style w:type="paragraph" w:styleId="Piedepgina">
    <w:name w:val="footer"/>
    <w:basedOn w:val="Normal"/>
    <w:pPr>
      <w:tabs>
        <w:tab w:val="center" w:pos="4320"/>
        <w:tab w:val="right" w:pos="8640"/>
      </w:tabs>
    </w:pPr>
  </w:style>
  <w:style w:type="character" w:styleId="Nmerodepgina">
    <w:name w:val="page number"/>
    <w:basedOn w:val="Fuentedeprrafopredeter"/>
  </w:style>
  <w:style w:type="paragraph" w:styleId="Textonotapie">
    <w:name w:val="footnote text"/>
    <w:basedOn w:val="Normal"/>
    <w:link w:val="TextonotapieCar"/>
    <w:uiPriority w:val="99"/>
    <w:semiHidden/>
    <w:unhideWhenUsed/>
    <w:rsid w:val="005B1C9D"/>
    <w:rPr>
      <w:sz w:val="20"/>
    </w:r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B1C9D"/>
  </w:style>
  <w:style w:type="character" w:styleId="Refdenotaalpie">
    <w:name w:val="footnote reference"/>
    <w:basedOn w:val="Fuentedeprrafopredeter"/>
    <w:uiPriority w:val="99"/>
    <w:semiHidden/>
    <w:unhideWhenUsed/>
    <w:rsid w:val="005B1C9D"/>
    <w:rPr>
      <w:vertAlign w:val="superscript"/>
    </w:rPr>
  </w:style>
  <w:style w:type="paragraph" w:styleId="Prrafodelista">
    <w:name w:val="List Paragraph"/>
    <w:basedOn w:val="Normal"/>
    <w:uiPriority w:val="34"/>
    <w:qFormat/>
    <w:rsid w:val="00470DD3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A4022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40220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40220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4022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40220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66AC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6AC8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E24099"/>
    <w:rPr>
      <w:color w:val="0000FF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6C6180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Revisin">
    <w:name w:val="Revision"/>
    <w:hidden/>
    <w:uiPriority w:val="99"/>
    <w:semiHidden/>
    <w:rsid w:val="002915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818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WiBlboGwacWBxfaywbGbjwk7tBw==">CgMxLjA4AHIhMW9DdXA3WllsWkFHTlE4ckxlMXU0cEt6by14MG5oWUlp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744</Words>
  <Characters>4049</Characters>
  <Application>Microsoft Office Word</Application>
  <DocSecurity>0</DocSecurity>
  <Lines>88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Effie A. Acevedo Guasp</dc:creator>
  <cp:lastModifiedBy>Rocío Alayón Morell</cp:lastModifiedBy>
  <cp:revision>3</cp:revision>
  <cp:lastPrinted>2026-02-02T20:51:00Z</cp:lastPrinted>
  <dcterms:created xsi:type="dcterms:W3CDTF">2026-02-02T21:48:00Z</dcterms:created>
  <dcterms:modified xsi:type="dcterms:W3CDTF">2026-02-05T21:15:00Z</dcterms:modified>
</cp:coreProperties>
</file>