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D20E9" w14:textId="190E29E5" w:rsidR="008A7FE5" w:rsidRPr="00C3393C" w:rsidRDefault="008A7FE5" w:rsidP="00C3393C">
      <w:pPr>
        <w:jc w:val="center"/>
        <w:rPr>
          <w:rFonts w:ascii="Book Antiqua" w:eastAsia="Times New Roman" w:hAnsi="Book Antiqua"/>
          <w:sz w:val="28"/>
          <w:szCs w:val="28"/>
          <w:lang w:val="es-ES"/>
        </w:rPr>
      </w:pPr>
      <w:r w:rsidRPr="00C3393C">
        <w:rPr>
          <w:rFonts w:ascii="Book Antiqua" w:eastAsia="Times New Roman" w:hAnsi="Book Antiqua"/>
          <w:sz w:val="28"/>
          <w:szCs w:val="28"/>
        </w:rPr>
        <w:t>GOBIERNO DE PUERTO RICO</w:t>
      </w:r>
    </w:p>
    <w:p w14:paraId="21D45B7F" w14:textId="77777777" w:rsidR="008A7FE5" w:rsidRPr="0076587D" w:rsidRDefault="008A7FE5" w:rsidP="00C3393C">
      <w:pPr>
        <w:jc w:val="center"/>
        <w:rPr>
          <w:rFonts w:ascii="Book Antiqua" w:eastAsia="Times New Roman" w:hAnsi="Book Antiqua"/>
          <w:szCs w:val="20"/>
          <w:lang w:val="es-ES"/>
        </w:rPr>
      </w:pPr>
    </w:p>
    <w:p w14:paraId="6AC6CA3C" w14:textId="43A52341" w:rsidR="008A7FE5" w:rsidRPr="0076587D" w:rsidRDefault="008A7FE5" w:rsidP="00C3393C">
      <w:pPr>
        <w:jc w:val="both"/>
        <w:rPr>
          <w:rFonts w:ascii="Book Antiqua" w:eastAsia="Times New Roman" w:hAnsi="Book Antiqua"/>
          <w:szCs w:val="20"/>
          <w:lang w:val="es-ES"/>
        </w:rPr>
      </w:pPr>
      <w:r w:rsidRPr="0076587D">
        <w:rPr>
          <w:rFonts w:ascii="Book Antiqua" w:eastAsia="Times New Roman" w:hAnsi="Book Antiqua"/>
          <w:szCs w:val="20"/>
          <w:lang w:val="es-ES"/>
        </w:rPr>
        <w:t>20ma. Asamblea</w:t>
      </w:r>
      <w:r w:rsidRPr="0076587D">
        <w:rPr>
          <w:rFonts w:ascii="Book Antiqua" w:eastAsia="Times New Roman" w:hAnsi="Book Antiqua"/>
          <w:szCs w:val="20"/>
          <w:lang w:val="es-ES"/>
        </w:rPr>
        <w:tab/>
        <w:t xml:space="preserve">                                                                                                </w:t>
      </w:r>
      <w:r w:rsidR="00845F75">
        <w:rPr>
          <w:rFonts w:ascii="Book Antiqua" w:eastAsia="Times New Roman" w:hAnsi="Book Antiqua"/>
          <w:szCs w:val="20"/>
          <w:lang w:val="es-ES"/>
        </w:rPr>
        <w:t>3r</w:t>
      </w:r>
      <w:r w:rsidRPr="0076587D">
        <w:rPr>
          <w:rFonts w:ascii="Book Antiqua" w:eastAsia="Times New Roman" w:hAnsi="Book Antiqua"/>
          <w:szCs w:val="20"/>
          <w:lang w:val="es-ES"/>
        </w:rPr>
        <w:t>a. Sesión</w:t>
      </w:r>
    </w:p>
    <w:p w14:paraId="67495B5A" w14:textId="335051AF" w:rsidR="008A7FE5" w:rsidRPr="0076587D" w:rsidRDefault="008A7FE5" w:rsidP="00C3393C">
      <w:pPr>
        <w:jc w:val="both"/>
        <w:rPr>
          <w:rFonts w:ascii="Book Antiqua" w:eastAsia="Times New Roman" w:hAnsi="Book Antiqua"/>
          <w:szCs w:val="20"/>
          <w:lang w:val="es-ES"/>
        </w:rPr>
      </w:pPr>
      <w:r w:rsidRPr="0076587D">
        <w:rPr>
          <w:rFonts w:ascii="Book Antiqua" w:eastAsia="Times New Roman" w:hAnsi="Book Antiqua"/>
          <w:szCs w:val="20"/>
          <w:lang w:val="es-ES"/>
        </w:rPr>
        <w:t xml:space="preserve">          </w:t>
      </w:r>
      <w:r w:rsidR="00D819FF">
        <w:rPr>
          <w:rFonts w:ascii="Book Antiqua" w:eastAsia="Times New Roman" w:hAnsi="Book Antiqua"/>
          <w:szCs w:val="20"/>
          <w:lang w:val="es-ES"/>
        </w:rPr>
        <w:t xml:space="preserve"> </w:t>
      </w:r>
      <w:r w:rsidRPr="0076587D">
        <w:rPr>
          <w:rFonts w:ascii="Book Antiqua" w:eastAsia="Times New Roman" w:hAnsi="Book Antiqua"/>
          <w:szCs w:val="20"/>
          <w:lang w:val="es-ES"/>
        </w:rPr>
        <w:t>Legislativa                                                                                                             Ordinaria</w:t>
      </w:r>
    </w:p>
    <w:p w14:paraId="044279C5" w14:textId="77777777" w:rsidR="008A7FE5" w:rsidRPr="0076587D" w:rsidRDefault="008A7FE5" w:rsidP="00C3393C">
      <w:pPr>
        <w:rPr>
          <w:rFonts w:ascii="Book Antiqua" w:eastAsia="Times New Roman" w:hAnsi="Book Antiqua"/>
          <w:lang w:val="es-ES"/>
        </w:rPr>
      </w:pPr>
    </w:p>
    <w:p w14:paraId="05462787" w14:textId="77777777" w:rsidR="008A7FE5" w:rsidRPr="0076587D" w:rsidRDefault="008A7FE5" w:rsidP="00C3393C">
      <w:pPr>
        <w:jc w:val="center"/>
        <w:rPr>
          <w:rFonts w:ascii="Book Antiqua" w:eastAsia="Times New Roman" w:hAnsi="Book Antiqua"/>
          <w:b/>
          <w:sz w:val="36"/>
          <w:szCs w:val="36"/>
          <w:lang w:val="es-ES"/>
        </w:rPr>
      </w:pPr>
      <w:r w:rsidRPr="0076587D">
        <w:rPr>
          <w:rFonts w:ascii="Book Antiqua" w:eastAsia="Times New Roman" w:hAnsi="Book Antiqua"/>
          <w:b/>
          <w:sz w:val="36"/>
          <w:szCs w:val="36"/>
          <w:lang w:val="es-ES"/>
        </w:rPr>
        <w:t>CÁMARA DE REPRESENTANTES</w:t>
      </w:r>
    </w:p>
    <w:p w14:paraId="6F6718EB" w14:textId="77777777" w:rsidR="008A7FE5" w:rsidRPr="0076587D" w:rsidRDefault="008A7FE5" w:rsidP="00C3393C">
      <w:pPr>
        <w:jc w:val="center"/>
        <w:rPr>
          <w:rFonts w:ascii="Book Antiqua" w:eastAsia="Times New Roman" w:hAnsi="Book Antiqua"/>
          <w:bCs/>
          <w:lang w:val="es-ES"/>
        </w:rPr>
      </w:pPr>
    </w:p>
    <w:p w14:paraId="6133D605" w14:textId="0678AC74" w:rsidR="008A7FE5" w:rsidRPr="0076587D" w:rsidRDefault="008A7FE5" w:rsidP="00C3393C">
      <w:pPr>
        <w:jc w:val="center"/>
        <w:rPr>
          <w:rFonts w:ascii="Book Antiqua" w:eastAsia="Times New Roman" w:hAnsi="Book Antiqua"/>
          <w:b/>
          <w:sz w:val="52"/>
          <w:szCs w:val="52"/>
          <w:lang w:val="es-ES"/>
        </w:rPr>
      </w:pPr>
      <w:r w:rsidRPr="0076587D">
        <w:rPr>
          <w:rFonts w:ascii="Book Antiqua" w:eastAsia="Times New Roman" w:hAnsi="Book Antiqua"/>
          <w:b/>
          <w:sz w:val="52"/>
          <w:szCs w:val="52"/>
          <w:lang w:val="es-ES"/>
        </w:rPr>
        <w:t>P.</w:t>
      </w:r>
      <w:r w:rsidR="00D819FF">
        <w:rPr>
          <w:rFonts w:ascii="Book Antiqua" w:eastAsia="Times New Roman" w:hAnsi="Book Antiqua"/>
          <w:b/>
          <w:sz w:val="52"/>
          <w:szCs w:val="52"/>
          <w:lang w:val="es-ES"/>
        </w:rPr>
        <w:t xml:space="preserve"> </w:t>
      </w:r>
      <w:r w:rsidRPr="0076587D">
        <w:rPr>
          <w:rFonts w:ascii="Book Antiqua" w:eastAsia="Times New Roman" w:hAnsi="Book Antiqua"/>
          <w:b/>
          <w:sz w:val="52"/>
          <w:szCs w:val="52"/>
          <w:lang w:val="es-ES"/>
        </w:rPr>
        <w:t>de la C.</w:t>
      </w:r>
      <w:r w:rsidR="00D819FF">
        <w:rPr>
          <w:rFonts w:ascii="Book Antiqua" w:eastAsia="Times New Roman" w:hAnsi="Book Antiqua"/>
          <w:b/>
          <w:sz w:val="52"/>
          <w:szCs w:val="52"/>
          <w:lang w:val="es-ES"/>
        </w:rPr>
        <w:t xml:space="preserve"> </w:t>
      </w:r>
      <w:r w:rsidR="004B2426">
        <w:rPr>
          <w:rFonts w:ascii="Book Antiqua" w:eastAsia="Times New Roman" w:hAnsi="Book Antiqua"/>
          <w:b/>
          <w:sz w:val="52"/>
          <w:szCs w:val="52"/>
          <w:lang w:val="es-ES"/>
        </w:rPr>
        <w:t>1103</w:t>
      </w:r>
    </w:p>
    <w:p w14:paraId="1CA67854" w14:textId="77777777" w:rsidR="008A7FE5" w:rsidRPr="0076587D" w:rsidRDefault="008A7FE5" w:rsidP="00C3393C">
      <w:pPr>
        <w:jc w:val="center"/>
        <w:rPr>
          <w:rFonts w:ascii="Book Antiqua" w:eastAsia="Times New Roman" w:hAnsi="Book Antiqua"/>
          <w:lang w:val="es-ES"/>
        </w:rPr>
      </w:pPr>
    </w:p>
    <w:p w14:paraId="3962E151" w14:textId="7E440ACC" w:rsidR="008A7FE5" w:rsidRPr="0076587D" w:rsidRDefault="004B2426" w:rsidP="00C3393C">
      <w:pPr>
        <w:jc w:val="center"/>
        <w:rPr>
          <w:rFonts w:ascii="Book Antiqua" w:eastAsia="Times New Roman" w:hAnsi="Book Antiqua"/>
          <w:lang w:val="es-ES"/>
        </w:rPr>
      </w:pPr>
      <w:r>
        <w:rPr>
          <w:rFonts w:ascii="Book Antiqua" w:eastAsia="Times New Roman" w:hAnsi="Book Antiqua"/>
          <w:lang w:val="es-ES"/>
        </w:rPr>
        <w:t>2</w:t>
      </w:r>
      <w:r w:rsidR="0013020D">
        <w:rPr>
          <w:rFonts w:ascii="Book Antiqua" w:eastAsia="Times New Roman" w:hAnsi="Book Antiqua"/>
          <w:lang w:val="es-ES"/>
        </w:rPr>
        <w:t xml:space="preserve"> </w:t>
      </w:r>
      <w:r w:rsidR="008A7FE5" w:rsidRPr="0076587D">
        <w:rPr>
          <w:rFonts w:ascii="Book Antiqua" w:eastAsia="Times New Roman" w:hAnsi="Book Antiqua"/>
          <w:lang w:val="es-ES"/>
        </w:rPr>
        <w:t xml:space="preserve">DE </w:t>
      </w:r>
      <w:r w:rsidR="00845F75">
        <w:rPr>
          <w:rFonts w:ascii="Book Antiqua" w:eastAsia="Times New Roman" w:hAnsi="Book Antiqua"/>
          <w:lang w:val="es-ES"/>
        </w:rPr>
        <w:t>ENERO</w:t>
      </w:r>
      <w:r w:rsidR="008A7FE5" w:rsidRPr="0076587D">
        <w:rPr>
          <w:rFonts w:ascii="Book Antiqua" w:eastAsia="Times New Roman" w:hAnsi="Book Antiqua"/>
          <w:lang w:val="es-ES"/>
        </w:rPr>
        <w:t xml:space="preserve"> DE 202</w:t>
      </w:r>
      <w:r w:rsidR="00845F75">
        <w:rPr>
          <w:rFonts w:ascii="Book Antiqua" w:eastAsia="Times New Roman" w:hAnsi="Book Antiqua"/>
          <w:lang w:val="es-ES"/>
        </w:rPr>
        <w:t>6</w:t>
      </w:r>
    </w:p>
    <w:p w14:paraId="216AC01D" w14:textId="77777777" w:rsidR="008A7FE5" w:rsidRPr="0076587D" w:rsidRDefault="008A7FE5" w:rsidP="00C3393C">
      <w:pPr>
        <w:jc w:val="center"/>
        <w:rPr>
          <w:rFonts w:ascii="Book Antiqua" w:eastAsia="Times New Roman" w:hAnsi="Book Antiqua"/>
          <w:lang w:val="es-ES"/>
        </w:rPr>
      </w:pPr>
      <w:r w:rsidRPr="0076587D">
        <w:rPr>
          <w:rFonts w:ascii="Book Antiqua" w:eastAsia="Times New Roman" w:hAnsi="Book Antiqua"/>
          <w:lang w:val="es-ES"/>
        </w:rPr>
        <w:t xml:space="preserve"> </w:t>
      </w:r>
    </w:p>
    <w:p w14:paraId="5D39D482" w14:textId="48E74D4F" w:rsidR="003141CD" w:rsidRPr="0076587D" w:rsidRDefault="008A7FE5" w:rsidP="00105CB6">
      <w:pPr>
        <w:suppressLineNumbers/>
        <w:jc w:val="center"/>
        <w:rPr>
          <w:rFonts w:ascii="Book Antiqua" w:eastAsia="Times New Roman" w:hAnsi="Book Antiqua"/>
          <w:lang w:val="es-ES"/>
        </w:rPr>
      </w:pPr>
      <w:r w:rsidRPr="0076587D">
        <w:rPr>
          <w:rFonts w:ascii="Book Antiqua" w:hAnsi="Book Antiqua"/>
          <w:lang w:val="es-ES"/>
        </w:rPr>
        <w:t xml:space="preserve">Presentado por </w:t>
      </w:r>
      <w:r w:rsidR="00AF78F6">
        <w:rPr>
          <w:rFonts w:ascii="Book Antiqua" w:hAnsi="Book Antiqua"/>
          <w:lang w:val="es-ES"/>
        </w:rPr>
        <w:t xml:space="preserve">los representantes </w:t>
      </w:r>
      <w:r w:rsidR="00AF78F6" w:rsidRPr="00AF78F6">
        <w:rPr>
          <w:rFonts w:ascii="Book Antiqua" w:hAnsi="Book Antiqua"/>
          <w:i/>
          <w:iCs/>
          <w:lang w:val="es-ES"/>
        </w:rPr>
        <w:t xml:space="preserve">Peña Ramírez </w:t>
      </w:r>
      <w:r w:rsidR="00AF78F6" w:rsidRPr="005E759B">
        <w:rPr>
          <w:rFonts w:ascii="Book Antiqua" w:hAnsi="Book Antiqua"/>
          <w:lang w:val="es-ES"/>
        </w:rPr>
        <w:t>y</w:t>
      </w:r>
      <w:r w:rsidR="00AF78F6" w:rsidRPr="00AF78F6">
        <w:rPr>
          <w:rFonts w:ascii="Book Antiqua" w:hAnsi="Book Antiqua"/>
          <w:i/>
          <w:iCs/>
          <w:lang w:val="es-ES"/>
        </w:rPr>
        <w:t xml:space="preserve"> Méndez Núñez</w:t>
      </w:r>
    </w:p>
    <w:p w14:paraId="445543BC" w14:textId="77777777" w:rsidR="008A7FE5" w:rsidRPr="0076587D" w:rsidRDefault="008A7FE5" w:rsidP="00C3393C">
      <w:pPr>
        <w:pStyle w:val="Sinespaciado"/>
        <w:suppressLineNumbers/>
        <w:ind w:left="567" w:hanging="567"/>
        <w:jc w:val="center"/>
        <w:rPr>
          <w:rFonts w:ascii="Book Antiqua" w:hAnsi="Book Antiqua"/>
          <w:i/>
          <w:iCs/>
          <w:sz w:val="24"/>
          <w:szCs w:val="24"/>
          <w:lang w:val="es-ES"/>
        </w:rPr>
      </w:pPr>
    </w:p>
    <w:p w14:paraId="1B54B8AA" w14:textId="4AFF2CA1" w:rsidR="008A7FE5" w:rsidRPr="0076587D" w:rsidRDefault="008A7FE5" w:rsidP="00C3393C">
      <w:pPr>
        <w:suppressLineNumbers/>
        <w:jc w:val="center"/>
        <w:rPr>
          <w:rFonts w:ascii="Book Antiqua" w:eastAsia="Times New Roman" w:hAnsi="Book Antiqua"/>
          <w:lang w:val="es-ES"/>
        </w:rPr>
      </w:pPr>
      <w:r w:rsidRPr="0076587D">
        <w:rPr>
          <w:rFonts w:ascii="Book Antiqua" w:eastAsia="Times New Roman" w:hAnsi="Book Antiqua"/>
          <w:lang w:val="es-ES"/>
        </w:rPr>
        <w:t>Referido a</w:t>
      </w:r>
      <w:r w:rsidR="00D819FF">
        <w:rPr>
          <w:rFonts w:ascii="Book Antiqua" w:eastAsia="Times New Roman" w:hAnsi="Book Antiqua"/>
          <w:lang w:val="es-ES"/>
        </w:rPr>
        <w:t xml:space="preserve"> la </w:t>
      </w:r>
      <w:r w:rsidR="00105CB6">
        <w:rPr>
          <w:rFonts w:ascii="Book Antiqua" w:eastAsia="Times New Roman" w:hAnsi="Book Antiqua"/>
          <w:lang w:val="es-ES"/>
        </w:rPr>
        <w:t>Comisión</w:t>
      </w:r>
      <w:r w:rsidR="00D819FF">
        <w:rPr>
          <w:rFonts w:ascii="Book Antiqua" w:eastAsia="Times New Roman" w:hAnsi="Book Antiqua"/>
          <w:lang w:val="es-ES"/>
        </w:rPr>
        <w:t xml:space="preserve"> </w:t>
      </w:r>
      <w:r w:rsidR="00350B6B">
        <w:rPr>
          <w:rFonts w:ascii="Book Antiqua" w:eastAsia="Times New Roman" w:hAnsi="Book Antiqua"/>
          <w:lang w:val="es-ES"/>
        </w:rPr>
        <w:t xml:space="preserve">de </w:t>
      </w:r>
      <w:r w:rsidR="005E759B">
        <w:rPr>
          <w:rFonts w:ascii="Book Antiqua" w:eastAsia="Times New Roman" w:hAnsi="Book Antiqua"/>
          <w:lang w:val="es-ES"/>
        </w:rPr>
        <w:t>Banca, Seguros y Comercio</w:t>
      </w:r>
    </w:p>
    <w:p w14:paraId="1C3D04F0" w14:textId="77777777" w:rsidR="008A7FE5" w:rsidRPr="0076587D" w:rsidRDefault="008A7FE5" w:rsidP="00C3393C">
      <w:pPr>
        <w:suppressLineNumbers/>
        <w:jc w:val="center"/>
        <w:rPr>
          <w:rFonts w:ascii="Book Antiqua" w:eastAsia="Times New Roman" w:hAnsi="Book Antiqua"/>
          <w:lang w:val="es-ES"/>
        </w:rPr>
      </w:pPr>
    </w:p>
    <w:p w14:paraId="6BF320FC" w14:textId="77777777" w:rsidR="008A7FE5" w:rsidRPr="0076587D" w:rsidRDefault="008A7FE5" w:rsidP="00C3393C">
      <w:pPr>
        <w:keepNext/>
        <w:jc w:val="center"/>
        <w:outlineLvl w:val="2"/>
        <w:rPr>
          <w:rFonts w:ascii="Book Antiqua" w:eastAsia="Times New Roman" w:hAnsi="Book Antiqua"/>
          <w:b/>
          <w:sz w:val="28"/>
          <w:szCs w:val="20"/>
          <w:lang w:val="es-ES"/>
        </w:rPr>
      </w:pPr>
      <w:r w:rsidRPr="0076587D">
        <w:rPr>
          <w:rFonts w:ascii="Book Antiqua" w:eastAsia="Times New Roman" w:hAnsi="Book Antiqua"/>
          <w:b/>
          <w:sz w:val="28"/>
          <w:szCs w:val="20"/>
          <w:lang w:val="es-ES"/>
        </w:rPr>
        <w:t>LEY</w:t>
      </w:r>
    </w:p>
    <w:p w14:paraId="69454D6B" w14:textId="77777777" w:rsidR="008A7FE5" w:rsidRPr="0076587D" w:rsidRDefault="008A7FE5" w:rsidP="00C3393C">
      <w:pPr>
        <w:jc w:val="center"/>
        <w:rPr>
          <w:rFonts w:ascii="Book Antiqua" w:eastAsia="Times New Roman" w:hAnsi="Book Antiqua"/>
          <w:szCs w:val="20"/>
          <w:lang w:val="es-ES"/>
        </w:rPr>
      </w:pPr>
    </w:p>
    <w:p w14:paraId="22B7F50A" w14:textId="2F53066C" w:rsidR="008A7FE5" w:rsidRPr="0076587D" w:rsidRDefault="008A7FE5" w:rsidP="00D819FF">
      <w:pPr>
        <w:ind w:left="720" w:hanging="720"/>
        <w:jc w:val="both"/>
        <w:rPr>
          <w:rStyle w:val="s2"/>
          <w:rFonts w:ascii="Book Antiqua" w:hAnsi="Book Antiqua"/>
          <w:lang w:val="es-ES"/>
        </w:rPr>
      </w:pPr>
      <w:bookmarkStart w:id="0" w:name="_Hlk164089542"/>
      <w:r w:rsidRPr="0076587D">
        <w:rPr>
          <w:rStyle w:val="s2"/>
          <w:rFonts w:ascii="Book Antiqua" w:hAnsi="Book Antiqua"/>
          <w:lang w:val="es-ES"/>
        </w:rPr>
        <w:t xml:space="preserve">Para </w:t>
      </w:r>
      <w:bookmarkStart w:id="1" w:name="_Hlk190192080"/>
      <w:r w:rsidR="006F1C86" w:rsidRPr="00CA1165">
        <w:rPr>
          <w:rFonts w:ascii="Book Antiqua" w:hAnsi="Book Antiqua"/>
        </w:rPr>
        <w:t xml:space="preserve">enmendar </w:t>
      </w:r>
      <w:r w:rsidR="0018607A">
        <w:rPr>
          <w:rFonts w:ascii="Book Antiqua" w:hAnsi="Book Antiqua"/>
        </w:rPr>
        <w:t>e</w:t>
      </w:r>
      <w:r w:rsidR="006F1C86" w:rsidRPr="00CA1165">
        <w:rPr>
          <w:rFonts w:ascii="Book Antiqua" w:hAnsi="Book Antiqua"/>
        </w:rPr>
        <w:t>l Artículo</w:t>
      </w:r>
      <w:r w:rsidR="0018607A">
        <w:rPr>
          <w:rFonts w:ascii="Book Antiqua" w:hAnsi="Book Antiqua"/>
        </w:rPr>
        <w:t xml:space="preserve"> 18</w:t>
      </w:r>
      <w:r w:rsidR="006F1C86" w:rsidRPr="00CA1165">
        <w:rPr>
          <w:rFonts w:ascii="Book Antiqua" w:hAnsi="Book Antiqua"/>
        </w:rPr>
        <w:t xml:space="preserve"> de la Ley 42-2017, según enmendada, conocida como la “</w:t>
      </w:r>
      <w:r w:rsidR="006F1C86" w:rsidRPr="004012E1">
        <w:rPr>
          <w:rFonts w:ascii="Book Antiqua" w:hAnsi="Book Antiqua"/>
        </w:rPr>
        <w:t>Ley para la Implantación del Plan para la Reorganización de la Industria del Cannabis Medicinal de Puerto Rico”</w:t>
      </w:r>
      <w:r w:rsidR="00AF78F6">
        <w:rPr>
          <w:rFonts w:ascii="Book Antiqua" w:hAnsi="Book Antiqua"/>
        </w:rPr>
        <w:t xml:space="preserve"> </w:t>
      </w:r>
      <w:r w:rsidR="006F1C86" w:rsidRPr="004012E1">
        <w:rPr>
          <w:rFonts w:ascii="Book Antiqua" w:hAnsi="Book Antiqua"/>
        </w:rPr>
        <w:t xml:space="preserve">a los fines de </w:t>
      </w:r>
      <w:r w:rsidR="009126BF" w:rsidRPr="004012E1">
        <w:rPr>
          <w:rFonts w:ascii="Book Antiqua" w:hAnsi="Book Antiqua"/>
        </w:rPr>
        <w:t>atemperar la</w:t>
      </w:r>
      <w:r w:rsidR="00FF2F5F" w:rsidRPr="004012E1">
        <w:rPr>
          <w:rFonts w:ascii="Book Antiqua" w:hAnsi="Book Antiqua"/>
        </w:rPr>
        <w:t>s regulaciones</w:t>
      </w:r>
      <w:r w:rsidR="009126BF" w:rsidRPr="004012E1">
        <w:rPr>
          <w:rFonts w:ascii="Book Antiqua" w:hAnsi="Book Antiqua"/>
        </w:rPr>
        <w:t xml:space="preserve"> </w:t>
      </w:r>
      <w:r w:rsidR="00FF2F5F" w:rsidRPr="004012E1">
        <w:rPr>
          <w:rFonts w:ascii="Book Antiqua" w:hAnsi="Book Antiqua"/>
        </w:rPr>
        <w:t>bancarias para con los negocios relacionados al cannabis medicinal a la de las demás jurisdicciones de los Estados Unidos y al gobierno federal</w:t>
      </w:r>
      <w:r w:rsidR="006F1C86" w:rsidRPr="004012E1">
        <w:rPr>
          <w:rFonts w:ascii="Book Antiqua" w:hAnsi="Book Antiqua"/>
        </w:rPr>
        <w:t>; y para otros fines relacionados</w:t>
      </w:r>
      <w:r w:rsidRPr="004012E1">
        <w:rPr>
          <w:rStyle w:val="s2"/>
          <w:rFonts w:ascii="Book Antiqua" w:hAnsi="Book Antiqua"/>
          <w:lang w:val="es-ES"/>
        </w:rPr>
        <w:t>.</w:t>
      </w:r>
      <w:r w:rsidRPr="0076587D">
        <w:rPr>
          <w:rStyle w:val="s2"/>
          <w:rFonts w:ascii="Book Antiqua" w:hAnsi="Book Antiqua"/>
          <w:lang w:val="es-ES"/>
        </w:rPr>
        <w:t xml:space="preserve">  </w:t>
      </w:r>
      <w:bookmarkEnd w:id="0"/>
      <w:r w:rsidRPr="0076587D">
        <w:rPr>
          <w:rStyle w:val="s2"/>
          <w:rFonts w:ascii="Book Antiqua" w:hAnsi="Book Antiqua"/>
          <w:lang w:val="es-ES"/>
        </w:rPr>
        <w:t xml:space="preserve"> </w:t>
      </w:r>
      <w:bookmarkEnd w:id="1"/>
    </w:p>
    <w:p w14:paraId="06403B15" w14:textId="77777777" w:rsidR="008A7FE5" w:rsidRPr="0076587D" w:rsidRDefault="008A7FE5" w:rsidP="00C3393C">
      <w:pPr>
        <w:jc w:val="both"/>
        <w:rPr>
          <w:rStyle w:val="s2"/>
          <w:rFonts w:ascii="Book Antiqua" w:hAnsi="Book Antiqua"/>
          <w:lang w:val="es-ES"/>
        </w:rPr>
      </w:pPr>
    </w:p>
    <w:p w14:paraId="69273BD0" w14:textId="77777777" w:rsidR="008A7FE5" w:rsidRPr="0076587D" w:rsidRDefault="008A7FE5" w:rsidP="00C3393C">
      <w:pPr>
        <w:keepNext/>
        <w:jc w:val="center"/>
        <w:outlineLvl w:val="3"/>
        <w:rPr>
          <w:rFonts w:ascii="Book Antiqua" w:eastAsia="Times New Roman" w:hAnsi="Book Antiqua"/>
          <w:lang w:val="es-ES"/>
        </w:rPr>
      </w:pPr>
      <w:r w:rsidRPr="0010612A">
        <w:rPr>
          <w:rFonts w:ascii="Book Antiqua" w:eastAsia="Times New Roman" w:hAnsi="Book Antiqua"/>
          <w:lang w:val="es-ES"/>
        </w:rPr>
        <w:t>EXPOSICIÓN DE MOTIVOS</w:t>
      </w:r>
    </w:p>
    <w:p w14:paraId="212E9AB1" w14:textId="77777777" w:rsidR="008A7FE5" w:rsidRPr="0076587D" w:rsidRDefault="008A7FE5" w:rsidP="00C3393C">
      <w:pPr>
        <w:keepNext/>
        <w:jc w:val="center"/>
        <w:outlineLvl w:val="3"/>
        <w:rPr>
          <w:rFonts w:ascii="Book Antiqua" w:eastAsia="Times New Roman" w:hAnsi="Book Antiqua"/>
          <w:lang w:val="es-ES"/>
        </w:rPr>
      </w:pPr>
    </w:p>
    <w:p w14:paraId="4EFA3067" w14:textId="77777777" w:rsidR="006563FB" w:rsidRPr="00D51A55" w:rsidRDefault="006563FB" w:rsidP="006563FB">
      <w:pPr>
        <w:ind w:firstLine="720"/>
        <w:jc w:val="both"/>
        <w:rPr>
          <w:rFonts w:ascii="Book Antiqua" w:hAnsi="Book Antiqua"/>
        </w:rPr>
      </w:pPr>
      <w:r w:rsidRPr="00D51A55">
        <w:rPr>
          <w:rFonts w:ascii="Book Antiqua" w:hAnsi="Book Antiqua"/>
        </w:rPr>
        <w:t xml:space="preserve">Luego de ocho años de aprobada la Ley 42-2017, según enmendada, conocida como la “Ley para Manejar el Estudio, Desarrollo e Investigación del Cannabis para la Innovación, Normas Aplicables y Límites (“Ley MEDICINAL”)”, la industria ha experimentado transformaciones, consolidaciones y está en camino a estabilizarse. </w:t>
      </w:r>
    </w:p>
    <w:p w14:paraId="6F1FBF40" w14:textId="77777777" w:rsidR="006563FB" w:rsidRDefault="006563FB" w:rsidP="006563FB">
      <w:pPr>
        <w:ind w:firstLine="720"/>
        <w:jc w:val="both"/>
        <w:rPr>
          <w:rFonts w:ascii="Book Antiqua" w:hAnsi="Book Antiqua"/>
        </w:rPr>
      </w:pPr>
    </w:p>
    <w:p w14:paraId="2FF8E04E" w14:textId="77777777" w:rsidR="006563FB" w:rsidRPr="00D51A55" w:rsidRDefault="006563FB" w:rsidP="006563FB">
      <w:pPr>
        <w:ind w:firstLine="720"/>
        <w:jc w:val="both"/>
        <w:rPr>
          <w:rFonts w:ascii="Book Antiqua" w:hAnsi="Book Antiqua"/>
        </w:rPr>
      </w:pPr>
      <w:r w:rsidRPr="00D51A55">
        <w:rPr>
          <w:rFonts w:ascii="Book Antiqua" w:hAnsi="Book Antiqua"/>
        </w:rPr>
        <w:t xml:space="preserve"> Un reto significativo que ha enfrentado esta industria, y el gobierno para regular y fiscalizar, son las transacciones comerciales altamente dependiente en el uso de efectivo. Actualmente, cuarenta y dos (42) jurisdicciones han legalizado alguna forma de cannabis medicinal, aunque continúa siendo una sustancia ilegal a nivel federal. Ante esto, los bancos enfrentan desafíos al ofrecer servicios bancarios a empresas autorizadas por las relacionadas con el cannabis medicinal. </w:t>
      </w:r>
    </w:p>
    <w:p w14:paraId="79C1D318" w14:textId="77777777" w:rsidR="006563FB" w:rsidRDefault="006563FB" w:rsidP="006563FB">
      <w:pPr>
        <w:ind w:firstLine="720"/>
        <w:jc w:val="both"/>
        <w:rPr>
          <w:rFonts w:ascii="Book Antiqua" w:hAnsi="Book Antiqua"/>
        </w:rPr>
      </w:pPr>
    </w:p>
    <w:p w14:paraId="1BCC39DB" w14:textId="77777777" w:rsidR="006563FB" w:rsidRPr="00D51A55" w:rsidRDefault="006563FB" w:rsidP="006563FB">
      <w:pPr>
        <w:ind w:firstLine="720"/>
        <w:jc w:val="both"/>
        <w:rPr>
          <w:rFonts w:ascii="Book Antiqua" w:hAnsi="Book Antiqua"/>
        </w:rPr>
      </w:pPr>
      <w:r w:rsidRPr="00D51A55">
        <w:rPr>
          <w:rFonts w:ascii="Book Antiqua" w:hAnsi="Book Antiqua"/>
        </w:rPr>
        <w:t>Aunque no existe una prohibición federal al uso del sistema bancario, el gobierno federal, particularmente a través del “</w:t>
      </w:r>
      <w:proofErr w:type="spellStart"/>
      <w:r w:rsidRPr="00D51A55">
        <w:rPr>
          <w:rFonts w:ascii="Book Antiqua" w:hAnsi="Book Antiqua"/>
        </w:rPr>
        <w:t>Financial</w:t>
      </w:r>
      <w:proofErr w:type="spellEnd"/>
      <w:r w:rsidRPr="00D51A55">
        <w:rPr>
          <w:rFonts w:ascii="Book Antiqua" w:hAnsi="Book Antiqua"/>
        </w:rPr>
        <w:t xml:space="preserve"> Crimes </w:t>
      </w:r>
      <w:proofErr w:type="spellStart"/>
      <w:r w:rsidRPr="00D51A55">
        <w:rPr>
          <w:rFonts w:ascii="Book Antiqua" w:hAnsi="Book Antiqua"/>
        </w:rPr>
        <w:t>Enforcement</w:t>
      </w:r>
      <w:proofErr w:type="spellEnd"/>
      <w:r w:rsidRPr="00D51A55">
        <w:rPr>
          <w:rFonts w:ascii="Book Antiqua" w:hAnsi="Book Antiqua"/>
        </w:rPr>
        <w:t xml:space="preserve"> Network, o </w:t>
      </w:r>
      <w:proofErr w:type="spellStart"/>
      <w:r w:rsidRPr="00D51A55">
        <w:rPr>
          <w:rFonts w:ascii="Book Antiqua" w:hAnsi="Book Antiqua"/>
        </w:rPr>
        <w:t>FinCEN</w:t>
      </w:r>
      <w:proofErr w:type="spellEnd"/>
      <w:r w:rsidRPr="00D51A55">
        <w:rPr>
          <w:rFonts w:ascii="Book Antiqua" w:hAnsi="Book Antiqua"/>
        </w:rPr>
        <w:t xml:space="preserve">”, establece unos controles regulatorios estrictos para evitar y prevenir </w:t>
      </w:r>
      <w:r w:rsidRPr="00D51A55">
        <w:rPr>
          <w:rFonts w:ascii="Book Antiqua" w:hAnsi="Book Antiqua"/>
        </w:rPr>
        <w:lastRenderedPageBreak/>
        <w:t>actividades sospechosas. Las instituciones financieras que aceptan depósitos de negocios relacionados al cannabis medicinal son estrictamente reguladas y están obligadas a presentar informes periódicos de actividad sospechosa. Por los altos costos de cumplimiento, la mayoría de las instituciones financieras deciden no aceptar depósitos de estos negocios, lo que resulta en que la gran mayoría de las empresas relacionadas con el cannabis medicinal realicen sus transacciones comerciales en efectivo, fuera del sistema financiero regulado. En Puerto Rico, con la aprobación de la Ley 42, supra, se limitó las instituciones financieras que podían aceptar depósitos, permitiendo solo a instituciones financieras no reguladas por el FDIC, cuando esa prohibición no existe a nivel federal. Esto ha ocasionado que solo una institución en Puerto Rico ofrezca servicios bancarios limitados y sin competencia, creando un monopolio y con unos costos altamente elevados para la industria.</w:t>
      </w:r>
    </w:p>
    <w:p w14:paraId="04D43D09" w14:textId="77777777" w:rsidR="006563FB" w:rsidRDefault="006563FB" w:rsidP="006563FB">
      <w:pPr>
        <w:ind w:firstLine="720"/>
        <w:jc w:val="both"/>
        <w:rPr>
          <w:rFonts w:ascii="Book Antiqua" w:hAnsi="Book Antiqua"/>
        </w:rPr>
      </w:pPr>
    </w:p>
    <w:p w14:paraId="5D3637C4" w14:textId="77777777" w:rsidR="006563FB" w:rsidRPr="00D51A55" w:rsidRDefault="006563FB" w:rsidP="006563FB">
      <w:pPr>
        <w:ind w:firstLine="720"/>
        <w:jc w:val="both"/>
        <w:rPr>
          <w:rFonts w:ascii="Book Antiqua" w:hAnsi="Book Antiqua"/>
        </w:rPr>
      </w:pPr>
      <w:r w:rsidRPr="00D51A55">
        <w:rPr>
          <w:rFonts w:ascii="Book Antiqua" w:hAnsi="Book Antiqua"/>
        </w:rPr>
        <w:t xml:space="preserve">El eliminar esta restricción local, estamos equiparando a Puerto Rico con otras jurisdicciones de los Estados Unidos y con la normativa federal relacionado al uso de la banca. Con la aprobación de esta ley, las instituciones financieras, reguladas por la FDIC, o no, que deseen ofrecer servicios a los negocios relacionados al cannabis medicinal, así lo podrán hacer. Esta medida también permite mayor transparencia sobre las transacciones comerciales, ayuda a los entes reguladores del estado determinar la procedencia de los depósitos y ayuda a la fiscalización de las ventas e ingresos. </w:t>
      </w:r>
    </w:p>
    <w:p w14:paraId="04064E92" w14:textId="77777777" w:rsidR="006563FB" w:rsidRDefault="006563FB" w:rsidP="006563FB">
      <w:pPr>
        <w:ind w:firstLine="720"/>
        <w:jc w:val="both"/>
        <w:rPr>
          <w:rFonts w:ascii="Book Antiqua" w:hAnsi="Book Antiqua"/>
        </w:rPr>
      </w:pPr>
    </w:p>
    <w:p w14:paraId="0100EDE4" w14:textId="78F4A197" w:rsidR="006563FB" w:rsidRPr="00D51A55" w:rsidRDefault="006563FB" w:rsidP="006563FB">
      <w:pPr>
        <w:ind w:firstLine="720"/>
        <w:jc w:val="both"/>
        <w:rPr>
          <w:rFonts w:ascii="Book Antiqua" w:hAnsi="Book Antiqua"/>
        </w:rPr>
      </w:pPr>
      <w:r w:rsidRPr="00D51A55">
        <w:rPr>
          <w:rFonts w:ascii="Book Antiqua" w:hAnsi="Book Antiqua"/>
        </w:rPr>
        <w:t>Por todo esto, esta Asamblea Legislativa entiende necesario enmendar la Ley 42, supra, para atemperar la</w:t>
      </w:r>
      <w:r>
        <w:rPr>
          <w:rFonts w:ascii="Book Antiqua" w:hAnsi="Book Antiqua"/>
        </w:rPr>
        <w:t>s</w:t>
      </w:r>
      <w:r w:rsidRPr="00D51A55">
        <w:rPr>
          <w:rFonts w:ascii="Book Antiqua" w:hAnsi="Book Antiqua"/>
        </w:rPr>
        <w:t xml:space="preserve"> regulaciones bancarias </w:t>
      </w:r>
      <w:r w:rsidR="00FF2F5F">
        <w:rPr>
          <w:rFonts w:ascii="Book Antiqua" w:hAnsi="Book Antiqua"/>
        </w:rPr>
        <w:t>para con</w:t>
      </w:r>
      <w:r w:rsidRPr="00D51A55">
        <w:rPr>
          <w:rFonts w:ascii="Book Antiqua" w:hAnsi="Book Antiqua"/>
        </w:rPr>
        <w:t xml:space="preserve"> los negocios relacionados al cannabis medicinal a la de las demás jurisdicciones de los Estados Unidos y al gobierno federal. </w:t>
      </w:r>
    </w:p>
    <w:p w14:paraId="421FF8DC" w14:textId="77777777" w:rsidR="009126BF" w:rsidRPr="00B60E70" w:rsidRDefault="009126BF" w:rsidP="009126BF">
      <w:pPr>
        <w:ind w:firstLine="720"/>
        <w:jc w:val="both"/>
        <w:rPr>
          <w:rFonts w:ascii="Book Antiqua" w:hAnsi="Book Antiqua"/>
        </w:rPr>
      </w:pPr>
    </w:p>
    <w:p w14:paraId="22EC9F18" w14:textId="77777777" w:rsidR="008A7FE5" w:rsidRPr="0076587D" w:rsidRDefault="008A7FE5" w:rsidP="00C3393C">
      <w:pPr>
        <w:spacing w:line="480" w:lineRule="auto"/>
        <w:rPr>
          <w:rFonts w:ascii="Book Antiqua" w:eastAsia="Times New Roman" w:hAnsi="Book Antiqua"/>
          <w:b/>
          <w:bCs/>
          <w:i/>
          <w:iCs/>
          <w:lang w:val="es-ES"/>
        </w:rPr>
      </w:pPr>
      <w:r w:rsidRPr="0076587D">
        <w:rPr>
          <w:rFonts w:ascii="Book Antiqua" w:eastAsia="Times New Roman" w:hAnsi="Book Antiqua"/>
          <w:i/>
          <w:iCs/>
          <w:lang w:val="es-ES"/>
        </w:rPr>
        <w:t>DECRÉTASE POR LA ASAMBLEA LEGISLATIVA DE PUERTO RICO:</w:t>
      </w:r>
    </w:p>
    <w:p w14:paraId="6AA01855" w14:textId="77777777" w:rsidR="008A7FE5" w:rsidRPr="0076587D" w:rsidRDefault="008A7FE5" w:rsidP="00C3393C">
      <w:pPr>
        <w:spacing w:line="480" w:lineRule="auto"/>
        <w:rPr>
          <w:rFonts w:ascii="Book Antiqua" w:hAnsi="Book Antiqua"/>
          <w:b/>
          <w:bCs/>
          <w:lang w:val="es-ES"/>
        </w:rPr>
        <w:sectPr w:rsidR="008A7FE5" w:rsidRPr="0076587D" w:rsidSect="008A7FE5">
          <w:headerReference w:type="default" r:id="rId8"/>
          <w:footerReference w:type="default" r:id="rId9"/>
          <w:headerReference w:type="first" r:id="rId10"/>
          <w:pgSz w:w="12240" w:h="15840" w:code="1"/>
          <w:pgMar w:top="1440" w:right="1440" w:bottom="1440" w:left="1440" w:header="720" w:footer="720" w:gutter="0"/>
          <w:cols w:space="720"/>
          <w:titlePg/>
        </w:sectPr>
      </w:pPr>
    </w:p>
    <w:p w14:paraId="1AD27310" w14:textId="27C03362" w:rsidR="008A7FE5" w:rsidRDefault="008A7FE5" w:rsidP="00C3393C">
      <w:pPr>
        <w:widowControl w:val="0"/>
        <w:spacing w:line="480" w:lineRule="auto"/>
        <w:ind w:firstLine="360"/>
        <w:jc w:val="both"/>
        <w:rPr>
          <w:rFonts w:ascii="Book Antiqua" w:hAnsi="Book Antiqua"/>
        </w:rPr>
      </w:pPr>
      <w:r w:rsidRPr="0076587D">
        <w:rPr>
          <w:rFonts w:ascii="Book Antiqua" w:hAnsi="Book Antiqua"/>
          <w:lang w:val="es-ES"/>
        </w:rPr>
        <w:t xml:space="preserve">Sección 1.- </w:t>
      </w:r>
      <w:r w:rsidRPr="00C73850">
        <w:rPr>
          <w:rFonts w:ascii="Book Antiqua" w:hAnsi="Book Antiqua"/>
          <w:lang w:val="es-ES"/>
        </w:rPr>
        <w:t xml:space="preserve">Se </w:t>
      </w:r>
      <w:r w:rsidR="00C73850" w:rsidRPr="00CA1165">
        <w:rPr>
          <w:rFonts w:ascii="Book Antiqua" w:hAnsi="Book Antiqua"/>
        </w:rPr>
        <w:t>enmienda el Artículo 21 de la Ley 42-2017, según enmendada, para que lea como sigue:</w:t>
      </w:r>
    </w:p>
    <w:p w14:paraId="235FFF04" w14:textId="77777777" w:rsidR="002E14A2" w:rsidRPr="002E14A2" w:rsidRDefault="00E74E66" w:rsidP="002E14A2">
      <w:pPr>
        <w:spacing w:line="480" w:lineRule="auto"/>
        <w:ind w:firstLine="720"/>
        <w:jc w:val="both"/>
        <w:rPr>
          <w:rFonts w:ascii="Book Antiqua" w:hAnsi="Book Antiqua"/>
        </w:rPr>
      </w:pPr>
      <w:r>
        <w:rPr>
          <w:rFonts w:ascii="Book Antiqua" w:hAnsi="Book Antiqua"/>
        </w:rPr>
        <w:t>“</w:t>
      </w:r>
      <w:r w:rsidR="002E14A2" w:rsidRPr="002E14A2">
        <w:rPr>
          <w:rFonts w:ascii="Book Antiqua" w:hAnsi="Book Antiqua"/>
        </w:rPr>
        <w:t xml:space="preserve">Artículo 18. — Fiscalización. (24 L.P.R.A. § 2626) </w:t>
      </w:r>
    </w:p>
    <w:p w14:paraId="34C713AC" w14:textId="529A76C9" w:rsidR="002E14A2" w:rsidRPr="002E14A2" w:rsidRDefault="002E14A2" w:rsidP="002E14A2">
      <w:pPr>
        <w:spacing w:line="480" w:lineRule="auto"/>
        <w:ind w:firstLine="720"/>
        <w:jc w:val="both"/>
        <w:rPr>
          <w:rFonts w:ascii="Book Antiqua" w:hAnsi="Book Antiqua"/>
        </w:rPr>
      </w:pPr>
      <w:r w:rsidRPr="002E14A2">
        <w:rPr>
          <w:rFonts w:ascii="Book Antiqua" w:hAnsi="Book Antiqua"/>
        </w:rPr>
        <w:t xml:space="preserve">(a) </w:t>
      </w:r>
      <w:r>
        <w:rPr>
          <w:rFonts w:ascii="Book Antiqua" w:hAnsi="Book Antiqua"/>
        </w:rPr>
        <w:t>..</w:t>
      </w:r>
      <w:r w:rsidRPr="002E14A2">
        <w:rPr>
          <w:rFonts w:ascii="Book Antiqua" w:hAnsi="Book Antiqua"/>
        </w:rPr>
        <w:t xml:space="preserve">. </w:t>
      </w:r>
    </w:p>
    <w:p w14:paraId="46EEF296" w14:textId="7D950BB7" w:rsidR="002E14A2" w:rsidRPr="002E14A2" w:rsidRDefault="002E14A2" w:rsidP="002E14A2">
      <w:pPr>
        <w:spacing w:line="480" w:lineRule="auto"/>
        <w:ind w:firstLine="720"/>
        <w:jc w:val="both"/>
        <w:rPr>
          <w:rFonts w:ascii="Book Antiqua" w:hAnsi="Book Antiqua"/>
        </w:rPr>
      </w:pPr>
      <w:r>
        <w:rPr>
          <w:rFonts w:ascii="Book Antiqua" w:hAnsi="Book Antiqua"/>
        </w:rPr>
        <w:t>…</w:t>
      </w:r>
    </w:p>
    <w:p w14:paraId="57DD4BF8" w14:textId="50D230A5" w:rsidR="002E14A2" w:rsidRPr="002E14A2" w:rsidRDefault="002E14A2" w:rsidP="002E14A2">
      <w:pPr>
        <w:spacing w:line="480" w:lineRule="auto"/>
        <w:ind w:firstLine="720"/>
        <w:jc w:val="both"/>
        <w:rPr>
          <w:rFonts w:ascii="Book Antiqua" w:hAnsi="Book Antiqua"/>
        </w:rPr>
      </w:pPr>
      <w:r w:rsidRPr="002E14A2">
        <w:rPr>
          <w:rFonts w:ascii="Book Antiqua" w:hAnsi="Book Antiqua"/>
        </w:rPr>
        <w:t xml:space="preserve">(d) Los fondos provenientes de la industria de cannabis medicinal podrán ser depositados en Cooperativas de Ahorro y Crédito de Puerto Rico, debidamente certificadas y en buena situación con la Corporación Pública para Supervisión y Seguro </w:t>
      </w:r>
      <w:r w:rsidRPr="002E14A2">
        <w:rPr>
          <w:rFonts w:ascii="Book Antiqua" w:hAnsi="Book Antiqua"/>
        </w:rPr>
        <w:lastRenderedPageBreak/>
        <w:t>de Cooperativas de Puerto Rico (COSSEC) o su sucesor, o en instituciones financieras</w:t>
      </w:r>
      <w:r w:rsidRPr="002E14A2">
        <w:rPr>
          <w:rFonts w:ascii="Book Antiqua" w:hAnsi="Book Antiqua"/>
          <w:b/>
          <w:bCs/>
        </w:rPr>
        <w:t xml:space="preserve"> [no]</w:t>
      </w:r>
      <w:r w:rsidRPr="002E14A2">
        <w:rPr>
          <w:rFonts w:ascii="Book Antiqua" w:hAnsi="Book Antiqua"/>
        </w:rPr>
        <w:t xml:space="preserve"> reguladas </w:t>
      </w:r>
      <w:r w:rsidR="001911A2">
        <w:rPr>
          <w:rFonts w:ascii="Book Antiqua" w:hAnsi="Book Antiqua"/>
          <w:i/>
          <w:iCs/>
        </w:rPr>
        <w:t xml:space="preserve">o no </w:t>
      </w:r>
      <w:r w:rsidRPr="002E14A2">
        <w:rPr>
          <w:rFonts w:ascii="Book Antiqua" w:hAnsi="Book Antiqua"/>
        </w:rPr>
        <w:t xml:space="preserve">por el Federal </w:t>
      </w:r>
      <w:proofErr w:type="spellStart"/>
      <w:r w:rsidRPr="002E14A2">
        <w:rPr>
          <w:rFonts w:ascii="Book Antiqua" w:hAnsi="Book Antiqua"/>
        </w:rPr>
        <w:t>Deposit</w:t>
      </w:r>
      <w:proofErr w:type="spellEnd"/>
      <w:r w:rsidRPr="002E14A2">
        <w:rPr>
          <w:rFonts w:ascii="Book Antiqua" w:hAnsi="Book Antiqua"/>
        </w:rPr>
        <w:t xml:space="preserve"> </w:t>
      </w:r>
      <w:proofErr w:type="spellStart"/>
      <w:r w:rsidRPr="002E14A2">
        <w:rPr>
          <w:rFonts w:ascii="Book Antiqua" w:hAnsi="Book Antiqua"/>
        </w:rPr>
        <w:t>Insurance</w:t>
      </w:r>
      <w:proofErr w:type="spellEnd"/>
      <w:r w:rsidRPr="002E14A2">
        <w:rPr>
          <w:rFonts w:ascii="Book Antiqua" w:hAnsi="Book Antiqua"/>
        </w:rPr>
        <w:t xml:space="preserve"> </w:t>
      </w:r>
      <w:proofErr w:type="spellStart"/>
      <w:r w:rsidRPr="002E14A2">
        <w:rPr>
          <w:rFonts w:ascii="Book Antiqua" w:hAnsi="Book Antiqua"/>
        </w:rPr>
        <w:t>Corporation</w:t>
      </w:r>
      <w:proofErr w:type="spellEnd"/>
      <w:r w:rsidRPr="002E14A2">
        <w:rPr>
          <w:rFonts w:ascii="Book Antiqua" w:hAnsi="Book Antiqua"/>
        </w:rPr>
        <w:t xml:space="preserve"> (FDIC) a la fecha de aprobación de esta Ley, siempre que se realice en conformidad con el marco legal del Gobierno Federal y el Gobierno de Puerto Rico. </w:t>
      </w:r>
    </w:p>
    <w:p w14:paraId="588B5411" w14:textId="36734943" w:rsidR="002E14A2" w:rsidRDefault="002E14A2" w:rsidP="002E14A2">
      <w:pPr>
        <w:spacing w:line="480" w:lineRule="auto"/>
        <w:ind w:firstLine="720"/>
        <w:jc w:val="both"/>
        <w:rPr>
          <w:rFonts w:ascii="Book Antiqua" w:hAnsi="Book Antiqua"/>
        </w:rPr>
      </w:pPr>
      <w:r w:rsidRPr="002E14A2">
        <w:rPr>
          <w:rFonts w:ascii="Book Antiqua" w:hAnsi="Book Antiqua"/>
        </w:rPr>
        <w:t xml:space="preserve">(e) Para poder participar del mercado como depositario de fondos producto de las ventas de cannabis medicinal, la cooperativa o institución financiera </w:t>
      </w:r>
      <w:r w:rsidR="001911A2" w:rsidRPr="001911A2">
        <w:rPr>
          <w:rFonts w:ascii="Book Antiqua" w:hAnsi="Book Antiqua"/>
          <w:b/>
          <w:bCs/>
        </w:rPr>
        <w:t>[</w:t>
      </w:r>
      <w:r w:rsidRPr="001911A2">
        <w:rPr>
          <w:rFonts w:ascii="Book Antiqua" w:hAnsi="Book Antiqua"/>
          <w:b/>
          <w:bCs/>
        </w:rPr>
        <w:t>no</w:t>
      </w:r>
      <w:r w:rsidR="001911A2" w:rsidRPr="001911A2">
        <w:rPr>
          <w:rFonts w:ascii="Book Antiqua" w:hAnsi="Book Antiqua"/>
          <w:b/>
          <w:bCs/>
        </w:rPr>
        <w:t>]</w:t>
      </w:r>
      <w:r w:rsidRPr="002E14A2">
        <w:rPr>
          <w:rFonts w:ascii="Book Antiqua" w:hAnsi="Book Antiqua"/>
        </w:rPr>
        <w:t xml:space="preserve"> regulada </w:t>
      </w:r>
      <w:r w:rsidR="001911A2">
        <w:rPr>
          <w:rFonts w:ascii="Book Antiqua" w:hAnsi="Book Antiqua"/>
          <w:i/>
          <w:iCs/>
        </w:rPr>
        <w:t xml:space="preserve">o no </w:t>
      </w:r>
      <w:r w:rsidRPr="002E14A2">
        <w:rPr>
          <w:rFonts w:ascii="Book Antiqua" w:hAnsi="Book Antiqua"/>
        </w:rPr>
        <w:t xml:space="preserve">por el FDIC deberá tener no menos de un (1) año de operación en Puerto Rico </w:t>
      </w:r>
      <w:r w:rsidR="001911A2">
        <w:rPr>
          <w:rFonts w:ascii="Book Antiqua" w:hAnsi="Book Antiqua"/>
          <w:i/>
          <w:iCs/>
        </w:rPr>
        <w:t>o en cualquier otra jurisdicción d</w:t>
      </w:r>
      <w:r w:rsidR="00590FD3">
        <w:rPr>
          <w:rFonts w:ascii="Book Antiqua" w:hAnsi="Book Antiqua"/>
          <w:i/>
          <w:iCs/>
        </w:rPr>
        <w:t xml:space="preserve">e los Estados Unidos de América </w:t>
      </w:r>
      <w:r w:rsidRPr="002E14A2">
        <w:rPr>
          <w:rFonts w:ascii="Book Antiqua" w:hAnsi="Book Antiqua"/>
        </w:rPr>
        <w:t xml:space="preserve">previo a la aprobación de esta Ley, debidamente certificada y en buena situación con el </w:t>
      </w:r>
      <w:r w:rsidR="00590FD3">
        <w:rPr>
          <w:rFonts w:ascii="Book Antiqua" w:hAnsi="Book Antiqua"/>
          <w:i/>
          <w:iCs/>
        </w:rPr>
        <w:t xml:space="preserve">correspondiente </w:t>
      </w:r>
      <w:r w:rsidRPr="002E14A2">
        <w:rPr>
          <w:rFonts w:ascii="Book Antiqua" w:hAnsi="Book Antiqua"/>
        </w:rPr>
        <w:t>ente regulador.</w:t>
      </w:r>
    </w:p>
    <w:p w14:paraId="2710B23B" w14:textId="65BC0B40" w:rsidR="008A7FE5" w:rsidRPr="0076587D" w:rsidRDefault="008A7FE5" w:rsidP="002E14A2">
      <w:pPr>
        <w:spacing w:line="480" w:lineRule="auto"/>
        <w:ind w:firstLine="720"/>
        <w:jc w:val="both"/>
        <w:rPr>
          <w:rFonts w:ascii="Book Antiqua" w:hAnsi="Book Antiqua"/>
          <w:b/>
          <w:bCs/>
          <w:lang w:val="es-ES"/>
        </w:rPr>
      </w:pPr>
      <w:r w:rsidRPr="0076587D">
        <w:rPr>
          <w:rFonts w:ascii="Book Antiqua" w:hAnsi="Book Antiqua"/>
          <w:lang w:val="es-ES"/>
        </w:rPr>
        <w:t xml:space="preserve">Sección </w:t>
      </w:r>
      <w:r w:rsidR="00590FD3">
        <w:rPr>
          <w:rFonts w:ascii="Book Antiqua" w:hAnsi="Book Antiqua"/>
          <w:lang w:val="es-ES"/>
        </w:rPr>
        <w:t>2</w:t>
      </w:r>
      <w:r w:rsidR="00C3393C" w:rsidRPr="0076587D">
        <w:rPr>
          <w:rFonts w:ascii="Book Antiqua" w:hAnsi="Book Antiqua"/>
          <w:lang w:val="es-ES"/>
        </w:rPr>
        <w:t>. –</w:t>
      </w:r>
      <w:r w:rsidRPr="0076587D">
        <w:rPr>
          <w:rFonts w:ascii="Book Antiqua" w:hAnsi="Book Antiqua"/>
          <w:lang w:val="es-ES"/>
        </w:rPr>
        <w:t xml:space="preserve"> Vigencia.</w:t>
      </w:r>
    </w:p>
    <w:p w14:paraId="6FDBD968" w14:textId="0A089D72" w:rsidR="00F53C47" w:rsidRPr="00AB5763" w:rsidRDefault="008A7FE5" w:rsidP="002E14A2">
      <w:pPr>
        <w:pStyle w:val="Level4"/>
        <w:widowControl/>
        <w:spacing w:before="0" w:after="0" w:line="480" w:lineRule="auto"/>
        <w:ind w:firstLine="720"/>
        <w:contextualSpacing/>
        <w:jc w:val="both"/>
        <w:rPr>
          <w:rFonts w:ascii="Book Antiqua" w:hAnsi="Book Antiqua"/>
          <w:b w:val="0"/>
          <w:bCs w:val="0"/>
          <w:sz w:val="24"/>
          <w:szCs w:val="24"/>
          <w:lang w:val="es-ES"/>
        </w:rPr>
      </w:pPr>
      <w:r w:rsidRPr="0076587D">
        <w:rPr>
          <w:rFonts w:ascii="Book Antiqua" w:hAnsi="Book Antiqua"/>
          <w:b w:val="0"/>
          <w:bCs w:val="0"/>
          <w:sz w:val="24"/>
          <w:szCs w:val="24"/>
          <w:lang w:val="es-ES"/>
        </w:rPr>
        <w:t>Esta Ley comenzará a regir inmediatamente después de su aprobación.</w:t>
      </w:r>
    </w:p>
    <w:sectPr w:rsidR="00F53C47" w:rsidRPr="00AB5763" w:rsidSect="008A7FE5">
      <w:headerReference w:type="even" r:id="rId11"/>
      <w:headerReference w:type="default" r:id="rId12"/>
      <w:footerReference w:type="default" r:id="rId13"/>
      <w:type w:val="continuous"/>
      <w:pgSz w:w="12240" w:h="15840"/>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7D8AB4" w14:textId="77777777" w:rsidR="00AA0DF1" w:rsidRDefault="00AA0DF1">
      <w:r>
        <w:separator/>
      </w:r>
    </w:p>
  </w:endnote>
  <w:endnote w:type="continuationSeparator" w:id="0">
    <w:p w14:paraId="5F03B184" w14:textId="77777777" w:rsidR="00AA0DF1" w:rsidRDefault="00AA0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G Times (W1)">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8A7FE5" w14:paraId="1C6E6F5C" w14:textId="77777777" w:rsidTr="7F9E1A08">
      <w:trPr>
        <w:trHeight w:val="300"/>
      </w:trPr>
      <w:tc>
        <w:tcPr>
          <w:tcW w:w="3120" w:type="dxa"/>
        </w:tcPr>
        <w:p w14:paraId="4CCCFCA1" w14:textId="77777777" w:rsidR="008A7FE5" w:rsidRDefault="008A7FE5" w:rsidP="7F9E1A08">
          <w:pPr>
            <w:pStyle w:val="Encabezado"/>
            <w:ind w:left="-115"/>
          </w:pPr>
        </w:p>
      </w:tc>
      <w:tc>
        <w:tcPr>
          <w:tcW w:w="3120" w:type="dxa"/>
        </w:tcPr>
        <w:p w14:paraId="6F048CEB" w14:textId="77777777" w:rsidR="008A7FE5" w:rsidRDefault="008A7FE5" w:rsidP="7F9E1A08">
          <w:pPr>
            <w:pStyle w:val="Encabezado"/>
            <w:jc w:val="center"/>
          </w:pPr>
        </w:p>
      </w:tc>
      <w:tc>
        <w:tcPr>
          <w:tcW w:w="3120" w:type="dxa"/>
        </w:tcPr>
        <w:p w14:paraId="1C9F0ACF" w14:textId="77777777" w:rsidR="008A7FE5" w:rsidRDefault="008A7FE5" w:rsidP="7F9E1A08">
          <w:pPr>
            <w:pStyle w:val="Encabezado"/>
            <w:ind w:right="-115"/>
            <w:jc w:val="right"/>
          </w:pPr>
        </w:p>
      </w:tc>
    </w:tr>
  </w:tbl>
  <w:p w14:paraId="53B2CCD3" w14:textId="77777777" w:rsidR="008A7FE5" w:rsidRDefault="008A7FE5" w:rsidP="7F9E1A0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8A7FE5" w14:paraId="725BA59B" w14:textId="77777777" w:rsidTr="7F9E1A08">
      <w:trPr>
        <w:trHeight w:val="300"/>
      </w:trPr>
      <w:tc>
        <w:tcPr>
          <w:tcW w:w="3120" w:type="dxa"/>
        </w:tcPr>
        <w:p w14:paraId="524ADD32" w14:textId="77777777" w:rsidR="008A7FE5" w:rsidRDefault="008A7FE5" w:rsidP="7F9E1A08">
          <w:pPr>
            <w:pStyle w:val="Encabezado"/>
            <w:ind w:left="-115"/>
          </w:pPr>
        </w:p>
      </w:tc>
      <w:tc>
        <w:tcPr>
          <w:tcW w:w="3120" w:type="dxa"/>
        </w:tcPr>
        <w:p w14:paraId="1D14BB15" w14:textId="77777777" w:rsidR="008A7FE5" w:rsidRDefault="008A7FE5" w:rsidP="7F9E1A08">
          <w:pPr>
            <w:pStyle w:val="Encabezado"/>
            <w:jc w:val="center"/>
          </w:pPr>
        </w:p>
      </w:tc>
      <w:tc>
        <w:tcPr>
          <w:tcW w:w="3120" w:type="dxa"/>
        </w:tcPr>
        <w:p w14:paraId="3F59C808" w14:textId="77777777" w:rsidR="008A7FE5" w:rsidRDefault="008A7FE5" w:rsidP="7F9E1A08">
          <w:pPr>
            <w:pStyle w:val="Encabezado"/>
            <w:ind w:right="-115"/>
            <w:jc w:val="right"/>
          </w:pPr>
        </w:p>
      </w:tc>
    </w:tr>
  </w:tbl>
  <w:p w14:paraId="40ED2F2F" w14:textId="77777777" w:rsidR="008A7FE5" w:rsidRDefault="008A7FE5" w:rsidP="7F9E1A0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E4F46" w14:textId="77777777" w:rsidR="00AA0DF1" w:rsidRDefault="00AA0DF1">
      <w:r>
        <w:separator/>
      </w:r>
    </w:p>
  </w:footnote>
  <w:footnote w:type="continuationSeparator" w:id="0">
    <w:p w14:paraId="78E5A43B" w14:textId="77777777" w:rsidR="00AA0DF1" w:rsidRDefault="00AA0D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F71C2" w14:textId="77777777" w:rsidR="008A7FE5" w:rsidRPr="00256B74" w:rsidRDefault="008A7FE5">
    <w:pPr>
      <w:pStyle w:val="Encabezado"/>
      <w:framePr w:wrap="auto" w:vAnchor="text" w:hAnchor="margin" w:xAlign="center" w:y="1"/>
      <w:rPr>
        <w:rStyle w:val="Nmerodepgina"/>
        <w:rFonts w:ascii="CG Times (W1)" w:hAnsi="CG Times (W1)"/>
      </w:rPr>
    </w:pPr>
    <w:r w:rsidRPr="00256B74">
      <w:rPr>
        <w:rStyle w:val="Nmerodepgina"/>
        <w:rFonts w:ascii="CG Times (W1)" w:hAnsi="CG Times (W1)"/>
      </w:rPr>
      <w:fldChar w:fldCharType="begin"/>
    </w:r>
    <w:r w:rsidRPr="00256B74">
      <w:rPr>
        <w:rStyle w:val="Nmerodepgina"/>
        <w:rFonts w:ascii="CG Times (W1)" w:hAnsi="CG Times (W1)"/>
      </w:rPr>
      <w:instrText xml:space="preserve">PAGE  </w:instrText>
    </w:r>
    <w:r w:rsidRPr="00256B74">
      <w:rPr>
        <w:rStyle w:val="Nmerodepgina"/>
        <w:rFonts w:ascii="CG Times (W1)" w:hAnsi="CG Times (W1)"/>
      </w:rPr>
      <w:fldChar w:fldCharType="separate"/>
    </w:r>
    <w:r w:rsidRPr="00256B74">
      <w:rPr>
        <w:rStyle w:val="Nmerodepgina"/>
        <w:rFonts w:ascii="CG Times (W1)" w:hAnsi="CG Times (W1)"/>
      </w:rPr>
      <w:t>2</w:t>
    </w:r>
    <w:r w:rsidRPr="00256B74">
      <w:rPr>
        <w:rStyle w:val="Nmerodepgina"/>
        <w:rFonts w:ascii="CG Times (W1)" w:hAnsi="CG Times (W1)"/>
      </w:rPr>
      <w:fldChar w:fldCharType="end"/>
    </w:r>
  </w:p>
  <w:p w14:paraId="498C0574" w14:textId="77777777" w:rsidR="008A7FE5" w:rsidRPr="00256B74" w:rsidRDefault="008A7FE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9A0F2" w14:textId="77777777" w:rsidR="008A7FE5" w:rsidRPr="00D032E7" w:rsidRDefault="008A7FE5">
    <w:pPr>
      <w:pStyle w:val="Encabezado"/>
      <w:jc w:val="center"/>
      <w:rPr>
        <w:rFonts w:ascii="Book Antiqua" w:hAnsi="Book Antiqua"/>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31558" w14:textId="77777777" w:rsidR="008A7FE5" w:rsidRPr="00256B74" w:rsidRDefault="008A7FE5">
    <w:pPr>
      <w:pStyle w:val="Encabezado"/>
      <w:framePr w:wrap="around" w:vAnchor="text" w:hAnchor="margin" w:xAlign="center" w:y="1"/>
      <w:rPr>
        <w:rStyle w:val="Nmerodepgina"/>
      </w:rPr>
    </w:pPr>
    <w:r w:rsidRPr="00256B74">
      <w:rPr>
        <w:rStyle w:val="Nmerodepgina"/>
      </w:rPr>
      <w:fldChar w:fldCharType="begin"/>
    </w:r>
    <w:r w:rsidRPr="00256B74">
      <w:rPr>
        <w:rStyle w:val="Nmerodepgina"/>
      </w:rPr>
      <w:instrText xml:space="preserve">PAGE  </w:instrText>
    </w:r>
    <w:r w:rsidRPr="00256B74">
      <w:rPr>
        <w:rStyle w:val="Nmerodepgina"/>
      </w:rPr>
      <w:fldChar w:fldCharType="separate"/>
    </w:r>
    <w:r w:rsidRPr="00256B74">
      <w:rPr>
        <w:rStyle w:val="Nmerodepgina"/>
      </w:rPr>
      <w:t>1</w:t>
    </w:r>
    <w:r w:rsidRPr="00256B74">
      <w:rPr>
        <w:rStyle w:val="Nmerodepgina"/>
      </w:rPr>
      <w:fldChar w:fldCharType="end"/>
    </w:r>
  </w:p>
  <w:p w14:paraId="4686B4C6" w14:textId="77777777" w:rsidR="008A7FE5" w:rsidRPr="00256B74" w:rsidRDefault="008A7FE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17FDB" w14:textId="77777777" w:rsidR="008A7FE5" w:rsidRPr="00256B74" w:rsidRDefault="008A7FE5">
    <w:pPr>
      <w:pStyle w:val="Encabezado"/>
      <w:framePr w:wrap="around" w:vAnchor="text" w:hAnchor="margin" w:xAlign="center" w:y="1"/>
      <w:rPr>
        <w:rStyle w:val="Nmerodepgina"/>
      </w:rPr>
    </w:pPr>
    <w:r w:rsidRPr="00256B74">
      <w:rPr>
        <w:rStyle w:val="Nmerodepgina"/>
      </w:rPr>
      <w:fldChar w:fldCharType="begin"/>
    </w:r>
    <w:r w:rsidRPr="00256B74">
      <w:rPr>
        <w:rStyle w:val="Nmerodepgina"/>
      </w:rPr>
      <w:instrText xml:space="preserve">PAGE  </w:instrText>
    </w:r>
    <w:r w:rsidRPr="00256B74">
      <w:rPr>
        <w:rStyle w:val="Nmerodepgina"/>
      </w:rPr>
      <w:fldChar w:fldCharType="separate"/>
    </w:r>
    <w:r w:rsidRPr="00256B74">
      <w:rPr>
        <w:rStyle w:val="Nmerodepgina"/>
      </w:rPr>
      <w:t>10</w:t>
    </w:r>
    <w:r w:rsidRPr="00256B74">
      <w:rPr>
        <w:rStyle w:val="Nmerodepgina"/>
      </w:rPr>
      <w:fldChar w:fldCharType="end"/>
    </w:r>
  </w:p>
  <w:p w14:paraId="1F82F49D" w14:textId="77777777" w:rsidR="008A7FE5" w:rsidRPr="00256B74" w:rsidRDefault="008A7FE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F5473B"/>
    <w:multiLevelType w:val="hybridMultilevel"/>
    <w:tmpl w:val="0EE0017E"/>
    <w:lvl w:ilvl="0" w:tplc="9DF68DA2">
      <w:start w:val="1"/>
      <w:numFmt w:val="decimal"/>
      <w:lvlText w:val="%1."/>
      <w:lvlJc w:val="left"/>
      <w:pPr>
        <w:ind w:left="720" w:hanging="360"/>
      </w:pPr>
      <w:rPr>
        <w:rFonts w:hint="default"/>
        <w:lang w:val="es-E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72074F"/>
    <w:multiLevelType w:val="multilevel"/>
    <w:tmpl w:val="E0B8B158"/>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464544"/>
    <w:multiLevelType w:val="hybridMultilevel"/>
    <w:tmpl w:val="87FE7A28"/>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4DB13F99"/>
    <w:multiLevelType w:val="hybridMultilevel"/>
    <w:tmpl w:val="4FC6E142"/>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4F18161F"/>
    <w:multiLevelType w:val="hybridMultilevel"/>
    <w:tmpl w:val="A1E448B6"/>
    <w:lvl w:ilvl="0" w:tplc="650CEE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A12295"/>
    <w:multiLevelType w:val="hybridMultilevel"/>
    <w:tmpl w:val="EC5A011E"/>
    <w:lvl w:ilvl="0" w:tplc="01F20DC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2722848">
    <w:abstractNumId w:val="3"/>
  </w:num>
  <w:num w:numId="2" w16cid:durableId="1181317790">
    <w:abstractNumId w:val="2"/>
  </w:num>
  <w:num w:numId="3" w16cid:durableId="79568611">
    <w:abstractNumId w:val="4"/>
  </w:num>
  <w:num w:numId="4" w16cid:durableId="1275942687">
    <w:abstractNumId w:val="5"/>
  </w:num>
  <w:num w:numId="5" w16cid:durableId="1685092760">
    <w:abstractNumId w:val="0"/>
  </w:num>
  <w:num w:numId="6" w16cid:durableId="817846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FE5"/>
    <w:rsid w:val="000072B6"/>
    <w:rsid w:val="000207D7"/>
    <w:rsid w:val="0004754C"/>
    <w:rsid w:val="00054B30"/>
    <w:rsid w:val="00080FF8"/>
    <w:rsid w:val="000909BE"/>
    <w:rsid w:val="0009113C"/>
    <w:rsid w:val="000C0461"/>
    <w:rsid w:val="000D73D3"/>
    <w:rsid w:val="000E0FE3"/>
    <w:rsid w:val="00102D18"/>
    <w:rsid w:val="00105CB6"/>
    <w:rsid w:val="00111AE1"/>
    <w:rsid w:val="00115C03"/>
    <w:rsid w:val="0013020D"/>
    <w:rsid w:val="001324B4"/>
    <w:rsid w:val="00147A88"/>
    <w:rsid w:val="00154C3A"/>
    <w:rsid w:val="00167376"/>
    <w:rsid w:val="0018607A"/>
    <w:rsid w:val="0019118D"/>
    <w:rsid w:val="001911A2"/>
    <w:rsid w:val="00197311"/>
    <w:rsid w:val="001A4109"/>
    <w:rsid w:val="001B78F9"/>
    <w:rsid w:val="001C7CDA"/>
    <w:rsid w:val="001E4545"/>
    <w:rsid w:val="00214E99"/>
    <w:rsid w:val="0022272C"/>
    <w:rsid w:val="00231EDC"/>
    <w:rsid w:val="0023690A"/>
    <w:rsid w:val="0024122F"/>
    <w:rsid w:val="002423A7"/>
    <w:rsid w:val="0024638F"/>
    <w:rsid w:val="00255CFE"/>
    <w:rsid w:val="00263EAC"/>
    <w:rsid w:val="00270113"/>
    <w:rsid w:val="002B6366"/>
    <w:rsid w:val="002E14A2"/>
    <w:rsid w:val="002F036C"/>
    <w:rsid w:val="002F137B"/>
    <w:rsid w:val="002F41E9"/>
    <w:rsid w:val="002F4A34"/>
    <w:rsid w:val="003141CD"/>
    <w:rsid w:val="00314741"/>
    <w:rsid w:val="00343C8A"/>
    <w:rsid w:val="00350575"/>
    <w:rsid w:val="00350B6B"/>
    <w:rsid w:val="003539F8"/>
    <w:rsid w:val="00356970"/>
    <w:rsid w:val="003618A6"/>
    <w:rsid w:val="003641FD"/>
    <w:rsid w:val="003776F3"/>
    <w:rsid w:val="00385184"/>
    <w:rsid w:val="003955E0"/>
    <w:rsid w:val="003A55C4"/>
    <w:rsid w:val="003A66B4"/>
    <w:rsid w:val="003A6B92"/>
    <w:rsid w:val="003B3677"/>
    <w:rsid w:val="003B5B04"/>
    <w:rsid w:val="003D03F2"/>
    <w:rsid w:val="003D2805"/>
    <w:rsid w:val="003D29A6"/>
    <w:rsid w:val="003E68BB"/>
    <w:rsid w:val="003F0CFB"/>
    <w:rsid w:val="003F63D2"/>
    <w:rsid w:val="004012E1"/>
    <w:rsid w:val="00402B46"/>
    <w:rsid w:val="00424A8A"/>
    <w:rsid w:val="0043583B"/>
    <w:rsid w:val="004421FB"/>
    <w:rsid w:val="00470038"/>
    <w:rsid w:val="00480C56"/>
    <w:rsid w:val="0049554C"/>
    <w:rsid w:val="00495E2A"/>
    <w:rsid w:val="004A12A2"/>
    <w:rsid w:val="004B040A"/>
    <w:rsid w:val="004B2426"/>
    <w:rsid w:val="004E3911"/>
    <w:rsid w:val="00503BC0"/>
    <w:rsid w:val="0051599F"/>
    <w:rsid w:val="00522FDC"/>
    <w:rsid w:val="00590FD3"/>
    <w:rsid w:val="00594A25"/>
    <w:rsid w:val="00594DC5"/>
    <w:rsid w:val="005A5E73"/>
    <w:rsid w:val="005B1A5B"/>
    <w:rsid w:val="005C01CD"/>
    <w:rsid w:val="005C5C2C"/>
    <w:rsid w:val="005D3129"/>
    <w:rsid w:val="005E1C93"/>
    <w:rsid w:val="005E759B"/>
    <w:rsid w:val="006011B1"/>
    <w:rsid w:val="006022ED"/>
    <w:rsid w:val="00616668"/>
    <w:rsid w:val="00632A0F"/>
    <w:rsid w:val="006408CB"/>
    <w:rsid w:val="0065639E"/>
    <w:rsid w:val="006563FB"/>
    <w:rsid w:val="00662A6A"/>
    <w:rsid w:val="006B4D9B"/>
    <w:rsid w:val="006C3518"/>
    <w:rsid w:val="006F1C86"/>
    <w:rsid w:val="0070483F"/>
    <w:rsid w:val="00705EDF"/>
    <w:rsid w:val="00734E51"/>
    <w:rsid w:val="00750384"/>
    <w:rsid w:val="00763910"/>
    <w:rsid w:val="0076512E"/>
    <w:rsid w:val="00780C7D"/>
    <w:rsid w:val="00792517"/>
    <w:rsid w:val="00796209"/>
    <w:rsid w:val="007B0700"/>
    <w:rsid w:val="007C30EE"/>
    <w:rsid w:val="007C35CA"/>
    <w:rsid w:val="007C48BA"/>
    <w:rsid w:val="007D7365"/>
    <w:rsid w:val="007E06EB"/>
    <w:rsid w:val="007E7990"/>
    <w:rsid w:val="007F04B4"/>
    <w:rsid w:val="007F244C"/>
    <w:rsid w:val="00816B6A"/>
    <w:rsid w:val="00822213"/>
    <w:rsid w:val="00840B55"/>
    <w:rsid w:val="00845F75"/>
    <w:rsid w:val="00847326"/>
    <w:rsid w:val="0085558C"/>
    <w:rsid w:val="0086321D"/>
    <w:rsid w:val="008714D9"/>
    <w:rsid w:val="00884B75"/>
    <w:rsid w:val="008903B4"/>
    <w:rsid w:val="00891521"/>
    <w:rsid w:val="00896052"/>
    <w:rsid w:val="008A7FE5"/>
    <w:rsid w:val="008B32D7"/>
    <w:rsid w:val="008F342D"/>
    <w:rsid w:val="009126BF"/>
    <w:rsid w:val="00921DCE"/>
    <w:rsid w:val="00925335"/>
    <w:rsid w:val="00955ABF"/>
    <w:rsid w:val="009621EC"/>
    <w:rsid w:val="00966A55"/>
    <w:rsid w:val="009722F8"/>
    <w:rsid w:val="00980F2D"/>
    <w:rsid w:val="0098779B"/>
    <w:rsid w:val="00997107"/>
    <w:rsid w:val="009B777E"/>
    <w:rsid w:val="009E39E6"/>
    <w:rsid w:val="009E42EA"/>
    <w:rsid w:val="009F27D6"/>
    <w:rsid w:val="00A2356E"/>
    <w:rsid w:val="00A24CE3"/>
    <w:rsid w:val="00A263A9"/>
    <w:rsid w:val="00A36027"/>
    <w:rsid w:val="00A44AAB"/>
    <w:rsid w:val="00A44FFC"/>
    <w:rsid w:val="00A51430"/>
    <w:rsid w:val="00A6251F"/>
    <w:rsid w:val="00A62D3B"/>
    <w:rsid w:val="00A80337"/>
    <w:rsid w:val="00A83216"/>
    <w:rsid w:val="00A85CA4"/>
    <w:rsid w:val="00A90D1B"/>
    <w:rsid w:val="00A912A2"/>
    <w:rsid w:val="00AA0DF1"/>
    <w:rsid w:val="00AA3897"/>
    <w:rsid w:val="00AA4276"/>
    <w:rsid w:val="00AB0234"/>
    <w:rsid w:val="00AB5763"/>
    <w:rsid w:val="00AC595A"/>
    <w:rsid w:val="00AF78F6"/>
    <w:rsid w:val="00B033A9"/>
    <w:rsid w:val="00B522DD"/>
    <w:rsid w:val="00B60E70"/>
    <w:rsid w:val="00BA7892"/>
    <w:rsid w:val="00BD3116"/>
    <w:rsid w:val="00BD71DF"/>
    <w:rsid w:val="00BD75A8"/>
    <w:rsid w:val="00C262E1"/>
    <w:rsid w:val="00C315A1"/>
    <w:rsid w:val="00C3393C"/>
    <w:rsid w:val="00C3525D"/>
    <w:rsid w:val="00C36CEB"/>
    <w:rsid w:val="00C6220A"/>
    <w:rsid w:val="00C64969"/>
    <w:rsid w:val="00C66E63"/>
    <w:rsid w:val="00C73850"/>
    <w:rsid w:val="00C742A2"/>
    <w:rsid w:val="00C84BC8"/>
    <w:rsid w:val="00C90C6F"/>
    <w:rsid w:val="00C9504E"/>
    <w:rsid w:val="00CA1D07"/>
    <w:rsid w:val="00CA68F0"/>
    <w:rsid w:val="00CB3587"/>
    <w:rsid w:val="00CB7D6B"/>
    <w:rsid w:val="00CC550B"/>
    <w:rsid w:val="00CD2E5F"/>
    <w:rsid w:val="00CF21CF"/>
    <w:rsid w:val="00D04D6D"/>
    <w:rsid w:val="00D04E2E"/>
    <w:rsid w:val="00D137D9"/>
    <w:rsid w:val="00D14367"/>
    <w:rsid w:val="00D316E6"/>
    <w:rsid w:val="00D35159"/>
    <w:rsid w:val="00D373E6"/>
    <w:rsid w:val="00D62F39"/>
    <w:rsid w:val="00D80195"/>
    <w:rsid w:val="00D819FF"/>
    <w:rsid w:val="00D82141"/>
    <w:rsid w:val="00D82D56"/>
    <w:rsid w:val="00D95A01"/>
    <w:rsid w:val="00D9654C"/>
    <w:rsid w:val="00DB4406"/>
    <w:rsid w:val="00DC74CA"/>
    <w:rsid w:val="00DD6FD6"/>
    <w:rsid w:val="00DE765D"/>
    <w:rsid w:val="00E016FD"/>
    <w:rsid w:val="00E74E66"/>
    <w:rsid w:val="00E75016"/>
    <w:rsid w:val="00E81EFE"/>
    <w:rsid w:val="00E82D9A"/>
    <w:rsid w:val="00EC68A4"/>
    <w:rsid w:val="00EE3332"/>
    <w:rsid w:val="00EE46A7"/>
    <w:rsid w:val="00F00ECA"/>
    <w:rsid w:val="00F17AB9"/>
    <w:rsid w:val="00F217B3"/>
    <w:rsid w:val="00F53C47"/>
    <w:rsid w:val="00F66F71"/>
    <w:rsid w:val="00F836F8"/>
    <w:rsid w:val="00F84EA7"/>
    <w:rsid w:val="00FA431A"/>
    <w:rsid w:val="00FB5F70"/>
    <w:rsid w:val="00FD3F49"/>
    <w:rsid w:val="00FE3FBA"/>
    <w:rsid w:val="00FF2F5F"/>
    <w:rsid w:val="00FF74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65D2F"/>
  <w15:chartTrackingRefBased/>
  <w15:docId w15:val="{4EECC274-A87F-4D37-8763-3E90B78E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FE5"/>
    <w:pPr>
      <w:spacing w:after="0" w:line="240" w:lineRule="auto"/>
    </w:pPr>
    <w:rPr>
      <w:rFonts w:ascii="Times New Roman" w:eastAsia="Calibri" w:hAnsi="Times New Roman" w:cs="Times New Roman"/>
      <w:kern w:val="0"/>
      <w:lang w:val="es-PR"/>
      <w14:ligatures w14:val="none"/>
    </w:rPr>
  </w:style>
  <w:style w:type="paragraph" w:styleId="Ttulo1">
    <w:name w:val="heading 1"/>
    <w:basedOn w:val="Normal"/>
    <w:next w:val="Normal"/>
    <w:link w:val="Ttulo1Car"/>
    <w:uiPriority w:val="9"/>
    <w:qFormat/>
    <w:rsid w:val="008A7FE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8A7FE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8A7FE5"/>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8A7FE5"/>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8A7FE5"/>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8A7FE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A7FE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A7FE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A7FE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A7FE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8A7FE5"/>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8A7FE5"/>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8A7FE5"/>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8A7FE5"/>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8A7FE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A7FE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A7FE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A7FE5"/>
    <w:rPr>
      <w:rFonts w:eastAsiaTheme="majorEastAsia" w:cstheme="majorBidi"/>
      <w:color w:val="272727" w:themeColor="text1" w:themeTint="D8"/>
    </w:rPr>
  </w:style>
  <w:style w:type="paragraph" w:styleId="Ttulo">
    <w:name w:val="Title"/>
    <w:basedOn w:val="Normal"/>
    <w:next w:val="Normal"/>
    <w:link w:val="TtuloCar"/>
    <w:uiPriority w:val="10"/>
    <w:qFormat/>
    <w:rsid w:val="008A7FE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A7FE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A7FE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A7FE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A7FE5"/>
    <w:pPr>
      <w:spacing w:before="160"/>
      <w:jc w:val="center"/>
    </w:pPr>
    <w:rPr>
      <w:i/>
      <w:iCs/>
      <w:color w:val="404040" w:themeColor="text1" w:themeTint="BF"/>
    </w:rPr>
  </w:style>
  <w:style w:type="character" w:customStyle="1" w:styleId="CitaCar">
    <w:name w:val="Cita Car"/>
    <w:basedOn w:val="Fuentedeprrafopredeter"/>
    <w:link w:val="Cita"/>
    <w:uiPriority w:val="29"/>
    <w:rsid w:val="008A7FE5"/>
    <w:rPr>
      <w:i/>
      <w:iCs/>
      <w:color w:val="404040" w:themeColor="text1" w:themeTint="BF"/>
    </w:rPr>
  </w:style>
  <w:style w:type="paragraph" w:styleId="Prrafodelista">
    <w:name w:val="List Paragraph"/>
    <w:basedOn w:val="Normal"/>
    <w:uiPriority w:val="34"/>
    <w:qFormat/>
    <w:rsid w:val="008A7FE5"/>
    <w:pPr>
      <w:ind w:left="720"/>
      <w:contextualSpacing/>
    </w:pPr>
  </w:style>
  <w:style w:type="character" w:styleId="nfasisintenso">
    <w:name w:val="Intense Emphasis"/>
    <w:basedOn w:val="Fuentedeprrafopredeter"/>
    <w:uiPriority w:val="21"/>
    <w:qFormat/>
    <w:rsid w:val="008A7FE5"/>
    <w:rPr>
      <w:i/>
      <w:iCs/>
      <w:color w:val="2E74B5" w:themeColor="accent1" w:themeShade="BF"/>
    </w:rPr>
  </w:style>
  <w:style w:type="paragraph" w:styleId="Citadestacada">
    <w:name w:val="Intense Quote"/>
    <w:basedOn w:val="Normal"/>
    <w:next w:val="Normal"/>
    <w:link w:val="CitadestacadaCar"/>
    <w:uiPriority w:val="30"/>
    <w:qFormat/>
    <w:rsid w:val="008A7FE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8A7FE5"/>
    <w:rPr>
      <w:i/>
      <w:iCs/>
      <w:color w:val="2E74B5" w:themeColor="accent1" w:themeShade="BF"/>
    </w:rPr>
  </w:style>
  <w:style w:type="character" w:styleId="Referenciaintensa">
    <w:name w:val="Intense Reference"/>
    <w:basedOn w:val="Fuentedeprrafopredeter"/>
    <w:uiPriority w:val="32"/>
    <w:qFormat/>
    <w:rsid w:val="008A7FE5"/>
    <w:rPr>
      <w:b/>
      <w:bCs/>
      <w:smallCaps/>
      <w:color w:val="2E74B5" w:themeColor="accent1" w:themeShade="BF"/>
      <w:spacing w:val="5"/>
    </w:rPr>
  </w:style>
  <w:style w:type="paragraph" w:styleId="Encabezado">
    <w:name w:val="header"/>
    <w:basedOn w:val="Normal"/>
    <w:link w:val="EncabezadoCar"/>
    <w:uiPriority w:val="99"/>
    <w:unhideWhenUsed/>
    <w:rsid w:val="008A7FE5"/>
    <w:pPr>
      <w:tabs>
        <w:tab w:val="center" w:pos="4680"/>
        <w:tab w:val="right" w:pos="9360"/>
      </w:tabs>
    </w:pPr>
  </w:style>
  <w:style w:type="character" w:customStyle="1" w:styleId="EncabezadoCar">
    <w:name w:val="Encabezado Car"/>
    <w:basedOn w:val="Fuentedeprrafopredeter"/>
    <w:link w:val="Encabezado"/>
    <w:uiPriority w:val="99"/>
    <w:rsid w:val="008A7FE5"/>
    <w:rPr>
      <w:rFonts w:ascii="Times New Roman" w:eastAsia="Calibri" w:hAnsi="Times New Roman" w:cs="Times New Roman"/>
      <w:kern w:val="0"/>
      <w:lang w:val="es-PR"/>
      <w14:ligatures w14:val="none"/>
    </w:rPr>
  </w:style>
  <w:style w:type="character" w:styleId="Nmerodepgina">
    <w:name w:val="page number"/>
    <w:basedOn w:val="Fuentedeprrafopredeter"/>
    <w:uiPriority w:val="99"/>
    <w:rsid w:val="008A7FE5"/>
  </w:style>
  <w:style w:type="paragraph" w:styleId="Sinespaciado">
    <w:name w:val="No Spacing"/>
    <w:uiPriority w:val="1"/>
    <w:qFormat/>
    <w:rsid w:val="008A7FE5"/>
    <w:pPr>
      <w:spacing w:after="0" w:line="240" w:lineRule="auto"/>
    </w:pPr>
    <w:rPr>
      <w:rFonts w:ascii="Calibri" w:eastAsia="Calibri" w:hAnsi="Calibri" w:cs="Times New Roman"/>
      <w:kern w:val="0"/>
      <w:sz w:val="22"/>
      <w:szCs w:val="22"/>
      <w14:ligatures w14:val="none"/>
    </w:rPr>
  </w:style>
  <w:style w:type="character" w:customStyle="1" w:styleId="s2">
    <w:name w:val="s2"/>
    <w:basedOn w:val="Fuentedeprrafopredeter"/>
    <w:rsid w:val="008A7FE5"/>
  </w:style>
  <w:style w:type="paragraph" w:customStyle="1" w:styleId="Level4">
    <w:name w:val="Level4"/>
    <w:uiPriority w:val="99"/>
    <w:rsid w:val="008A7FE5"/>
    <w:pPr>
      <w:widowControl w:val="0"/>
      <w:autoSpaceDE w:val="0"/>
      <w:autoSpaceDN w:val="0"/>
      <w:adjustRightInd w:val="0"/>
      <w:spacing w:before="180" w:after="180" w:line="240" w:lineRule="auto"/>
      <w:jc w:val="center"/>
    </w:pPr>
    <w:rPr>
      <w:rFonts w:ascii="Times New Roman" w:eastAsia="Times New Roman" w:hAnsi="Times New Roman" w:cs="Times New Roman"/>
      <w:b/>
      <w:bCs/>
      <w:kern w:val="0"/>
      <w:sz w:val="28"/>
      <w:szCs w:val="28"/>
      <w:lang w:val="es-PR" w:eastAsia="es-PR"/>
      <w14:ligatures w14:val="none"/>
    </w:rPr>
  </w:style>
  <w:style w:type="paragraph" w:styleId="Piedepgina">
    <w:name w:val="footer"/>
    <w:basedOn w:val="Normal"/>
    <w:link w:val="PiedepginaCar"/>
    <w:uiPriority w:val="99"/>
    <w:unhideWhenUsed/>
    <w:rsid w:val="008A7FE5"/>
    <w:pPr>
      <w:tabs>
        <w:tab w:val="center" w:pos="4680"/>
        <w:tab w:val="right" w:pos="9360"/>
      </w:tabs>
    </w:pPr>
  </w:style>
  <w:style w:type="character" w:customStyle="1" w:styleId="PiedepginaCar">
    <w:name w:val="Pie de página Car"/>
    <w:basedOn w:val="Fuentedeprrafopredeter"/>
    <w:link w:val="Piedepgina"/>
    <w:uiPriority w:val="99"/>
    <w:rsid w:val="008A7FE5"/>
    <w:rPr>
      <w:rFonts w:ascii="Times New Roman" w:eastAsia="Calibri" w:hAnsi="Times New Roman" w:cs="Times New Roman"/>
      <w:kern w:val="0"/>
      <w:lang w:val="es-PR"/>
      <w14:ligatures w14:val="none"/>
    </w:rPr>
  </w:style>
  <w:style w:type="paragraph" w:customStyle="1" w:styleId="Default">
    <w:name w:val="Default"/>
    <w:rsid w:val="008A7FE5"/>
    <w:pPr>
      <w:autoSpaceDE w:val="0"/>
      <w:autoSpaceDN w:val="0"/>
      <w:adjustRightInd w:val="0"/>
      <w:spacing w:after="0" w:line="240" w:lineRule="auto"/>
    </w:pPr>
    <w:rPr>
      <w:rFonts w:ascii="Times New Roman" w:hAnsi="Times New Roman" w:cs="Times New Roman"/>
      <w:color w:val="000000"/>
      <w:kern w:val="0"/>
    </w:rPr>
  </w:style>
  <w:style w:type="character" w:styleId="Nmerodelnea">
    <w:name w:val="line number"/>
    <w:basedOn w:val="Fuentedeprrafopredeter"/>
    <w:uiPriority w:val="99"/>
    <w:semiHidden/>
    <w:unhideWhenUsed/>
    <w:rsid w:val="008A7F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70DE7-6A30-43DE-9E0D-14D83593C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773</Words>
  <Characters>4312</Characters>
  <Application>Microsoft Office Word</Application>
  <DocSecurity>0</DocSecurity>
  <Lines>93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orh</dc:creator>
  <cp:keywords/>
  <dc:description/>
  <cp:lastModifiedBy>Rocío Alayón Morell</cp:lastModifiedBy>
  <cp:revision>3</cp:revision>
  <cp:lastPrinted>2025-10-31T17:49:00Z</cp:lastPrinted>
  <dcterms:created xsi:type="dcterms:W3CDTF">2026-02-02T19:25:00Z</dcterms:created>
  <dcterms:modified xsi:type="dcterms:W3CDTF">2026-02-03T15:01:00Z</dcterms:modified>
</cp:coreProperties>
</file>