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FD8B6" w14:textId="77777777" w:rsidR="00C168EF" w:rsidRPr="00BB3B34" w:rsidRDefault="00C168EF" w:rsidP="00C75A62">
      <w:pPr>
        <w:spacing w:after="0" w:line="240" w:lineRule="auto"/>
        <w:jc w:val="center"/>
        <w:rPr>
          <w:rFonts w:ascii="Book Antiqua" w:eastAsia="Times New Roman" w:hAnsi="Book Antiqua" w:cs="Times New Roman"/>
          <w:kern w:val="0"/>
          <w:sz w:val="28"/>
          <w:szCs w:val="20"/>
          <w:lang w:eastAsia="en-US"/>
          <w14:ligatures w14:val="none"/>
        </w:rPr>
      </w:pPr>
      <w:r w:rsidRPr="00BB3B34">
        <w:rPr>
          <w:rFonts w:ascii="Book Antiqua" w:eastAsia="Times New Roman" w:hAnsi="Book Antiqua" w:cs="Times New Roman"/>
          <w:kern w:val="0"/>
          <w:sz w:val="28"/>
          <w:szCs w:val="20"/>
          <w:lang w:eastAsia="en-US"/>
          <w14:ligatures w14:val="none"/>
        </w:rPr>
        <w:t>GOBIERNO DE PUERTO RICO</w:t>
      </w:r>
    </w:p>
    <w:p w14:paraId="5399BE8B" w14:textId="77777777" w:rsidR="00C168EF" w:rsidRPr="00BB3B34" w:rsidRDefault="00C168EF" w:rsidP="00C75A62">
      <w:pPr>
        <w:spacing w:after="0" w:line="240" w:lineRule="auto"/>
        <w:jc w:val="center"/>
        <w:rPr>
          <w:rFonts w:ascii="Book Antiqua" w:eastAsia="Times New Roman" w:hAnsi="Book Antiqua" w:cs="Times New Roman"/>
          <w:kern w:val="0"/>
          <w:szCs w:val="20"/>
          <w:lang w:eastAsia="en-US"/>
          <w14:ligatures w14:val="none"/>
        </w:rPr>
      </w:pPr>
    </w:p>
    <w:p w14:paraId="4C2FC113" w14:textId="6B4FC35C" w:rsidR="00C168EF" w:rsidRPr="00BB3B34" w:rsidRDefault="00C168EF" w:rsidP="00C75A62">
      <w:pPr>
        <w:tabs>
          <w:tab w:val="left" w:pos="648"/>
          <w:tab w:val="right" w:pos="7776"/>
          <w:tab w:val="left" w:pos="7848"/>
        </w:tabs>
        <w:spacing w:after="0" w:line="240" w:lineRule="auto"/>
        <w:rPr>
          <w:rFonts w:ascii="Book Antiqua" w:eastAsia="Times New Roman" w:hAnsi="Book Antiqua" w:cs="Times New Roman"/>
          <w:kern w:val="0"/>
          <w:szCs w:val="20"/>
          <w:lang w:eastAsia="en-US"/>
          <w14:ligatures w14:val="none"/>
        </w:rPr>
      </w:pPr>
      <w:r w:rsidRPr="00BB3B34">
        <w:rPr>
          <w:rFonts w:ascii="Book Antiqua" w:eastAsia="Times New Roman" w:hAnsi="Book Antiqua" w:cs="Times New Roman"/>
          <w:kern w:val="0"/>
          <w:szCs w:val="20"/>
          <w:lang w:eastAsia="en-US"/>
          <w14:ligatures w14:val="none"/>
        </w:rPr>
        <w:t xml:space="preserve">20 </w:t>
      </w:r>
      <w:proofErr w:type="spellStart"/>
      <w:r w:rsidRPr="00BB3B34">
        <w:rPr>
          <w:rFonts w:ascii="Book Antiqua" w:eastAsia="Times New Roman" w:hAnsi="Book Antiqua" w:cs="Times New Roman"/>
          <w:kern w:val="0"/>
          <w:szCs w:val="20"/>
          <w:vertAlign w:val="superscript"/>
          <w:lang w:eastAsia="en-US"/>
          <w14:ligatures w14:val="none"/>
        </w:rPr>
        <w:t>ma</w:t>
      </w:r>
      <w:proofErr w:type="spellEnd"/>
      <w:r w:rsidRPr="00BB3B34">
        <w:rPr>
          <w:rFonts w:ascii="Book Antiqua" w:eastAsia="Times New Roman" w:hAnsi="Book Antiqua" w:cs="Times New Roman"/>
          <w:kern w:val="0"/>
          <w:szCs w:val="20"/>
          <w:lang w:eastAsia="en-US"/>
          <w14:ligatures w14:val="none"/>
        </w:rPr>
        <w:tab/>
        <w:t>Asamblea</w:t>
      </w:r>
      <w:r w:rsidRPr="00BB3B34">
        <w:rPr>
          <w:rFonts w:ascii="Book Antiqua" w:eastAsia="Times New Roman" w:hAnsi="Book Antiqua" w:cs="Times New Roman"/>
          <w:kern w:val="0"/>
          <w:szCs w:val="20"/>
          <w:lang w:eastAsia="en-US"/>
          <w14:ligatures w14:val="none"/>
        </w:rPr>
        <w:tab/>
      </w:r>
      <w:r w:rsidR="005872EC" w:rsidRPr="004D7610">
        <w:rPr>
          <w:rFonts w:ascii="Book Antiqua" w:eastAsia="Times New Roman" w:hAnsi="Book Antiqua" w:cs="Times New Roman"/>
          <w:kern w:val="0"/>
          <w:szCs w:val="20"/>
          <w:lang w:eastAsia="en-US"/>
          <w14:ligatures w14:val="none"/>
        </w:rPr>
        <w:t>3</w:t>
      </w:r>
      <w:r w:rsidRPr="004D7610">
        <w:rPr>
          <w:rFonts w:ascii="Book Antiqua" w:eastAsia="Times New Roman" w:hAnsi="Book Antiqua" w:cs="Times New Roman"/>
          <w:kern w:val="0"/>
          <w:szCs w:val="20"/>
          <w:lang w:eastAsia="en-US"/>
          <w14:ligatures w14:val="none"/>
        </w:rPr>
        <w:t xml:space="preserve"> </w:t>
      </w:r>
      <w:proofErr w:type="spellStart"/>
      <w:r w:rsidR="005872EC" w:rsidRPr="004D7610">
        <w:rPr>
          <w:rFonts w:ascii="Book Antiqua" w:eastAsia="Times New Roman" w:hAnsi="Book Antiqua" w:cs="Times New Roman"/>
          <w:kern w:val="0"/>
          <w:szCs w:val="20"/>
          <w:vertAlign w:val="superscript"/>
          <w:lang w:eastAsia="en-US"/>
          <w14:ligatures w14:val="none"/>
        </w:rPr>
        <w:t>r</w:t>
      </w:r>
      <w:r w:rsidRPr="004D7610">
        <w:rPr>
          <w:rFonts w:ascii="Book Antiqua" w:eastAsia="Times New Roman" w:hAnsi="Book Antiqua" w:cs="Times New Roman"/>
          <w:kern w:val="0"/>
          <w:szCs w:val="20"/>
          <w:vertAlign w:val="superscript"/>
          <w:lang w:eastAsia="en-US"/>
          <w14:ligatures w14:val="none"/>
        </w:rPr>
        <w:t>a</w:t>
      </w:r>
      <w:proofErr w:type="spellEnd"/>
      <w:r w:rsidRPr="004D7610">
        <w:rPr>
          <w:rFonts w:ascii="Book Antiqua" w:eastAsia="Times New Roman" w:hAnsi="Book Antiqua" w:cs="Times New Roman"/>
          <w:kern w:val="0"/>
          <w:szCs w:val="20"/>
          <w:lang w:eastAsia="en-US"/>
          <w14:ligatures w14:val="none"/>
        </w:rPr>
        <w:tab/>
      </w:r>
      <w:r w:rsidRPr="00BB3B34">
        <w:rPr>
          <w:rFonts w:ascii="Book Antiqua" w:eastAsia="Times New Roman" w:hAnsi="Book Antiqua" w:cs="Times New Roman"/>
          <w:kern w:val="0"/>
          <w:szCs w:val="20"/>
          <w:lang w:eastAsia="en-US"/>
          <w14:ligatures w14:val="none"/>
        </w:rPr>
        <w:t>Sesión</w:t>
      </w:r>
    </w:p>
    <w:p w14:paraId="5F0EC2ED" w14:textId="77777777" w:rsidR="00C168EF" w:rsidRPr="00BB3B34" w:rsidRDefault="00C168EF" w:rsidP="00C75A62">
      <w:pPr>
        <w:tabs>
          <w:tab w:val="left" w:pos="648"/>
          <w:tab w:val="right" w:pos="7776"/>
          <w:tab w:val="left" w:pos="7848"/>
        </w:tabs>
        <w:spacing w:after="0" w:line="240" w:lineRule="auto"/>
        <w:rPr>
          <w:rFonts w:ascii="Book Antiqua" w:eastAsia="Times New Roman" w:hAnsi="Book Antiqua" w:cs="Times New Roman"/>
          <w:kern w:val="0"/>
          <w:szCs w:val="20"/>
          <w:lang w:eastAsia="en-US"/>
          <w14:ligatures w14:val="none"/>
        </w:rPr>
      </w:pPr>
      <w:r w:rsidRPr="00BB3B34">
        <w:rPr>
          <w:rFonts w:ascii="Book Antiqua" w:eastAsia="Times New Roman" w:hAnsi="Book Antiqua" w:cs="Times New Roman"/>
          <w:kern w:val="0"/>
          <w:szCs w:val="20"/>
          <w:lang w:eastAsia="en-US"/>
          <w14:ligatures w14:val="none"/>
        </w:rPr>
        <w:tab/>
        <w:t>Legislativa</w:t>
      </w:r>
      <w:r w:rsidRPr="00BB3B34">
        <w:rPr>
          <w:rFonts w:ascii="Book Antiqua" w:eastAsia="Times New Roman" w:hAnsi="Book Antiqua" w:cs="Times New Roman"/>
          <w:kern w:val="0"/>
          <w:szCs w:val="20"/>
          <w:lang w:eastAsia="en-US"/>
          <w14:ligatures w14:val="none"/>
        </w:rPr>
        <w:tab/>
      </w:r>
      <w:r w:rsidRPr="00BB3B34">
        <w:rPr>
          <w:rFonts w:ascii="Book Antiqua" w:eastAsia="Times New Roman" w:hAnsi="Book Antiqua" w:cs="Times New Roman"/>
          <w:kern w:val="0"/>
          <w:szCs w:val="20"/>
          <w:lang w:eastAsia="en-US"/>
          <w14:ligatures w14:val="none"/>
        </w:rPr>
        <w:tab/>
        <w:t>Ordinaria</w:t>
      </w:r>
    </w:p>
    <w:p w14:paraId="5458F3CF" w14:textId="77777777" w:rsidR="00C168EF" w:rsidRPr="00BB3B34" w:rsidRDefault="00C168EF" w:rsidP="00C75A62">
      <w:pPr>
        <w:spacing w:after="0" w:line="240" w:lineRule="auto"/>
        <w:rPr>
          <w:rFonts w:ascii="Times New Roman" w:eastAsia="Times New Roman" w:hAnsi="Times New Roman" w:cs="Times New Roman"/>
          <w:kern w:val="0"/>
          <w:szCs w:val="20"/>
          <w:lang w:eastAsia="en-US"/>
          <w14:ligatures w14:val="none"/>
        </w:rPr>
      </w:pPr>
    </w:p>
    <w:p w14:paraId="738E33BF" w14:textId="77777777" w:rsidR="00C168EF" w:rsidRPr="00BB3B34" w:rsidRDefault="00C168EF" w:rsidP="00C75A62">
      <w:pPr>
        <w:spacing w:after="0" w:line="240" w:lineRule="auto"/>
        <w:jc w:val="center"/>
        <w:rPr>
          <w:rFonts w:ascii="Book Antiqua" w:eastAsia="Times New Roman" w:hAnsi="Book Antiqua" w:cs="Times New Roman"/>
          <w:b/>
          <w:kern w:val="0"/>
          <w:sz w:val="36"/>
          <w:szCs w:val="20"/>
          <w:lang w:eastAsia="en-US"/>
          <w14:ligatures w14:val="none"/>
        </w:rPr>
      </w:pPr>
      <w:r w:rsidRPr="00BB3B34">
        <w:rPr>
          <w:rFonts w:ascii="Book Antiqua" w:eastAsia="Times New Roman" w:hAnsi="Book Antiqua" w:cs="Times New Roman"/>
          <w:b/>
          <w:kern w:val="0"/>
          <w:sz w:val="36"/>
          <w:szCs w:val="20"/>
          <w:lang w:eastAsia="en-US"/>
          <w14:ligatures w14:val="none"/>
        </w:rPr>
        <w:t>CÁMARA DE REPRESENTANTES</w:t>
      </w:r>
    </w:p>
    <w:p w14:paraId="316427A4" w14:textId="77777777" w:rsidR="00C168EF" w:rsidRPr="00BB3B34" w:rsidRDefault="00C168EF" w:rsidP="00C75A62">
      <w:pPr>
        <w:spacing w:after="0" w:line="240" w:lineRule="auto"/>
        <w:jc w:val="center"/>
        <w:rPr>
          <w:rFonts w:ascii="Book Antiqua" w:eastAsia="Times New Roman" w:hAnsi="Book Antiqua" w:cs="Times New Roman"/>
          <w:b/>
          <w:kern w:val="0"/>
          <w:lang w:eastAsia="en-US"/>
          <w14:ligatures w14:val="none"/>
        </w:rPr>
      </w:pPr>
    </w:p>
    <w:p w14:paraId="6A517ECA" w14:textId="31FCC2DC" w:rsidR="00C168EF" w:rsidRPr="00BB3B34" w:rsidRDefault="00C168EF" w:rsidP="00C75A62">
      <w:pPr>
        <w:spacing w:after="0" w:line="240" w:lineRule="auto"/>
        <w:jc w:val="center"/>
        <w:rPr>
          <w:rFonts w:ascii="Book Antiqua" w:eastAsia="Times New Roman" w:hAnsi="Book Antiqua" w:cs="Times New Roman"/>
          <w:b/>
          <w:kern w:val="0"/>
          <w:sz w:val="52"/>
          <w:szCs w:val="20"/>
          <w:lang w:eastAsia="en-US"/>
          <w14:ligatures w14:val="none"/>
        </w:rPr>
      </w:pPr>
      <w:r w:rsidRPr="00BB3B34">
        <w:rPr>
          <w:rFonts w:ascii="Book Antiqua" w:eastAsia="Times New Roman" w:hAnsi="Book Antiqua" w:cs="Times New Roman"/>
          <w:b/>
          <w:kern w:val="0"/>
          <w:sz w:val="52"/>
          <w:szCs w:val="20"/>
          <w:lang w:eastAsia="en-US"/>
          <w14:ligatures w14:val="none"/>
        </w:rPr>
        <w:t>R. de la C.</w:t>
      </w:r>
      <w:r w:rsidR="00894978">
        <w:rPr>
          <w:rFonts w:ascii="Book Antiqua" w:eastAsia="Times New Roman" w:hAnsi="Book Antiqua" w:cs="Times New Roman"/>
          <w:b/>
          <w:kern w:val="0"/>
          <w:sz w:val="52"/>
          <w:szCs w:val="20"/>
          <w:lang w:eastAsia="en-US"/>
          <w14:ligatures w14:val="none"/>
        </w:rPr>
        <w:t xml:space="preserve"> 587</w:t>
      </w:r>
    </w:p>
    <w:p w14:paraId="5379FEC6" w14:textId="77777777" w:rsidR="00C168EF" w:rsidRPr="00BB3B34" w:rsidRDefault="00C168EF" w:rsidP="00C75A62">
      <w:pPr>
        <w:spacing w:after="0" w:line="240" w:lineRule="auto"/>
        <w:jc w:val="center"/>
        <w:rPr>
          <w:rFonts w:ascii="Book Antiqua" w:eastAsia="Times New Roman" w:hAnsi="Book Antiqua" w:cs="Times New Roman"/>
          <w:b/>
          <w:kern w:val="0"/>
          <w:lang w:eastAsia="en-US"/>
          <w14:ligatures w14:val="none"/>
        </w:rPr>
      </w:pPr>
    </w:p>
    <w:p w14:paraId="0A2FC148" w14:textId="354667BF" w:rsidR="00C168EF" w:rsidRPr="00BB3B34" w:rsidRDefault="00641341" w:rsidP="00C75A62">
      <w:pPr>
        <w:spacing w:after="0" w:line="240" w:lineRule="auto"/>
        <w:jc w:val="center"/>
        <w:rPr>
          <w:rFonts w:ascii="Book Antiqua" w:eastAsia="Times New Roman" w:hAnsi="Book Antiqua" w:cs="Times New Roman"/>
          <w:kern w:val="0"/>
          <w:szCs w:val="20"/>
          <w:lang w:eastAsia="en-US"/>
          <w14:ligatures w14:val="none"/>
        </w:rPr>
      </w:pPr>
      <w:r>
        <w:rPr>
          <w:rFonts w:ascii="Book Antiqua" w:eastAsia="Times New Roman" w:hAnsi="Book Antiqua" w:cs="Times New Roman"/>
          <w:kern w:val="0"/>
          <w:szCs w:val="20"/>
          <w:lang w:eastAsia="en-US"/>
          <w14:ligatures w14:val="none"/>
        </w:rPr>
        <w:t xml:space="preserve">3 </w:t>
      </w:r>
      <w:r w:rsidR="00C168EF" w:rsidRPr="00BB3B34">
        <w:rPr>
          <w:rFonts w:ascii="Book Antiqua" w:eastAsia="Times New Roman" w:hAnsi="Book Antiqua" w:cs="Times New Roman"/>
          <w:kern w:val="0"/>
          <w:szCs w:val="20"/>
          <w:lang w:eastAsia="en-US"/>
          <w14:ligatures w14:val="none"/>
        </w:rPr>
        <w:t xml:space="preserve">DE </w:t>
      </w:r>
      <w:r w:rsidR="004907E4">
        <w:rPr>
          <w:rFonts w:ascii="Book Antiqua" w:eastAsia="Times New Roman" w:hAnsi="Book Antiqua" w:cs="Times New Roman"/>
          <w:kern w:val="0"/>
          <w:szCs w:val="20"/>
          <w:lang w:eastAsia="en-US"/>
          <w14:ligatures w14:val="none"/>
        </w:rPr>
        <w:t>FEBRERO</w:t>
      </w:r>
      <w:r w:rsidR="00C168EF" w:rsidRPr="00BB3B34">
        <w:rPr>
          <w:rFonts w:ascii="Book Antiqua" w:eastAsia="Times New Roman" w:hAnsi="Book Antiqua" w:cs="Times New Roman"/>
          <w:kern w:val="0"/>
          <w:szCs w:val="20"/>
          <w:lang w:eastAsia="en-US"/>
          <w14:ligatures w14:val="none"/>
        </w:rPr>
        <w:t xml:space="preserve"> DE 202</w:t>
      </w:r>
      <w:r w:rsidR="00B0304D">
        <w:rPr>
          <w:rFonts w:ascii="Book Antiqua" w:eastAsia="Times New Roman" w:hAnsi="Book Antiqua" w:cs="Times New Roman"/>
          <w:kern w:val="0"/>
          <w:szCs w:val="20"/>
          <w:lang w:eastAsia="en-US"/>
          <w14:ligatures w14:val="none"/>
        </w:rPr>
        <w:t>6</w:t>
      </w:r>
    </w:p>
    <w:p w14:paraId="6516A858" w14:textId="77777777" w:rsidR="00C168EF" w:rsidRPr="00BB3B34" w:rsidRDefault="00C168EF" w:rsidP="00C75A62">
      <w:pPr>
        <w:spacing w:after="0" w:line="240" w:lineRule="auto"/>
        <w:jc w:val="center"/>
        <w:rPr>
          <w:rFonts w:ascii="Book Antiqua" w:eastAsia="Times New Roman" w:hAnsi="Book Antiqua" w:cs="Times New Roman"/>
          <w:kern w:val="0"/>
          <w:szCs w:val="20"/>
          <w:lang w:eastAsia="en-US"/>
          <w14:ligatures w14:val="none"/>
        </w:rPr>
      </w:pPr>
    </w:p>
    <w:p w14:paraId="41F14210" w14:textId="022289AC" w:rsidR="00C168EF" w:rsidRDefault="0074365E" w:rsidP="00C75A62">
      <w:pPr>
        <w:spacing w:after="0" w:line="240" w:lineRule="auto"/>
        <w:jc w:val="center"/>
        <w:rPr>
          <w:rFonts w:ascii="Book Antiqua" w:hAnsi="Book Antiqua"/>
          <w:i/>
          <w:lang w:val="es-ES"/>
        </w:rPr>
      </w:pPr>
      <w:r w:rsidRPr="006D1FE3">
        <w:rPr>
          <w:rFonts w:ascii="Book Antiqua" w:hAnsi="Book Antiqua"/>
          <w:lang w:val="es-ES"/>
        </w:rPr>
        <w:t>Presentad</w:t>
      </w:r>
      <w:r w:rsidR="008A2F60">
        <w:rPr>
          <w:rFonts w:ascii="Book Antiqua" w:hAnsi="Book Antiqua"/>
          <w:lang w:val="es-ES"/>
        </w:rPr>
        <w:t>a</w:t>
      </w:r>
      <w:r w:rsidRPr="006D1FE3">
        <w:rPr>
          <w:rFonts w:ascii="Book Antiqua" w:hAnsi="Book Antiqua"/>
          <w:lang w:val="es-ES"/>
        </w:rPr>
        <w:t xml:space="preserve"> por la</w:t>
      </w:r>
      <w:r w:rsidR="00E70ED8">
        <w:rPr>
          <w:rFonts w:ascii="Book Antiqua" w:hAnsi="Book Antiqua"/>
          <w:lang w:val="es-ES"/>
        </w:rPr>
        <w:t>s</w:t>
      </w:r>
      <w:r w:rsidRPr="006D1FE3">
        <w:rPr>
          <w:rFonts w:ascii="Book Antiqua" w:hAnsi="Book Antiqua"/>
          <w:lang w:val="es-ES"/>
        </w:rPr>
        <w:t xml:space="preserve"> </w:t>
      </w:r>
      <w:r w:rsidR="008A2F60">
        <w:rPr>
          <w:rFonts w:ascii="Book Antiqua" w:hAnsi="Book Antiqua"/>
          <w:lang w:val="es-ES"/>
        </w:rPr>
        <w:t>r</w:t>
      </w:r>
      <w:r w:rsidRPr="006D1FE3">
        <w:rPr>
          <w:rFonts w:ascii="Book Antiqua" w:hAnsi="Book Antiqua"/>
          <w:lang w:val="es-ES"/>
        </w:rPr>
        <w:t>epresentante</w:t>
      </w:r>
      <w:r w:rsidR="00E70ED8">
        <w:rPr>
          <w:rFonts w:ascii="Book Antiqua" w:hAnsi="Book Antiqua"/>
          <w:lang w:val="es-ES"/>
        </w:rPr>
        <w:t>s</w:t>
      </w:r>
      <w:r w:rsidRPr="006D1FE3">
        <w:rPr>
          <w:rFonts w:ascii="Book Antiqua" w:hAnsi="Book Antiqua"/>
          <w:lang w:val="es-ES"/>
        </w:rPr>
        <w:t xml:space="preserve"> </w:t>
      </w:r>
      <w:r w:rsidRPr="006D1FE3">
        <w:rPr>
          <w:rFonts w:ascii="Book Antiqua" w:hAnsi="Book Antiqua"/>
          <w:i/>
          <w:lang w:val="es-ES"/>
        </w:rPr>
        <w:t xml:space="preserve">Gutiérrez Colón </w:t>
      </w:r>
      <w:r w:rsidRPr="008A2F60">
        <w:rPr>
          <w:rFonts w:ascii="Book Antiqua" w:hAnsi="Book Antiqua"/>
          <w:iCs/>
          <w:lang w:val="es-ES"/>
        </w:rPr>
        <w:t>y</w:t>
      </w:r>
      <w:r w:rsidRPr="006D1FE3">
        <w:rPr>
          <w:rFonts w:ascii="Book Antiqua" w:hAnsi="Book Antiqua"/>
          <w:i/>
          <w:lang w:val="es-ES"/>
        </w:rPr>
        <w:t xml:space="preserve"> Lebrón Roble</w:t>
      </w:r>
      <w:r w:rsidR="008A2F60">
        <w:rPr>
          <w:rFonts w:ascii="Book Antiqua" w:hAnsi="Book Antiqua"/>
          <w:i/>
          <w:lang w:val="es-ES"/>
        </w:rPr>
        <w:t>s;</w:t>
      </w:r>
      <w:r w:rsidRPr="006D1FE3">
        <w:rPr>
          <w:rFonts w:ascii="Book Antiqua" w:hAnsi="Book Antiqua"/>
          <w:i/>
          <w:lang w:val="es-ES"/>
        </w:rPr>
        <w:t xml:space="preserve"> </w:t>
      </w:r>
      <w:r w:rsidRPr="008A2F60">
        <w:rPr>
          <w:rFonts w:ascii="Book Antiqua" w:hAnsi="Book Antiqua"/>
          <w:iCs/>
          <w:lang w:val="es-ES"/>
        </w:rPr>
        <w:t>y</w:t>
      </w:r>
      <w:r w:rsidRPr="006D1FE3">
        <w:rPr>
          <w:rFonts w:ascii="Book Antiqua" w:hAnsi="Book Antiqua"/>
          <w:iCs/>
          <w:lang w:val="es-ES"/>
        </w:rPr>
        <w:t xml:space="preserve"> </w:t>
      </w:r>
      <w:r w:rsidR="00B0304D">
        <w:rPr>
          <w:rFonts w:ascii="Book Antiqua" w:hAnsi="Book Antiqua"/>
          <w:iCs/>
          <w:lang w:val="es-ES"/>
        </w:rPr>
        <w:br/>
      </w:r>
      <w:r w:rsidR="008A2F60">
        <w:rPr>
          <w:rFonts w:ascii="Book Antiqua" w:hAnsi="Book Antiqua"/>
          <w:iCs/>
          <w:lang w:val="es-ES"/>
        </w:rPr>
        <w:t>r</w:t>
      </w:r>
      <w:r w:rsidRPr="00E70ED8">
        <w:rPr>
          <w:rFonts w:ascii="Book Antiqua" w:hAnsi="Book Antiqua"/>
          <w:iCs/>
          <w:lang w:val="es-ES"/>
        </w:rPr>
        <w:t>epresentante</w:t>
      </w:r>
      <w:r w:rsidRPr="006D1FE3">
        <w:rPr>
          <w:rFonts w:ascii="Book Antiqua" w:hAnsi="Book Antiqua"/>
          <w:i/>
          <w:lang w:val="es-ES"/>
        </w:rPr>
        <w:t xml:space="preserve"> Márquez Lebrón</w:t>
      </w:r>
    </w:p>
    <w:p w14:paraId="1C7E8B82" w14:textId="77777777" w:rsidR="00C75A62" w:rsidRPr="00C75A62" w:rsidRDefault="00C75A62" w:rsidP="00C75A62">
      <w:pPr>
        <w:spacing w:after="0" w:line="240" w:lineRule="auto"/>
        <w:jc w:val="center"/>
        <w:rPr>
          <w:rFonts w:ascii="Book Antiqua" w:hAnsi="Book Antiqua"/>
          <w:iCs/>
          <w:lang w:val="es-ES"/>
        </w:rPr>
      </w:pPr>
    </w:p>
    <w:p w14:paraId="3CFD0BB1" w14:textId="41206570" w:rsidR="00C75A62" w:rsidRPr="00C75A62" w:rsidRDefault="00C75A62" w:rsidP="00C75A62">
      <w:pPr>
        <w:spacing w:after="0" w:line="240" w:lineRule="auto"/>
        <w:jc w:val="center"/>
        <w:rPr>
          <w:rFonts w:ascii="Book Antiqua" w:hAnsi="Book Antiqua"/>
          <w:iCs/>
          <w:lang w:val="es-ES"/>
        </w:rPr>
      </w:pPr>
      <w:r w:rsidRPr="00C75A62">
        <w:rPr>
          <w:rFonts w:ascii="Book Antiqua" w:hAnsi="Book Antiqua"/>
          <w:iCs/>
          <w:lang w:val="es-ES"/>
        </w:rPr>
        <w:t>Referida a la Comisión de Asuntos Internos</w:t>
      </w:r>
    </w:p>
    <w:p w14:paraId="5239AF7B" w14:textId="77777777" w:rsidR="00C168EF" w:rsidRPr="00BB3B34" w:rsidRDefault="00C168EF" w:rsidP="00C75A62">
      <w:pPr>
        <w:spacing w:after="0" w:line="240" w:lineRule="auto"/>
        <w:jc w:val="both"/>
        <w:rPr>
          <w:rFonts w:ascii="Book Antiqua" w:eastAsia="Times New Roman" w:hAnsi="Book Antiqua" w:cs="Times New Roman"/>
          <w:kern w:val="0"/>
          <w:szCs w:val="20"/>
          <w:lang w:eastAsia="en-US"/>
          <w14:ligatures w14:val="none"/>
        </w:rPr>
      </w:pPr>
    </w:p>
    <w:p w14:paraId="0A0DE8DD" w14:textId="77777777" w:rsidR="00C168EF" w:rsidRPr="00BB3B34" w:rsidRDefault="00C168EF" w:rsidP="00C75A62">
      <w:pPr>
        <w:spacing w:after="0" w:line="240" w:lineRule="auto"/>
        <w:jc w:val="center"/>
        <w:rPr>
          <w:rFonts w:ascii="Book Antiqua" w:eastAsia="Times New Roman" w:hAnsi="Book Antiqua" w:cs="Times New Roman"/>
          <w:b/>
          <w:kern w:val="0"/>
          <w:sz w:val="28"/>
          <w:szCs w:val="20"/>
          <w:lang w:eastAsia="en-US"/>
          <w14:ligatures w14:val="none"/>
        </w:rPr>
      </w:pPr>
      <w:r w:rsidRPr="00BB3B34">
        <w:rPr>
          <w:rFonts w:ascii="Book Antiqua" w:eastAsia="Times New Roman" w:hAnsi="Book Antiqua" w:cs="Times New Roman"/>
          <w:b/>
          <w:kern w:val="0"/>
          <w:sz w:val="28"/>
          <w:szCs w:val="20"/>
          <w:lang w:eastAsia="en-US"/>
          <w14:ligatures w14:val="none"/>
        </w:rPr>
        <w:t>RESOLUCIÓN</w:t>
      </w:r>
    </w:p>
    <w:p w14:paraId="52AB1E55" w14:textId="77777777" w:rsidR="00C168EF" w:rsidRPr="00BB3B34" w:rsidRDefault="00C168EF" w:rsidP="00C75A62">
      <w:pPr>
        <w:spacing w:after="0" w:line="240" w:lineRule="auto"/>
        <w:jc w:val="both"/>
        <w:rPr>
          <w:rFonts w:ascii="Book Antiqua" w:eastAsia="Times New Roman" w:hAnsi="Book Antiqua" w:cs="Times New Roman"/>
          <w:kern w:val="0"/>
          <w:szCs w:val="20"/>
          <w:lang w:eastAsia="en-US"/>
          <w14:ligatures w14:val="none"/>
        </w:rPr>
      </w:pPr>
    </w:p>
    <w:p w14:paraId="439A605D" w14:textId="5A81BC42" w:rsidR="00AC0EDC" w:rsidRPr="00BB3B34" w:rsidRDefault="00BA66B1" w:rsidP="00C75A62">
      <w:pPr>
        <w:pStyle w:val="p1"/>
        <w:ind w:left="630" w:hanging="630"/>
        <w:jc w:val="both"/>
        <w:divId w:val="1584679213"/>
        <w:rPr>
          <w:rFonts w:ascii="Book Antiqua" w:hAnsi="Book Antiqua"/>
          <w:sz w:val="24"/>
          <w:szCs w:val="24"/>
        </w:rPr>
      </w:pPr>
      <w:r w:rsidRPr="00BA66B1">
        <w:rPr>
          <w:rFonts w:ascii="Book Antiqua" w:hAnsi="Book Antiqua"/>
          <w:sz w:val="24"/>
          <w:szCs w:val="24"/>
        </w:rPr>
        <w:t xml:space="preserve">Para ordenar a la Comisión de Vivienda y Desarrollo Urbano </w:t>
      </w:r>
      <w:r>
        <w:rPr>
          <w:rFonts w:ascii="Book Antiqua" w:hAnsi="Book Antiqua"/>
          <w:sz w:val="24"/>
          <w:szCs w:val="24"/>
        </w:rPr>
        <w:t xml:space="preserve">y a la Comisión de Salud </w:t>
      </w:r>
      <w:r w:rsidR="007234EA" w:rsidRPr="00BA66B1">
        <w:rPr>
          <w:rFonts w:ascii="Book Antiqua" w:hAnsi="Book Antiqua"/>
          <w:sz w:val="24"/>
          <w:szCs w:val="24"/>
        </w:rPr>
        <w:t xml:space="preserve">de la Cámara </w:t>
      </w:r>
      <w:r w:rsidRPr="00BA66B1">
        <w:rPr>
          <w:rFonts w:ascii="Book Antiqua" w:hAnsi="Book Antiqua"/>
          <w:sz w:val="24"/>
          <w:szCs w:val="24"/>
        </w:rPr>
        <w:t xml:space="preserve">de Representantes de Puerto Rico, a realizar una investigación exhaustiva sobre el manejo, cumplimiento y fiscalización de las normas relacionadas con la pintura </w:t>
      </w:r>
      <w:r w:rsidR="00FE38C6">
        <w:rPr>
          <w:rFonts w:ascii="Book Antiqua" w:hAnsi="Book Antiqua"/>
          <w:sz w:val="24"/>
          <w:szCs w:val="24"/>
        </w:rPr>
        <w:t>a</w:t>
      </w:r>
      <w:r w:rsidRPr="00BA66B1">
        <w:rPr>
          <w:rFonts w:ascii="Book Antiqua" w:hAnsi="Book Antiqua"/>
          <w:sz w:val="24"/>
          <w:szCs w:val="24"/>
        </w:rPr>
        <w:t xml:space="preserve"> base de plomo en los </w:t>
      </w:r>
      <w:r>
        <w:rPr>
          <w:rFonts w:ascii="Book Antiqua" w:hAnsi="Book Antiqua"/>
          <w:sz w:val="24"/>
          <w:szCs w:val="24"/>
        </w:rPr>
        <w:t>complejos de vivienda</w:t>
      </w:r>
      <w:r w:rsidRPr="00BA66B1">
        <w:rPr>
          <w:rFonts w:ascii="Book Antiqua" w:hAnsi="Book Antiqua"/>
          <w:sz w:val="24"/>
          <w:szCs w:val="24"/>
        </w:rPr>
        <w:t xml:space="preserve"> </w:t>
      </w:r>
      <w:r>
        <w:rPr>
          <w:rFonts w:ascii="Book Antiqua" w:hAnsi="Book Antiqua"/>
          <w:sz w:val="24"/>
          <w:szCs w:val="24"/>
        </w:rPr>
        <w:t>pública</w:t>
      </w:r>
      <w:r w:rsidRPr="00BA66B1">
        <w:rPr>
          <w:rFonts w:ascii="Book Antiqua" w:hAnsi="Book Antiqua"/>
          <w:sz w:val="24"/>
          <w:szCs w:val="24"/>
        </w:rPr>
        <w:t xml:space="preserve"> de Puerto Rico por parte de la Administración de Vivienda Pública; evaluar el impacto de dichas actuaciones en la salud de los residentes, particularmente de menores de edad; identificar</w:t>
      </w:r>
      <w:r w:rsidR="008B4BBA">
        <w:rPr>
          <w:rFonts w:ascii="Book Antiqua" w:hAnsi="Book Antiqua"/>
          <w:sz w:val="24"/>
          <w:szCs w:val="24"/>
        </w:rPr>
        <w:t xml:space="preserve"> posibles</w:t>
      </w:r>
      <w:r w:rsidRPr="00BA66B1">
        <w:rPr>
          <w:rFonts w:ascii="Book Antiqua" w:hAnsi="Book Antiqua"/>
          <w:sz w:val="24"/>
          <w:szCs w:val="24"/>
        </w:rPr>
        <w:t xml:space="preserve"> fallas administrativas, operacionales y de supervisión; y para otros fines relacionados.</w:t>
      </w:r>
    </w:p>
    <w:p w14:paraId="5E74F94F" w14:textId="77777777" w:rsidR="00C168EF" w:rsidRPr="00BB3B34" w:rsidRDefault="00C168EF" w:rsidP="00C75A62">
      <w:pPr>
        <w:spacing w:after="0" w:line="240" w:lineRule="auto"/>
        <w:ind w:left="360" w:hanging="360"/>
        <w:jc w:val="both"/>
        <w:rPr>
          <w:rFonts w:ascii="Book Antiqua" w:eastAsia="Times New Roman" w:hAnsi="Book Antiqua" w:cs="Times New Roman"/>
          <w:kern w:val="0"/>
          <w:lang w:eastAsia="en-US"/>
          <w14:ligatures w14:val="none"/>
        </w:rPr>
      </w:pPr>
    </w:p>
    <w:p w14:paraId="488D30C7" w14:textId="77777777" w:rsidR="00C168EF" w:rsidRDefault="00C168EF" w:rsidP="00C75A62">
      <w:pPr>
        <w:spacing w:after="0" w:line="240" w:lineRule="auto"/>
        <w:ind w:firstLine="360"/>
        <w:jc w:val="center"/>
        <w:rPr>
          <w:rFonts w:ascii="Book Antiqua" w:eastAsia="Times New Roman" w:hAnsi="Book Antiqua" w:cs="Times New Roman"/>
          <w:kern w:val="0"/>
          <w:szCs w:val="20"/>
          <w:lang w:eastAsia="en-US"/>
          <w14:ligatures w14:val="none"/>
        </w:rPr>
      </w:pPr>
      <w:r w:rsidRPr="00BB3B34">
        <w:rPr>
          <w:rFonts w:ascii="Book Antiqua" w:eastAsia="Times New Roman" w:hAnsi="Book Antiqua" w:cs="Times New Roman"/>
          <w:kern w:val="0"/>
          <w:szCs w:val="20"/>
          <w:lang w:eastAsia="en-US"/>
          <w14:ligatures w14:val="none"/>
        </w:rPr>
        <w:t>EXPOSICIÓN DE MOTIVOS</w:t>
      </w:r>
    </w:p>
    <w:p w14:paraId="1D166A72" w14:textId="77777777" w:rsidR="005872EC" w:rsidRPr="00BB3B34" w:rsidRDefault="005872EC" w:rsidP="00C75A62">
      <w:pPr>
        <w:spacing w:after="0" w:line="240" w:lineRule="auto"/>
        <w:ind w:firstLine="360"/>
        <w:jc w:val="center"/>
        <w:rPr>
          <w:rFonts w:ascii="Book Antiqua" w:eastAsia="Times New Roman" w:hAnsi="Book Antiqua" w:cs="Times New Roman"/>
          <w:kern w:val="0"/>
          <w:szCs w:val="20"/>
          <w:lang w:eastAsia="en-US"/>
          <w14:ligatures w14:val="none"/>
        </w:rPr>
      </w:pPr>
    </w:p>
    <w:p w14:paraId="26DE112C" w14:textId="1A6CCC93" w:rsidR="00BA66B1" w:rsidRDefault="00BA66B1" w:rsidP="00C75A62">
      <w:pPr>
        <w:spacing w:after="0" w:line="240" w:lineRule="auto"/>
        <w:ind w:firstLine="720"/>
        <w:jc w:val="both"/>
        <w:rPr>
          <w:rFonts w:ascii="Book Antiqua" w:eastAsia="Times New Roman" w:hAnsi="Book Antiqua" w:cs="Times New Roman"/>
          <w:kern w:val="0"/>
          <w:szCs w:val="20"/>
          <w:lang w:eastAsia="en-US"/>
          <w14:ligatures w14:val="none"/>
        </w:rPr>
      </w:pPr>
      <w:r w:rsidRPr="00BA66B1">
        <w:rPr>
          <w:rFonts w:ascii="Book Antiqua" w:eastAsia="Times New Roman" w:hAnsi="Book Antiqua" w:cs="Times New Roman"/>
          <w:kern w:val="0"/>
          <w:szCs w:val="20"/>
          <w:lang w:eastAsia="en-US"/>
          <w14:ligatures w14:val="none"/>
        </w:rPr>
        <w:t>La Constitución de Puerto Rico reconoce el derecho fundamental a la vida, la salud y la seguridad, y establece como política pública la protección de las poblaciones más vulnerables, en particular la niñez. El acceso a una vivienda segura y saludable es un componente esencial de ese derecho.</w:t>
      </w:r>
    </w:p>
    <w:p w14:paraId="6DBF3970" w14:textId="77777777" w:rsidR="00C75A62" w:rsidRPr="00BA66B1" w:rsidRDefault="00C75A62" w:rsidP="00C75A62">
      <w:pPr>
        <w:spacing w:after="0" w:line="240" w:lineRule="auto"/>
        <w:ind w:firstLine="720"/>
        <w:jc w:val="both"/>
        <w:rPr>
          <w:rFonts w:ascii="Book Antiqua" w:eastAsia="Times New Roman" w:hAnsi="Book Antiqua" w:cs="Times New Roman"/>
          <w:kern w:val="0"/>
          <w:szCs w:val="20"/>
          <w:lang w:eastAsia="en-US"/>
          <w14:ligatures w14:val="none"/>
        </w:rPr>
      </w:pPr>
    </w:p>
    <w:p w14:paraId="30459529" w14:textId="1B667650" w:rsidR="00BA66B1" w:rsidRPr="00BA66B1" w:rsidRDefault="00BA66B1" w:rsidP="00C75A62">
      <w:pPr>
        <w:spacing w:after="0" w:line="240" w:lineRule="auto"/>
        <w:ind w:firstLine="720"/>
        <w:jc w:val="both"/>
        <w:rPr>
          <w:rFonts w:ascii="Book Antiqua" w:eastAsia="Times New Roman" w:hAnsi="Book Antiqua" w:cs="Times New Roman"/>
          <w:kern w:val="0"/>
          <w:szCs w:val="20"/>
          <w:lang w:eastAsia="en-US"/>
          <w14:ligatures w14:val="none"/>
        </w:rPr>
      </w:pPr>
      <w:r w:rsidRPr="00BA66B1">
        <w:rPr>
          <w:rFonts w:ascii="Book Antiqua" w:eastAsia="Times New Roman" w:hAnsi="Book Antiqua" w:cs="Times New Roman"/>
          <w:kern w:val="0"/>
          <w:szCs w:val="20"/>
          <w:lang w:eastAsia="en-US"/>
          <w14:ligatures w14:val="none"/>
        </w:rPr>
        <w:t xml:space="preserve">El plomo es una sustancia altamente tóxica, especialmente peligrosa para </w:t>
      </w:r>
      <w:proofErr w:type="gramStart"/>
      <w:r w:rsidRPr="00BA66B1">
        <w:rPr>
          <w:rFonts w:ascii="Book Antiqua" w:eastAsia="Times New Roman" w:hAnsi="Book Antiqua" w:cs="Times New Roman"/>
          <w:kern w:val="0"/>
          <w:szCs w:val="20"/>
          <w:lang w:eastAsia="en-US"/>
          <w14:ligatures w14:val="none"/>
        </w:rPr>
        <w:t>niños y niñas</w:t>
      </w:r>
      <w:proofErr w:type="gramEnd"/>
      <w:r w:rsidRPr="00BA66B1">
        <w:rPr>
          <w:rFonts w:ascii="Book Antiqua" w:eastAsia="Times New Roman" w:hAnsi="Book Antiqua" w:cs="Times New Roman"/>
          <w:kern w:val="0"/>
          <w:szCs w:val="20"/>
          <w:lang w:eastAsia="en-US"/>
          <w14:ligatures w14:val="none"/>
        </w:rPr>
        <w:t xml:space="preserve"> menores de seis años. La exposición al plomo puede provocar daños permanentes al cerebro y al sistema nervioso, afectar el desarrollo físico y cognitivo, causar problemas de aprendizaje y conducta, y generar consecuencias irreversibles. Las autoridades de salud</w:t>
      </w:r>
      <w:r w:rsidR="00FE38C6">
        <w:rPr>
          <w:rFonts w:ascii="Book Antiqua" w:eastAsia="Times New Roman" w:hAnsi="Book Antiqua" w:cs="Times New Roman"/>
          <w:kern w:val="0"/>
          <w:szCs w:val="20"/>
          <w:lang w:eastAsia="en-US"/>
          <w14:ligatures w14:val="none"/>
        </w:rPr>
        <w:t xml:space="preserve"> como el Centro para el Control y la Prevención de Enfermedades (CDC)</w:t>
      </w:r>
      <w:r w:rsidRPr="00BA66B1">
        <w:rPr>
          <w:rFonts w:ascii="Book Antiqua" w:eastAsia="Times New Roman" w:hAnsi="Book Antiqua" w:cs="Times New Roman"/>
          <w:kern w:val="0"/>
          <w:szCs w:val="20"/>
          <w:lang w:eastAsia="en-US"/>
          <w14:ligatures w14:val="none"/>
        </w:rPr>
        <w:t xml:space="preserve"> han establecido que no existe un nivel seguro de plomo en la sangre</w:t>
      </w:r>
      <w:r w:rsidR="00FE38C6">
        <w:rPr>
          <w:rFonts w:ascii="Book Antiqua" w:eastAsia="Times New Roman" w:hAnsi="Book Antiqua" w:cs="Times New Roman"/>
          <w:kern w:val="0"/>
          <w:szCs w:val="20"/>
          <w:lang w:eastAsia="en-US"/>
          <w14:ligatures w14:val="none"/>
        </w:rPr>
        <w:t xml:space="preserve"> y que los efectos de este no pueden ser revertidos</w:t>
      </w:r>
      <w:r w:rsidRPr="00BA66B1">
        <w:rPr>
          <w:rFonts w:ascii="Book Antiqua" w:eastAsia="Times New Roman" w:hAnsi="Book Antiqua" w:cs="Times New Roman"/>
          <w:kern w:val="0"/>
          <w:szCs w:val="20"/>
          <w:lang w:eastAsia="en-US"/>
          <w14:ligatures w14:val="none"/>
        </w:rPr>
        <w:t>.</w:t>
      </w:r>
    </w:p>
    <w:p w14:paraId="78780701" w14:textId="5E0CC7F3" w:rsidR="00BA66B1" w:rsidRDefault="00BA66B1" w:rsidP="00C75A62">
      <w:pPr>
        <w:spacing w:after="0" w:line="240" w:lineRule="auto"/>
        <w:ind w:firstLine="720"/>
        <w:jc w:val="both"/>
        <w:rPr>
          <w:rFonts w:ascii="Book Antiqua" w:eastAsia="Times New Roman" w:hAnsi="Book Antiqua" w:cs="Times New Roman"/>
          <w:kern w:val="0"/>
          <w:szCs w:val="20"/>
          <w:lang w:eastAsia="en-US"/>
          <w14:ligatures w14:val="none"/>
        </w:rPr>
      </w:pPr>
      <w:r w:rsidRPr="00BA66B1">
        <w:rPr>
          <w:rFonts w:ascii="Book Antiqua" w:eastAsia="Times New Roman" w:hAnsi="Book Antiqua" w:cs="Times New Roman"/>
          <w:kern w:val="0"/>
          <w:szCs w:val="20"/>
          <w:lang w:eastAsia="en-US"/>
          <w14:ligatures w14:val="none"/>
        </w:rPr>
        <w:lastRenderedPageBreak/>
        <w:t xml:space="preserve">Gran parte de la vivienda pública en Puerto Rico fue construida antes del año 1978, cuando se prohibió el uso de pintura </w:t>
      </w:r>
      <w:r w:rsidR="00FE38C6">
        <w:rPr>
          <w:rFonts w:ascii="Book Antiqua" w:eastAsia="Times New Roman" w:hAnsi="Book Antiqua" w:cs="Times New Roman"/>
          <w:kern w:val="0"/>
          <w:szCs w:val="20"/>
          <w:lang w:eastAsia="en-US"/>
          <w14:ligatures w14:val="none"/>
        </w:rPr>
        <w:t>a</w:t>
      </w:r>
      <w:r w:rsidRPr="00BA66B1">
        <w:rPr>
          <w:rFonts w:ascii="Book Antiqua" w:eastAsia="Times New Roman" w:hAnsi="Book Antiqua" w:cs="Times New Roman"/>
          <w:kern w:val="0"/>
          <w:szCs w:val="20"/>
          <w:lang w:eastAsia="en-US"/>
          <w14:ligatures w14:val="none"/>
        </w:rPr>
        <w:t xml:space="preserve"> base de plomo en los Estados Unidos. Por esta razón, estas viviendas están sujetas a estrictos requisitos federales que incluyen inspecciones, evaluaciones de riesgo, controles provisionales, mantenimiento continuo y la divulgación adecuada de información a los residentes.</w:t>
      </w:r>
    </w:p>
    <w:p w14:paraId="27D24AAC" w14:textId="77777777" w:rsidR="00C75A62" w:rsidRPr="00BA66B1" w:rsidRDefault="00C75A62" w:rsidP="00C75A62">
      <w:pPr>
        <w:spacing w:after="0" w:line="240" w:lineRule="auto"/>
        <w:ind w:firstLine="720"/>
        <w:jc w:val="both"/>
        <w:rPr>
          <w:rFonts w:ascii="Book Antiqua" w:eastAsia="Times New Roman" w:hAnsi="Book Antiqua" w:cs="Times New Roman"/>
          <w:kern w:val="0"/>
          <w:szCs w:val="20"/>
          <w:lang w:eastAsia="en-US"/>
          <w14:ligatures w14:val="none"/>
        </w:rPr>
      </w:pPr>
    </w:p>
    <w:p w14:paraId="2FB1ABA6" w14:textId="0B93D6D8" w:rsidR="00BA66B1" w:rsidRDefault="00BA66B1" w:rsidP="00C75A62">
      <w:pPr>
        <w:spacing w:after="0" w:line="240" w:lineRule="auto"/>
        <w:ind w:firstLine="720"/>
        <w:jc w:val="both"/>
        <w:rPr>
          <w:rFonts w:ascii="Book Antiqua" w:eastAsia="Times New Roman" w:hAnsi="Book Antiqua" w:cs="Times New Roman"/>
          <w:kern w:val="0"/>
          <w:szCs w:val="20"/>
          <w:lang w:eastAsia="en-US"/>
          <w14:ligatures w14:val="none"/>
        </w:rPr>
      </w:pPr>
      <w:r w:rsidRPr="00BA66B1">
        <w:rPr>
          <w:rFonts w:ascii="Book Antiqua" w:eastAsia="Times New Roman" w:hAnsi="Book Antiqua" w:cs="Times New Roman"/>
          <w:kern w:val="0"/>
          <w:szCs w:val="20"/>
          <w:lang w:eastAsia="en-US"/>
          <w14:ligatures w14:val="none"/>
        </w:rPr>
        <w:t>El 15 de enero de 2026, la Oficina del Inspector General del Departamento de Vivienda y Desarrollo Urbano de los Estados Unidos</w:t>
      </w:r>
      <w:r>
        <w:rPr>
          <w:rFonts w:ascii="Book Antiqua" w:eastAsia="Times New Roman" w:hAnsi="Book Antiqua" w:cs="Times New Roman"/>
          <w:kern w:val="0"/>
          <w:szCs w:val="20"/>
          <w:lang w:eastAsia="en-US"/>
          <w14:ligatures w14:val="none"/>
        </w:rPr>
        <w:t xml:space="preserve"> </w:t>
      </w:r>
      <w:r w:rsidRPr="00BA66B1">
        <w:rPr>
          <w:rFonts w:ascii="Book Antiqua" w:eastAsia="Times New Roman" w:hAnsi="Book Antiqua" w:cs="Times New Roman"/>
          <w:kern w:val="0"/>
          <w:szCs w:val="20"/>
          <w:lang w:eastAsia="en-US"/>
          <w14:ligatures w14:val="none"/>
        </w:rPr>
        <w:t xml:space="preserve">emitió un informe de auditoría en el que concluyó que la Administración de Vivienda Pública de Puerto Rico no ha manejado adecuadamente los riesgos asociados a la pintura </w:t>
      </w:r>
      <w:r w:rsidR="00FE38C6">
        <w:rPr>
          <w:rFonts w:ascii="Book Antiqua" w:eastAsia="Times New Roman" w:hAnsi="Book Antiqua" w:cs="Times New Roman"/>
          <w:kern w:val="0"/>
          <w:szCs w:val="20"/>
          <w:lang w:eastAsia="en-US"/>
          <w14:ligatures w14:val="none"/>
        </w:rPr>
        <w:t>a</w:t>
      </w:r>
      <w:r w:rsidRPr="00BA66B1">
        <w:rPr>
          <w:rFonts w:ascii="Book Antiqua" w:eastAsia="Times New Roman" w:hAnsi="Book Antiqua" w:cs="Times New Roman"/>
          <w:kern w:val="0"/>
          <w:szCs w:val="20"/>
          <w:lang w:eastAsia="en-US"/>
          <w14:ligatures w14:val="none"/>
        </w:rPr>
        <w:t xml:space="preserve"> base de plomo en los residenciales públicos. Entre los hallazgos más graves se señalan la falta de inspecciones completas, la ausencia de evaluaciones de riesgo, la deficiente conservación de documentos, la falta de controles y mantenimiento adecuados, y la divulgación incompleta o incorrecta de información a los residentes.</w:t>
      </w:r>
    </w:p>
    <w:p w14:paraId="6BCB1C69" w14:textId="77777777" w:rsidR="00C75A62" w:rsidRPr="00BA66B1" w:rsidRDefault="00C75A62" w:rsidP="00C75A62">
      <w:pPr>
        <w:spacing w:after="0" w:line="240" w:lineRule="auto"/>
        <w:ind w:firstLine="720"/>
        <w:jc w:val="both"/>
        <w:rPr>
          <w:rFonts w:ascii="Book Antiqua" w:eastAsia="Times New Roman" w:hAnsi="Book Antiqua" w:cs="Times New Roman"/>
          <w:kern w:val="0"/>
          <w:szCs w:val="20"/>
          <w:lang w:eastAsia="en-US"/>
          <w14:ligatures w14:val="none"/>
        </w:rPr>
      </w:pPr>
    </w:p>
    <w:p w14:paraId="4E12C390" w14:textId="14392B09" w:rsidR="00BA66B1" w:rsidRDefault="00BA66B1" w:rsidP="00C75A62">
      <w:pPr>
        <w:spacing w:after="0" w:line="240" w:lineRule="auto"/>
        <w:ind w:firstLine="720"/>
        <w:jc w:val="both"/>
        <w:rPr>
          <w:rFonts w:ascii="Book Antiqua" w:eastAsia="Times New Roman" w:hAnsi="Book Antiqua" w:cs="Times New Roman"/>
          <w:kern w:val="0"/>
          <w:szCs w:val="20"/>
          <w:lang w:eastAsia="en-US"/>
          <w14:ligatures w14:val="none"/>
        </w:rPr>
      </w:pPr>
      <w:r w:rsidRPr="00BA66B1">
        <w:rPr>
          <w:rFonts w:ascii="Book Antiqua" w:eastAsia="Times New Roman" w:hAnsi="Book Antiqua" w:cs="Times New Roman"/>
          <w:kern w:val="0"/>
          <w:szCs w:val="20"/>
          <w:lang w:eastAsia="en-US"/>
          <w14:ligatures w14:val="none"/>
        </w:rPr>
        <w:t>El informe también identifica deficiencias significativas en el manejo de casos de menores con niveles elevados de plomo en la sangre, incluyendo la falta de notificación oportuna a las familias afectadas, retrasos en la notificación a las autoridades federales y la ausencia de acciones correctivas en al menos un caso en el que se identificaron riesgos.</w:t>
      </w:r>
      <w:r w:rsidR="00FE38C6">
        <w:rPr>
          <w:rFonts w:ascii="Book Antiqua" w:eastAsia="Times New Roman" w:hAnsi="Book Antiqua" w:cs="Times New Roman"/>
          <w:kern w:val="0"/>
          <w:szCs w:val="20"/>
          <w:lang w:eastAsia="en-US"/>
          <w14:ligatures w14:val="none"/>
        </w:rPr>
        <w:t xml:space="preserve"> El Departamento de la Familia reveló que desde el 2021, existen al menos 40 casos de menores de edad, residentes de vivienda p</w:t>
      </w:r>
      <w:r w:rsidR="00FE38C6" w:rsidRPr="00FE38C6">
        <w:rPr>
          <w:rFonts w:ascii="Book Antiqua" w:eastAsia="Times New Roman" w:hAnsi="Book Antiqua" w:cs="Times New Roman"/>
          <w:kern w:val="0"/>
          <w:szCs w:val="20"/>
          <w:lang w:eastAsia="en-US"/>
          <w14:ligatures w14:val="none"/>
        </w:rPr>
        <w:t xml:space="preserve">ública que han dado positivo a plomo en la sangre. </w:t>
      </w:r>
      <w:r w:rsidRPr="00BA66B1">
        <w:rPr>
          <w:rFonts w:ascii="Book Antiqua" w:eastAsia="Times New Roman" w:hAnsi="Book Antiqua" w:cs="Times New Roman"/>
          <w:kern w:val="0"/>
          <w:szCs w:val="20"/>
          <w:lang w:eastAsia="en-US"/>
          <w14:ligatures w14:val="none"/>
        </w:rPr>
        <w:t xml:space="preserve"> Estas fallas colocan en peligro directo la salud y el bienestar de niños, niñas y sus familias.</w:t>
      </w:r>
    </w:p>
    <w:p w14:paraId="424AC954" w14:textId="77777777" w:rsidR="00C75A62" w:rsidRPr="00BA66B1" w:rsidRDefault="00C75A62" w:rsidP="00C75A62">
      <w:pPr>
        <w:spacing w:after="0" w:line="240" w:lineRule="auto"/>
        <w:ind w:firstLine="720"/>
        <w:jc w:val="both"/>
        <w:rPr>
          <w:rFonts w:ascii="Book Antiqua" w:eastAsia="Times New Roman" w:hAnsi="Book Antiqua" w:cs="Times New Roman"/>
          <w:kern w:val="0"/>
          <w:szCs w:val="20"/>
          <w:lang w:eastAsia="en-US"/>
          <w14:ligatures w14:val="none"/>
        </w:rPr>
      </w:pPr>
    </w:p>
    <w:p w14:paraId="40E5575C" w14:textId="001437F1" w:rsidR="00BA66B1" w:rsidRDefault="00BA66B1" w:rsidP="00C75A62">
      <w:pPr>
        <w:spacing w:after="0" w:line="240" w:lineRule="auto"/>
        <w:ind w:firstLine="720"/>
        <w:jc w:val="both"/>
        <w:rPr>
          <w:rFonts w:ascii="Book Antiqua" w:eastAsia="Times New Roman" w:hAnsi="Book Antiqua" w:cs="Times New Roman"/>
          <w:kern w:val="0"/>
          <w:szCs w:val="20"/>
          <w:lang w:eastAsia="en-US"/>
          <w14:ligatures w14:val="none"/>
        </w:rPr>
      </w:pPr>
      <w:r w:rsidRPr="00BA66B1">
        <w:rPr>
          <w:rFonts w:ascii="Book Antiqua" w:eastAsia="Times New Roman" w:hAnsi="Book Antiqua" w:cs="Times New Roman"/>
          <w:kern w:val="0"/>
          <w:szCs w:val="20"/>
          <w:lang w:eastAsia="en-US"/>
          <w14:ligatures w14:val="none"/>
        </w:rPr>
        <w:t>Estos señalamientos reflejan problemas de gobernanza, supervisión, asignación de recursos y cumplimiento normativo dentro de la Administración de Vivienda Pública. Dada la magnitud de los hallazgos, el número de unidades afectadas y el impacto potencial sobre la salud pública, resulta indispensable que la Cámara de Representantes ejerza su facultad constitucional de investigación.</w:t>
      </w:r>
    </w:p>
    <w:p w14:paraId="72296BD8" w14:textId="77777777" w:rsidR="00C75A62" w:rsidRPr="00BA66B1" w:rsidRDefault="00C75A62" w:rsidP="00C75A62">
      <w:pPr>
        <w:spacing w:after="0" w:line="240" w:lineRule="auto"/>
        <w:ind w:firstLine="720"/>
        <w:jc w:val="both"/>
        <w:rPr>
          <w:rFonts w:ascii="Book Antiqua" w:eastAsia="Times New Roman" w:hAnsi="Book Antiqua" w:cs="Times New Roman"/>
          <w:kern w:val="0"/>
          <w:szCs w:val="20"/>
          <w:lang w:eastAsia="en-US"/>
          <w14:ligatures w14:val="none"/>
        </w:rPr>
      </w:pPr>
    </w:p>
    <w:p w14:paraId="5DFF7628" w14:textId="39553B6A" w:rsidR="00CA4B3A" w:rsidRDefault="00BA66B1" w:rsidP="00C75A62">
      <w:pPr>
        <w:spacing w:after="0" w:line="240" w:lineRule="auto"/>
        <w:ind w:firstLine="720"/>
        <w:jc w:val="both"/>
        <w:rPr>
          <w:rFonts w:ascii="Book Antiqua" w:eastAsia="Times New Roman" w:hAnsi="Book Antiqua" w:cs="Times New Roman"/>
          <w:kern w:val="0"/>
          <w:szCs w:val="20"/>
          <w:lang w:eastAsia="en-US"/>
          <w14:ligatures w14:val="none"/>
        </w:rPr>
      </w:pPr>
      <w:r w:rsidRPr="00BA66B1">
        <w:rPr>
          <w:rFonts w:ascii="Book Antiqua" w:eastAsia="Times New Roman" w:hAnsi="Book Antiqua" w:cs="Times New Roman"/>
          <w:kern w:val="0"/>
          <w:szCs w:val="20"/>
          <w:lang w:eastAsia="en-US"/>
          <w14:ligatures w14:val="none"/>
        </w:rPr>
        <w:t>Esta Resolución tiene como propósito evaluar de manera rigurosa las actuaciones y omisiones de la Administración de Vivienda Pública, identificar responsabilidades, promover la transparencia y recomendar medidas correctivas y legislativas que garanticen que la vivienda pública en Puerto Rico sea segura, digna y libre de riesgos para la salud, especialmente para la niñez.</w:t>
      </w:r>
    </w:p>
    <w:p w14:paraId="014BE3EF" w14:textId="77777777" w:rsidR="00C75A62" w:rsidRPr="00BB3B34" w:rsidRDefault="00C75A62" w:rsidP="00C75A62">
      <w:pPr>
        <w:spacing w:after="0" w:line="240" w:lineRule="auto"/>
        <w:ind w:firstLine="720"/>
        <w:jc w:val="both"/>
        <w:rPr>
          <w:rFonts w:ascii="Book Antiqua" w:eastAsia="Times New Roman" w:hAnsi="Book Antiqua" w:cs="Times New Roman"/>
          <w:kern w:val="0"/>
          <w:szCs w:val="20"/>
          <w:lang w:eastAsia="en-US"/>
          <w14:ligatures w14:val="none"/>
        </w:rPr>
      </w:pPr>
    </w:p>
    <w:p w14:paraId="669122AF" w14:textId="77777777" w:rsidR="00C168EF" w:rsidRPr="00BB3B34" w:rsidRDefault="00C168EF" w:rsidP="00C168EF">
      <w:pPr>
        <w:spacing w:after="0" w:line="480" w:lineRule="auto"/>
        <w:rPr>
          <w:rFonts w:ascii="Book Antiqua" w:eastAsia="Times New Roman" w:hAnsi="Book Antiqua" w:cs="Times New Roman"/>
          <w:i/>
          <w:kern w:val="0"/>
          <w:szCs w:val="20"/>
          <w:lang w:eastAsia="en-US"/>
          <w14:ligatures w14:val="none"/>
        </w:rPr>
      </w:pPr>
      <w:r w:rsidRPr="00BB3B34">
        <w:rPr>
          <w:rFonts w:ascii="Book Antiqua" w:eastAsia="Times New Roman" w:hAnsi="Book Antiqua" w:cs="Times New Roman"/>
          <w:i/>
          <w:kern w:val="0"/>
          <w:szCs w:val="20"/>
          <w:lang w:eastAsia="en-US"/>
          <w14:ligatures w14:val="none"/>
        </w:rPr>
        <w:t>RESUÉLVESE POR LA CÁMARA DE REPRESENTANTES DE PUERTO RICO:</w:t>
      </w:r>
    </w:p>
    <w:p w14:paraId="68EC78BA" w14:textId="77777777" w:rsidR="00C168EF" w:rsidRPr="00BB3B34" w:rsidRDefault="00C168EF" w:rsidP="00C168EF">
      <w:pPr>
        <w:spacing w:after="0" w:line="480" w:lineRule="auto"/>
        <w:jc w:val="both"/>
        <w:rPr>
          <w:rFonts w:ascii="Book Antiqua" w:eastAsia="Times New Roman" w:hAnsi="Book Antiqua" w:cs="Times New Roman"/>
          <w:kern w:val="0"/>
          <w:szCs w:val="20"/>
          <w:lang w:eastAsia="en-US"/>
          <w14:ligatures w14:val="none"/>
        </w:rPr>
        <w:sectPr w:rsidR="00C168EF" w:rsidRPr="00BB3B34" w:rsidSect="00C168E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440" w:right="1440" w:bottom="1440" w:left="1440" w:header="720" w:footer="720" w:gutter="0"/>
          <w:cols w:space="720"/>
          <w:titlePg/>
        </w:sectPr>
      </w:pPr>
    </w:p>
    <w:p w14:paraId="4F82776C" w14:textId="296E879E" w:rsidR="007E3A7E" w:rsidRPr="00BB3B34" w:rsidRDefault="007E3A7E" w:rsidP="007E3A7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 xml:space="preserve">Sección 1. – </w:t>
      </w:r>
      <w:r w:rsidRPr="004D7610">
        <w:rPr>
          <w:rStyle w:val="s1"/>
          <w:rFonts w:ascii="Book Antiqua" w:hAnsi="Book Antiqua"/>
          <w:sz w:val="24"/>
          <w:szCs w:val="24"/>
        </w:rPr>
        <w:t xml:space="preserve">Se ordena </w:t>
      </w:r>
      <w:bookmarkStart w:id="0" w:name="_Hlk203389934"/>
      <w:r w:rsidR="004D7610" w:rsidRPr="004D7610">
        <w:rPr>
          <w:rStyle w:val="s1"/>
          <w:rFonts w:ascii="Book Antiqua" w:hAnsi="Book Antiqua"/>
          <w:sz w:val="24"/>
          <w:szCs w:val="24"/>
        </w:rPr>
        <w:t>tanto</w:t>
      </w:r>
      <w:r w:rsidR="005872EC" w:rsidRPr="004D7610">
        <w:rPr>
          <w:rStyle w:val="s1"/>
          <w:rFonts w:ascii="Book Antiqua" w:hAnsi="Book Antiqua"/>
          <w:sz w:val="24"/>
          <w:szCs w:val="24"/>
        </w:rPr>
        <w:t xml:space="preserve"> </w:t>
      </w:r>
      <w:bookmarkEnd w:id="0"/>
      <w:r w:rsidR="007234EA" w:rsidRPr="007234EA">
        <w:rPr>
          <w:rStyle w:val="s1"/>
          <w:rFonts w:ascii="Book Antiqua" w:hAnsi="Book Antiqua"/>
          <w:sz w:val="24"/>
          <w:szCs w:val="24"/>
        </w:rPr>
        <w:t xml:space="preserve">a la Comisión de Vivienda y Desarrollo Urbano </w:t>
      </w:r>
      <w:r w:rsidR="007234EA">
        <w:rPr>
          <w:rStyle w:val="s1"/>
          <w:rFonts w:ascii="Book Antiqua" w:hAnsi="Book Antiqua"/>
          <w:sz w:val="24"/>
          <w:szCs w:val="24"/>
        </w:rPr>
        <w:t>como</w:t>
      </w:r>
      <w:r w:rsidR="007234EA" w:rsidRPr="007234EA">
        <w:rPr>
          <w:rStyle w:val="s1"/>
          <w:rFonts w:ascii="Book Antiqua" w:hAnsi="Book Antiqua"/>
          <w:sz w:val="24"/>
          <w:szCs w:val="24"/>
        </w:rPr>
        <w:t xml:space="preserve"> a la Comisión de Salud de la Cámara de Representantes de Puerto Rico, a realizar una investigación exhaustiva sobre el manejo, cumplimiento y fiscalización de las normas </w:t>
      </w:r>
      <w:r w:rsidR="007234EA" w:rsidRPr="007234EA">
        <w:rPr>
          <w:rStyle w:val="s1"/>
          <w:rFonts w:ascii="Book Antiqua" w:hAnsi="Book Antiqua"/>
          <w:sz w:val="24"/>
          <w:szCs w:val="24"/>
        </w:rPr>
        <w:lastRenderedPageBreak/>
        <w:t xml:space="preserve">relacionadas con la pintura </w:t>
      </w:r>
      <w:r w:rsidR="00FE38C6">
        <w:rPr>
          <w:rStyle w:val="s1"/>
          <w:rFonts w:ascii="Book Antiqua" w:hAnsi="Book Antiqua"/>
          <w:sz w:val="24"/>
          <w:szCs w:val="24"/>
        </w:rPr>
        <w:t>a</w:t>
      </w:r>
      <w:r w:rsidR="007234EA" w:rsidRPr="007234EA">
        <w:rPr>
          <w:rStyle w:val="s1"/>
          <w:rFonts w:ascii="Book Antiqua" w:hAnsi="Book Antiqua"/>
          <w:sz w:val="24"/>
          <w:szCs w:val="24"/>
        </w:rPr>
        <w:t xml:space="preserve"> base de plomo en los complejos de vivienda pública de Puerto Rico por parte de la Administración de Vivienda Pública; evaluar el impacto de dichas actuaciones en la salud de los residentes, particularmente de menores de edad; identificar </w:t>
      </w:r>
      <w:r w:rsidR="008B4BBA">
        <w:rPr>
          <w:rStyle w:val="s1"/>
          <w:rFonts w:ascii="Book Antiqua" w:hAnsi="Book Antiqua"/>
          <w:sz w:val="24"/>
          <w:szCs w:val="24"/>
        </w:rPr>
        <w:t xml:space="preserve">posibles </w:t>
      </w:r>
      <w:r w:rsidR="007234EA" w:rsidRPr="007234EA">
        <w:rPr>
          <w:rStyle w:val="s1"/>
          <w:rFonts w:ascii="Book Antiqua" w:hAnsi="Book Antiqua"/>
          <w:sz w:val="24"/>
          <w:szCs w:val="24"/>
        </w:rPr>
        <w:t>fallas administrativas, operacionales y de supervisión</w:t>
      </w:r>
      <w:r w:rsidR="0074365E" w:rsidRPr="004D7610">
        <w:rPr>
          <w:rFonts w:ascii="Book Antiqua" w:hAnsi="Book Antiqua"/>
          <w:sz w:val="24"/>
          <w:szCs w:val="24"/>
        </w:rPr>
        <w:t>.</w:t>
      </w:r>
    </w:p>
    <w:p w14:paraId="4E3367F1" w14:textId="0D9739CC" w:rsidR="007E3A7E" w:rsidRPr="004D7610" w:rsidRDefault="007E3A7E" w:rsidP="007E3A7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 xml:space="preserve">Sección 2. – </w:t>
      </w:r>
      <w:r w:rsidR="00775146">
        <w:rPr>
          <w:rStyle w:val="s1"/>
          <w:rFonts w:ascii="Book Antiqua" w:hAnsi="Book Antiqua"/>
          <w:sz w:val="24"/>
          <w:szCs w:val="24"/>
        </w:rPr>
        <w:t>D</w:t>
      </w:r>
      <w:r w:rsidR="007234EA">
        <w:rPr>
          <w:rStyle w:val="s1"/>
          <w:rFonts w:ascii="Book Antiqua" w:hAnsi="Book Antiqua"/>
          <w:sz w:val="24"/>
          <w:szCs w:val="24"/>
        </w:rPr>
        <w:t xml:space="preserve">icha </w:t>
      </w:r>
      <w:r w:rsidR="00775146">
        <w:rPr>
          <w:rStyle w:val="s1"/>
          <w:rFonts w:ascii="Book Antiqua" w:hAnsi="Book Antiqua"/>
          <w:sz w:val="24"/>
          <w:szCs w:val="24"/>
        </w:rPr>
        <w:t>investigación</w:t>
      </w:r>
      <w:r w:rsidR="007234EA">
        <w:rPr>
          <w:rStyle w:val="s1"/>
          <w:rFonts w:ascii="Book Antiqua" w:hAnsi="Book Antiqua"/>
          <w:sz w:val="24"/>
          <w:szCs w:val="24"/>
        </w:rPr>
        <w:t xml:space="preserve"> incluirá, sin limitarse a:</w:t>
      </w:r>
    </w:p>
    <w:p w14:paraId="0D8900AF" w14:textId="2774245D" w:rsidR="007234EA" w:rsidRDefault="007234EA" w:rsidP="007234EA">
      <w:pPr>
        <w:pStyle w:val="p1"/>
        <w:numPr>
          <w:ilvl w:val="0"/>
          <w:numId w:val="2"/>
        </w:numPr>
        <w:spacing w:line="480" w:lineRule="auto"/>
        <w:jc w:val="both"/>
        <w:divId w:val="1720517507"/>
        <w:rPr>
          <w:rStyle w:val="s1"/>
          <w:rFonts w:ascii="Book Antiqua" w:hAnsi="Book Antiqua"/>
          <w:sz w:val="24"/>
          <w:szCs w:val="24"/>
        </w:rPr>
      </w:pPr>
      <w:r w:rsidRPr="007234EA">
        <w:rPr>
          <w:rStyle w:val="s1"/>
          <w:rFonts w:ascii="Book Antiqua" w:hAnsi="Book Antiqua"/>
          <w:sz w:val="24"/>
          <w:szCs w:val="24"/>
        </w:rPr>
        <w:t xml:space="preserve">El cumplimiento con las leyes, reglamentos y guías federales y estatales relacionadas con la identificación, evaluación, control y remoción de pintura </w:t>
      </w:r>
      <w:r w:rsidR="00FE38C6">
        <w:rPr>
          <w:rStyle w:val="s1"/>
          <w:rFonts w:ascii="Book Antiqua" w:hAnsi="Book Antiqua"/>
          <w:sz w:val="24"/>
          <w:szCs w:val="24"/>
        </w:rPr>
        <w:t>a</w:t>
      </w:r>
      <w:r w:rsidRPr="007234EA">
        <w:rPr>
          <w:rStyle w:val="s1"/>
          <w:rFonts w:ascii="Book Antiqua" w:hAnsi="Book Antiqua"/>
          <w:sz w:val="24"/>
          <w:szCs w:val="24"/>
        </w:rPr>
        <w:t xml:space="preserve"> base de plomo;</w:t>
      </w:r>
    </w:p>
    <w:p w14:paraId="5C286F56" w14:textId="77777777" w:rsidR="007234EA" w:rsidRDefault="007234EA" w:rsidP="007234EA">
      <w:pPr>
        <w:pStyle w:val="p1"/>
        <w:numPr>
          <w:ilvl w:val="0"/>
          <w:numId w:val="2"/>
        </w:numPr>
        <w:spacing w:line="480" w:lineRule="auto"/>
        <w:jc w:val="both"/>
        <w:divId w:val="1720517507"/>
        <w:rPr>
          <w:rStyle w:val="s1"/>
          <w:rFonts w:ascii="Book Antiqua" w:hAnsi="Book Antiqua"/>
          <w:sz w:val="24"/>
          <w:szCs w:val="24"/>
        </w:rPr>
      </w:pPr>
      <w:r w:rsidRPr="007234EA">
        <w:rPr>
          <w:rStyle w:val="s1"/>
          <w:rFonts w:ascii="Book Antiqua" w:hAnsi="Book Antiqua"/>
          <w:sz w:val="24"/>
          <w:szCs w:val="24"/>
        </w:rPr>
        <w:t>Los procesos de inspección, evaluación de riesgo, controles provisionales, mantenimiento y documentación utilizados por la Administración de Vivienda Pública;</w:t>
      </w:r>
    </w:p>
    <w:p w14:paraId="6420060A" w14:textId="77777777" w:rsidR="007234EA" w:rsidRDefault="007234EA" w:rsidP="007234EA">
      <w:pPr>
        <w:pStyle w:val="p1"/>
        <w:numPr>
          <w:ilvl w:val="0"/>
          <w:numId w:val="2"/>
        </w:numPr>
        <w:spacing w:line="480" w:lineRule="auto"/>
        <w:jc w:val="both"/>
        <w:divId w:val="1720517507"/>
        <w:rPr>
          <w:rStyle w:val="s1"/>
          <w:rFonts w:ascii="Book Antiqua" w:hAnsi="Book Antiqua"/>
          <w:sz w:val="24"/>
          <w:szCs w:val="24"/>
        </w:rPr>
      </w:pPr>
      <w:r w:rsidRPr="007234EA">
        <w:rPr>
          <w:rStyle w:val="s1"/>
          <w:rFonts w:ascii="Book Antiqua" w:hAnsi="Book Antiqua"/>
          <w:sz w:val="24"/>
          <w:szCs w:val="24"/>
        </w:rPr>
        <w:t>El manejo y notificación de casos de menores con niveles elevados de plomo en la sangre;</w:t>
      </w:r>
    </w:p>
    <w:p w14:paraId="604BD20D" w14:textId="6BDFCFDA" w:rsidR="007234EA" w:rsidRDefault="007234EA" w:rsidP="007234EA">
      <w:pPr>
        <w:pStyle w:val="p1"/>
        <w:numPr>
          <w:ilvl w:val="0"/>
          <w:numId w:val="2"/>
        </w:numPr>
        <w:spacing w:line="480" w:lineRule="auto"/>
        <w:jc w:val="both"/>
        <w:divId w:val="1720517507"/>
        <w:rPr>
          <w:rStyle w:val="s1"/>
          <w:rFonts w:ascii="Book Antiqua" w:hAnsi="Book Antiqua"/>
          <w:sz w:val="24"/>
          <w:szCs w:val="24"/>
        </w:rPr>
      </w:pPr>
      <w:r w:rsidRPr="007234EA">
        <w:rPr>
          <w:rStyle w:val="s1"/>
          <w:rFonts w:ascii="Book Antiqua" w:hAnsi="Book Antiqua"/>
          <w:sz w:val="24"/>
          <w:szCs w:val="24"/>
        </w:rPr>
        <w:t xml:space="preserve">La divulgación de información a residentes actuales y prospectivos sobre la presencia de pintura </w:t>
      </w:r>
      <w:r w:rsidR="00FE38C6">
        <w:rPr>
          <w:rStyle w:val="s1"/>
          <w:rFonts w:ascii="Book Antiqua" w:hAnsi="Book Antiqua"/>
          <w:sz w:val="24"/>
          <w:szCs w:val="24"/>
        </w:rPr>
        <w:t>a</w:t>
      </w:r>
      <w:r w:rsidRPr="007234EA">
        <w:rPr>
          <w:rStyle w:val="s1"/>
          <w:rFonts w:ascii="Book Antiqua" w:hAnsi="Book Antiqua"/>
          <w:sz w:val="24"/>
          <w:szCs w:val="24"/>
        </w:rPr>
        <w:t xml:space="preserve"> base de plomo;</w:t>
      </w:r>
    </w:p>
    <w:p w14:paraId="08210F00" w14:textId="77777777" w:rsidR="007234EA" w:rsidRDefault="007234EA" w:rsidP="007234EA">
      <w:pPr>
        <w:pStyle w:val="p1"/>
        <w:numPr>
          <w:ilvl w:val="0"/>
          <w:numId w:val="2"/>
        </w:numPr>
        <w:spacing w:line="480" w:lineRule="auto"/>
        <w:jc w:val="both"/>
        <w:divId w:val="1720517507"/>
        <w:rPr>
          <w:rStyle w:val="s1"/>
          <w:rFonts w:ascii="Book Antiqua" w:hAnsi="Book Antiqua"/>
          <w:sz w:val="24"/>
          <w:szCs w:val="24"/>
        </w:rPr>
      </w:pPr>
      <w:r w:rsidRPr="007234EA">
        <w:rPr>
          <w:rStyle w:val="s1"/>
          <w:rFonts w:ascii="Book Antiqua" w:hAnsi="Book Antiqua"/>
          <w:sz w:val="24"/>
          <w:szCs w:val="24"/>
        </w:rPr>
        <w:t>La asignación de recursos, supervisión administrativa y adiestramiento del personal responsable; y</w:t>
      </w:r>
    </w:p>
    <w:p w14:paraId="25ECF704" w14:textId="7215555B" w:rsidR="00801446" w:rsidRDefault="007234EA" w:rsidP="007234EA">
      <w:pPr>
        <w:pStyle w:val="p1"/>
        <w:numPr>
          <w:ilvl w:val="0"/>
          <w:numId w:val="2"/>
        </w:numPr>
        <w:spacing w:line="480" w:lineRule="auto"/>
        <w:jc w:val="both"/>
        <w:divId w:val="1720517507"/>
        <w:rPr>
          <w:rStyle w:val="s1"/>
          <w:rFonts w:ascii="Book Antiqua" w:hAnsi="Book Antiqua"/>
          <w:sz w:val="24"/>
          <w:szCs w:val="24"/>
        </w:rPr>
      </w:pPr>
      <w:r w:rsidRPr="007234EA">
        <w:rPr>
          <w:rStyle w:val="s1"/>
          <w:rFonts w:ascii="Book Antiqua" w:hAnsi="Book Antiqua"/>
          <w:sz w:val="24"/>
          <w:szCs w:val="24"/>
        </w:rPr>
        <w:t>Cualquier otra área relacionada que la</w:t>
      </w:r>
      <w:r w:rsidR="00775146">
        <w:rPr>
          <w:rStyle w:val="s1"/>
          <w:rFonts w:ascii="Book Antiqua" w:hAnsi="Book Antiqua"/>
          <w:sz w:val="24"/>
          <w:szCs w:val="24"/>
        </w:rPr>
        <w:t>s</w:t>
      </w:r>
      <w:r w:rsidRPr="007234EA">
        <w:rPr>
          <w:rStyle w:val="s1"/>
          <w:rFonts w:ascii="Book Antiqua" w:hAnsi="Book Antiqua"/>
          <w:sz w:val="24"/>
          <w:szCs w:val="24"/>
        </w:rPr>
        <w:t xml:space="preserve"> Comisi</w:t>
      </w:r>
      <w:r w:rsidR="00775146">
        <w:rPr>
          <w:rStyle w:val="s1"/>
          <w:rFonts w:ascii="Book Antiqua" w:hAnsi="Book Antiqua"/>
          <w:sz w:val="24"/>
          <w:szCs w:val="24"/>
        </w:rPr>
        <w:t>ones</w:t>
      </w:r>
      <w:r w:rsidRPr="007234EA">
        <w:rPr>
          <w:rStyle w:val="s1"/>
          <w:rFonts w:ascii="Book Antiqua" w:hAnsi="Book Antiqua"/>
          <w:sz w:val="24"/>
          <w:szCs w:val="24"/>
        </w:rPr>
        <w:t xml:space="preserve"> estime pertinente para cumplir con los propósitos de esta Resolución.</w:t>
      </w:r>
      <w:r w:rsidR="0051483D">
        <w:rPr>
          <w:rStyle w:val="s1"/>
          <w:rFonts w:ascii="Book Antiqua" w:hAnsi="Book Antiqua"/>
          <w:sz w:val="24"/>
          <w:szCs w:val="24"/>
        </w:rPr>
        <w:t xml:space="preserve"> </w:t>
      </w:r>
    </w:p>
    <w:p w14:paraId="3D6DB2FE" w14:textId="7265203E" w:rsidR="007E3A7E" w:rsidRDefault="007E3A7E" w:rsidP="007234EA">
      <w:pPr>
        <w:pStyle w:val="p1"/>
        <w:spacing w:line="480" w:lineRule="auto"/>
        <w:ind w:firstLine="708"/>
        <w:jc w:val="both"/>
        <w:divId w:val="1720517507"/>
        <w:rPr>
          <w:rStyle w:val="s1"/>
          <w:rFonts w:ascii="Book Antiqua" w:hAnsi="Book Antiqua"/>
          <w:sz w:val="24"/>
          <w:szCs w:val="24"/>
        </w:rPr>
      </w:pPr>
      <w:r w:rsidRPr="00BB3B34">
        <w:rPr>
          <w:rStyle w:val="s1"/>
          <w:rFonts w:ascii="Book Antiqua" w:hAnsi="Book Antiqua"/>
          <w:sz w:val="24"/>
          <w:szCs w:val="24"/>
        </w:rPr>
        <w:t xml:space="preserve">Sección 3. – </w:t>
      </w:r>
      <w:r w:rsidR="007234EA" w:rsidRPr="007234EA">
        <w:rPr>
          <w:rStyle w:val="s1"/>
          <w:rFonts w:ascii="Book Antiqua" w:hAnsi="Book Antiqua"/>
          <w:sz w:val="24"/>
          <w:szCs w:val="24"/>
        </w:rPr>
        <w:t>La</w:t>
      </w:r>
      <w:r w:rsidR="00775146">
        <w:rPr>
          <w:rStyle w:val="s1"/>
          <w:rFonts w:ascii="Book Antiqua" w:hAnsi="Book Antiqua"/>
          <w:sz w:val="24"/>
          <w:szCs w:val="24"/>
        </w:rPr>
        <w:t>s</w:t>
      </w:r>
      <w:r w:rsidR="007234EA" w:rsidRPr="007234EA">
        <w:rPr>
          <w:rStyle w:val="s1"/>
          <w:rFonts w:ascii="Book Antiqua" w:hAnsi="Book Antiqua"/>
          <w:sz w:val="24"/>
          <w:szCs w:val="24"/>
        </w:rPr>
        <w:t xml:space="preserve"> Comisi</w:t>
      </w:r>
      <w:r w:rsidR="00775146">
        <w:rPr>
          <w:rStyle w:val="s1"/>
          <w:rFonts w:ascii="Book Antiqua" w:hAnsi="Book Antiqua"/>
          <w:sz w:val="24"/>
          <w:szCs w:val="24"/>
        </w:rPr>
        <w:t>ones</w:t>
      </w:r>
      <w:r w:rsidR="007234EA" w:rsidRPr="007234EA">
        <w:rPr>
          <w:rStyle w:val="s1"/>
          <w:rFonts w:ascii="Book Antiqua" w:hAnsi="Book Antiqua"/>
          <w:sz w:val="24"/>
          <w:szCs w:val="24"/>
        </w:rPr>
        <w:t xml:space="preserve"> podrá celebrar vistas públicas</w:t>
      </w:r>
      <w:r w:rsidR="007234EA">
        <w:rPr>
          <w:rStyle w:val="s1"/>
          <w:rFonts w:ascii="Book Antiqua" w:hAnsi="Book Antiqua"/>
          <w:sz w:val="24"/>
          <w:szCs w:val="24"/>
        </w:rPr>
        <w:t>,</w:t>
      </w:r>
      <w:r w:rsidR="007234EA" w:rsidRPr="007234EA">
        <w:rPr>
          <w:rStyle w:val="s1"/>
          <w:rFonts w:ascii="Book Antiqua" w:hAnsi="Book Antiqua"/>
          <w:sz w:val="24"/>
          <w:szCs w:val="24"/>
        </w:rPr>
        <w:t xml:space="preserve"> requerir documentos, informes y testimonios, y solicitar la comparecencia de expertos, representantes de </w:t>
      </w:r>
      <w:r w:rsidR="007234EA" w:rsidRPr="007234EA">
        <w:rPr>
          <w:rStyle w:val="s1"/>
          <w:rFonts w:ascii="Book Antiqua" w:hAnsi="Book Antiqua"/>
          <w:sz w:val="24"/>
          <w:szCs w:val="24"/>
        </w:rPr>
        <w:lastRenderedPageBreak/>
        <w:t>agencias estatales y federales, y residentes afectados, conforme a las facultades que le confiere la Constitución y las leyes de Puerto Rico.</w:t>
      </w:r>
    </w:p>
    <w:p w14:paraId="01B48BD3" w14:textId="6BE25A15" w:rsidR="007234EA" w:rsidRPr="00BB3B34" w:rsidRDefault="007234EA" w:rsidP="007234EA">
      <w:pPr>
        <w:pStyle w:val="p1"/>
        <w:spacing w:line="480" w:lineRule="auto"/>
        <w:ind w:firstLine="708"/>
        <w:jc w:val="both"/>
        <w:divId w:val="1720517507"/>
        <w:rPr>
          <w:rFonts w:ascii="Book Antiqua" w:hAnsi="Book Antiqua"/>
          <w:sz w:val="24"/>
          <w:szCs w:val="24"/>
        </w:rPr>
      </w:pPr>
      <w:r w:rsidRPr="007234EA">
        <w:rPr>
          <w:rFonts w:ascii="Book Antiqua" w:hAnsi="Book Antiqua"/>
          <w:sz w:val="24"/>
          <w:szCs w:val="24"/>
        </w:rPr>
        <w:t xml:space="preserve">Sección 4. </w:t>
      </w:r>
      <w:r w:rsidR="00775146">
        <w:rPr>
          <w:rFonts w:ascii="Book Antiqua" w:hAnsi="Book Antiqua"/>
          <w:sz w:val="24"/>
          <w:szCs w:val="24"/>
        </w:rPr>
        <w:t>-</w:t>
      </w:r>
      <w:r w:rsidRPr="007234EA">
        <w:rPr>
          <w:rFonts w:ascii="Book Antiqua" w:hAnsi="Book Antiqua"/>
          <w:sz w:val="24"/>
          <w:szCs w:val="24"/>
        </w:rPr>
        <w:t xml:space="preserve"> La</w:t>
      </w:r>
      <w:r w:rsidR="00775146">
        <w:rPr>
          <w:rFonts w:ascii="Book Antiqua" w:hAnsi="Book Antiqua"/>
          <w:sz w:val="24"/>
          <w:szCs w:val="24"/>
        </w:rPr>
        <w:t>s</w:t>
      </w:r>
      <w:r w:rsidRPr="007234EA">
        <w:rPr>
          <w:rFonts w:ascii="Book Antiqua" w:hAnsi="Book Antiqua"/>
          <w:sz w:val="24"/>
          <w:szCs w:val="24"/>
        </w:rPr>
        <w:t xml:space="preserve"> Comisi</w:t>
      </w:r>
      <w:r w:rsidR="00775146">
        <w:rPr>
          <w:rFonts w:ascii="Book Antiqua" w:hAnsi="Book Antiqua"/>
          <w:sz w:val="24"/>
          <w:szCs w:val="24"/>
        </w:rPr>
        <w:t>o</w:t>
      </w:r>
      <w:r w:rsidRPr="007234EA">
        <w:rPr>
          <w:rFonts w:ascii="Book Antiqua" w:hAnsi="Book Antiqua"/>
          <w:sz w:val="24"/>
          <w:szCs w:val="24"/>
        </w:rPr>
        <w:t>n</w:t>
      </w:r>
      <w:r w:rsidR="00775146">
        <w:rPr>
          <w:rFonts w:ascii="Book Antiqua" w:hAnsi="Book Antiqua"/>
          <w:sz w:val="24"/>
          <w:szCs w:val="24"/>
        </w:rPr>
        <w:t>es</w:t>
      </w:r>
      <w:r w:rsidRPr="007234EA">
        <w:rPr>
          <w:rFonts w:ascii="Book Antiqua" w:hAnsi="Book Antiqua"/>
          <w:sz w:val="24"/>
          <w:szCs w:val="24"/>
        </w:rPr>
        <w:t xml:space="preserve"> rendirá</w:t>
      </w:r>
      <w:r w:rsidR="00775146">
        <w:rPr>
          <w:rFonts w:ascii="Book Antiqua" w:hAnsi="Book Antiqua"/>
          <w:sz w:val="24"/>
          <w:szCs w:val="24"/>
        </w:rPr>
        <w:t>n</w:t>
      </w:r>
      <w:r w:rsidRPr="007234EA">
        <w:rPr>
          <w:rFonts w:ascii="Book Antiqua" w:hAnsi="Book Antiqua"/>
          <w:sz w:val="24"/>
          <w:szCs w:val="24"/>
        </w:rPr>
        <w:t xml:space="preserve"> un informe </w:t>
      </w:r>
      <w:r w:rsidR="0015139C">
        <w:rPr>
          <w:rFonts w:ascii="Book Antiqua" w:hAnsi="Book Antiqua"/>
          <w:sz w:val="24"/>
          <w:szCs w:val="24"/>
        </w:rPr>
        <w:t xml:space="preserve">conjunto </w:t>
      </w:r>
      <w:r w:rsidRPr="007234EA">
        <w:rPr>
          <w:rFonts w:ascii="Book Antiqua" w:hAnsi="Book Antiqua"/>
          <w:sz w:val="24"/>
          <w:szCs w:val="24"/>
        </w:rPr>
        <w:t xml:space="preserve">con sus hallazgos, conclusiones y recomendaciones a la Cámara de Representantes dentro de un término no mayor de </w:t>
      </w:r>
      <w:r>
        <w:rPr>
          <w:rFonts w:ascii="Book Antiqua" w:hAnsi="Book Antiqua"/>
          <w:sz w:val="24"/>
          <w:szCs w:val="24"/>
        </w:rPr>
        <w:t>ciento ochenta (180)</w:t>
      </w:r>
      <w:r w:rsidRPr="007234EA">
        <w:rPr>
          <w:rFonts w:ascii="Book Antiqua" w:hAnsi="Book Antiqua"/>
          <w:sz w:val="24"/>
          <w:szCs w:val="24"/>
        </w:rPr>
        <w:t xml:space="preserve"> días, contados a partir de la aprobación de esta Resolución, e incluirá recomendaciones administrativas o legislativas de entenderlas necesarias.</w:t>
      </w:r>
    </w:p>
    <w:p w14:paraId="54454922" w14:textId="7A24DA45" w:rsidR="00C168EF" w:rsidRPr="00BB3B34" w:rsidRDefault="007E3A7E" w:rsidP="007E3A7E">
      <w:pPr>
        <w:pStyle w:val="p1"/>
        <w:spacing w:line="480" w:lineRule="auto"/>
        <w:ind w:firstLine="708"/>
        <w:jc w:val="both"/>
        <w:divId w:val="1720517507"/>
        <w:rPr>
          <w:rFonts w:ascii="Book Antiqua" w:hAnsi="Book Antiqua"/>
          <w:sz w:val="24"/>
          <w:szCs w:val="24"/>
        </w:rPr>
      </w:pPr>
      <w:r w:rsidRPr="00BB3B34">
        <w:rPr>
          <w:rStyle w:val="s1"/>
          <w:rFonts w:ascii="Book Antiqua" w:hAnsi="Book Antiqua"/>
          <w:sz w:val="24"/>
          <w:szCs w:val="24"/>
        </w:rPr>
        <w:t xml:space="preserve">Sección </w:t>
      </w:r>
      <w:r w:rsidR="00775146">
        <w:rPr>
          <w:rStyle w:val="s1"/>
          <w:rFonts w:ascii="Book Antiqua" w:hAnsi="Book Antiqua"/>
          <w:sz w:val="24"/>
          <w:szCs w:val="24"/>
        </w:rPr>
        <w:t>5</w:t>
      </w:r>
      <w:r w:rsidRPr="00BB3B34">
        <w:rPr>
          <w:rStyle w:val="s1"/>
          <w:rFonts w:ascii="Book Antiqua" w:hAnsi="Book Antiqua"/>
          <w:sz w:val="24"/>
          <w:szCs w:val="24"/>
        </w:rPr>
        <w:t>. – Esta Resolución entrará en vigor inmediatamente después de su aprobación.</w:t>
      </w:r>
    </w:p>
    <w:sectPr w:rsidR="00C168EF" w:rsidRPr="00BB3B34" w:rsidSect="00C168E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A574D" w14:textId="77777777" w:rsidR="001F35D3" w:rsidRDefault="001F35D3">
      <w:pPr>
        <w:spacing w:after="0" w:line="240" w:lineRule="auto"/>
      </w:pPr>
      <w:r>
        <w:separator/>
      </w:r>
    </w:p>
  </w:endnote>
  <w:endnote w:type="continuationSeparator" w:id="0">
    <w:p w14:paraId="7C7B2A67" w14:textId="77777777" w:rsidR="001F35D3" w:rsidRDefault="001F3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CB4B" w14:textId="77777777" w:rsidR="00A571D8" w:rsidRDefault="00A571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38E5" w14:textId="77777777" w:rsidR="00A571D8" w:rsidRDefault="00A571D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3E85" w14:textId="77777777" w:rsidR="00A571D8" w:rsidRDefault="00A571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CCF1A" w14:textId="77777777" w:rsidR="001F35D3" w:rsidRDefault="001F35D3">
      <w:pPr>
        <w:spacing w:after="0" w:line="240" w:lineRule="auto"/>
      </w:pPr>
      <w:r>
        <w:separator/>
      </w:r>
    </w:p>
  </w:footnote>
  <w:footnote w:type="continuationSeparator" w:id="0">
    <w:p w14:paraId="5BE85B52" w14:textId="77777777" w:rsidR="001F35D3" w:rsidRDefault="001F3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2D17" w14:textId="77777777" w:rsidR="00A571D8" w:rsidRDefault="00A571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FE8C9" w14:textId="77777777" w:rsidR="00A571D8" w:rsidRDefault="00A571D8">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CC35" w14:textId="77777777" w:rsidR="00A571D8" w:rsidRDefault="00A571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02C0D"/>
    <w:multiLevelType w:val="hybridMultilevel"/>
    <w:tmpl w:val="EF8C950C"/>
    <w:lvl w:ilvl="0" w:tplc="32CAE11E">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1651DF"/>
    <w:multiLevelType w:val="hybridMultilevel"/>
    <w:tmpl w:val="2382AA7E"/>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11250301">
    <w:abstractNumId w:val="1"/>
  </w:num>
  <w:num w:numId="2" w16cid:durableId="859509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8EF"/>
    <w:rsid w:val="000102B8"/>
    <w:rsid w:val="00016FF6"/>
    <w:rsid w:val="00035EFF"/>
    <w:rsid w:val="00055E79"/>
    <w:rsid w:val="00072A06"/>
    <w:rsid w:val="0011237A"/>
    <w:rsid w:val="001234C6"/>
    <w:rsid w:val="0013598D"/>
    <w:rsid w:val="0015139C"/>
    <w:rsid w:val="00177BBA"/>
    <w:rsid w:val="001D21C8"/>
    <w:rsid w:val="001E398F"/>
    <w:rsid w:val="001F35D3"/>
    <w:rsid w:val="00234C15"/>
    <w:rsid w:val="00250E36"/>
    <w:rsid w:val="00261128"/>
    <w:rsid w:val="0026633B"/>
    <w:rsid w:val="00296566"/>
    <w:rsid w:val="002E50F1"/>
    <w:rsid w:val="002F4BCF"/>
    <w:rsid w:val="00315761"/>
    <w:rsid w:val="00355543"/>
    <w:rsid w:val="00355DFC"/>
    <w:rsid w:val="00382666"/>
    <w:rsid w:val="003B65EE"/>
    <w:rsid w:val="003D3361"/>
    <w:rsid w:val="00410182"/>
    <w:rsid w:val="0042457F"/>
    <w:rsid w:val="00433E0E"/>
    <w:rsid w:val="004844B1"/>
    <w:rsid w:val="004907E4"/>
    <w:rsid w:val="004D49F3"/>
    <w:rsid w:val="004D7610"/>
    <w:rsid w:val="00502963"/>
    <w:rsid w:val="0051483D"/>
    <w:rsid w:val="005555E4"/>
    <w:rsid w:val="005627E9"/>
    <w:rsid w:val="0057002E"/>
    <w:rsid w:val="00586A13"/>
    <w:rsid w:val="005872EC"/>
    <w:rsid w:val="005C22BD"/>
    <w:rsid w:val="00641341"/>
    <w:rsid w:val="006A0F55"/>
    <w:rsid w:val="006B4162"/>
    <w:rsid w:val="007003A1"/>
    <w:rsid w:val="007234EA"/>
    <w:rsid w:val="0074365E"/>
    <w:rsid w:val="00775146"/>
    <w:rsid w:val="007B601A"/>
    <w:rsid w:val="007D3B04"/>
    <w:rsid w:val="007E3A7E"/>
    <w:rsid w:val="00801446"/>
    <w:rsid w:val="0080647B"/>
    <w:rsid w:val="00834573"/>
    <w:rsid w:val="00834C8E"/>
    <w:rsid w:val="008468C4"/>
    <w:rsid w:val="00877885"/>
    <w:rsid w:val="00894978"/>
    <w:rsid w:val="008A2F60"/>
    <w:rsid w:val="008B329D"/>
    <w:rsid w:val="008B4BBA"/>
    <w:rsid w:val="008C6778"/>
    <w:rsid w:val="009232A4"/>
    <w:rsid w:val="00A031DB"/>
    <w:rsid w:val="00A1696C"/>
    <w:rsid w:val="00A407C2"/>
    <w:rsid w:val="00A477C0"/>
    <w:rsid w:val="00A571D8"/>
    <w:rsid w:val="00A76E52"/>
    <w:rsid w:val="00AB3DB7"/>
    <w:rsid w:val="00AC0624"/>
    <w:rsid w:val="00AC0EDC"/>
    <w:rsid w:val="00AC1CCF"/>
    <w:rsid w:val="00AD7776"/>
    <w:rsid w:val="00B0304D"/>
    <w:rsid w:val="00B143E3"/>
    <w:rsid w:val="00B80F60"/>
    <w:rsid w:val="00B83208"/>
    <w:rsid w:val="00BA66B1"/>
    <w:rsid w:val="00BB3B34"/>
    <w:rsid w:val="00BD04AD"/>
    <w:rsid w:val="00C168EF"/>
    <w:rsid w:val="00C26EFD"/>
    <w:rsid w:val="00C62A53"/>
    <w:rsid w:val="00C75A62"/>
    <w:rsid w:val="00C91EA0"/>
    <w:rsid w:val="00CA4B3A"/>
    <w:rsid w:val="00D265E5"/>
    <w:rsid w:val="00D71384"/>
    <w:rsid w:val="00DC5223"/>
    <w:rsid w:val="00DD0E59"/>
    <w:rsid w:val="00DD3084"/>
    <w:rsid w:val="00DE5CB2"/>
    <w:rsid w:val="00E03EFE"/>
    <w:rsid w:val="00E34A0A"/>
    <w:rsid w:val="00E352C1"/>
    <w:rsid w:val="00E47AF7"/>
    <w:rsid w:val="00E70ED8"/>
    <w:rsid w:val="00E928FC"/>
    <w:rsid w:val="00EC673C"/>
    <w:rsid w:val="00EE140D"/>
    <w:rsid w:val="00F12941"/>
    <w:rsid w:val="00F35DE9"/>
    <w:rsid w:val="00FE38C6"/>
    <w:rsid w:val="00FF463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A26A4"/>
  <w15:chartTrackingRefBased/>
  <w15:docId w15:val="{FE93BB76-CFFF-FD4D-BF7B-5599026E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PR"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6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16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168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168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168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168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168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168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168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68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168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168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168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168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168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168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168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168EF"/>
    <w:rPr>
      <w:rFonts w:eastAsiaTheme="majorEastAsia" w:cstheme="majorBidi"/>
      <w:color w:val="272727" w:themeColor="text1" w:themeTint="D8"/>
    </w:rPr>
  </w:style>
  <w:style w:type="paragraph" w:styleId="Ttulo">
    <w:name w:val="Title"/>
    <w:basedOn w:val="Normal"/>
    <w:next w:val="Normal"/>
    <w:link w:val="TtuloCar"/>
    <w:uiPriority w:val="10"/>
    <w:qFormat/>
    <w:rsid w:val="00C16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168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168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168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168EF"/>
    <w:pPr>
      <w:spacing w:before="160"/>
      <w:jc w:val="center"/>
    </w:pPr>
    <w:rPr>
      <w:i/>
      <w:iCs/>
      <w:color w:val="404040" w:themeColor="text1" w:themeTint="BF"/>
    </w:rPr>
  </w:style>
  <w:style w:type="character" w:customStyle="1" w:styleId="CitaCar">
    <w:name w:val="Cita Car"/>
    <w:basedOn w:val="Fuentedeprrafopredeter"/>
    <w:link w:val="Cita"/>
    <w:uiPriority w:val="29"/>
    <w:rsid w:val="00C168EF"/>
    <w:rPr>
      <w:i/>
      <w:iCs/>
      <w:color w:val="404040" w:themeColor="text1" w:themeTint="BF"/>
    </w:rPr>
  </w:style>
  <w:style w:type="paragraph" w:styleId="Prrafodelista">
    <w:name w:val="List Paragraph"/>
    <w:basedOn w:val="Normal"/>
    <w:uiPriority w:val="34"/>
    <w:qFormat/>
    <w:rsid w:val="00C168EF"/>
    <w:pPr>
      <w:ind w:left="720"/>
      <w:contextualSpacing/>
    </w:pPr>
  </w:style>
  <w:style w:type="character" w:styleId="nfasisintenso">
    <w:name w:val="Intense Emphasis"/>
    <w:basedOn w:val="Fuentedeprrafopredeter"/>
    <w:uiPriority w:val="21"/>
    <w:qFormat/>
    <w:rsid w:val="00C168EF"/>
    <w:rPr>
      <w:i/>
      <w:iCs/>
      <w:color w:val="0F4761" w:themeColor="accent1" w:themeShade="BF"/>
    </w:rPr>
  </w:style>
  <w:style w:type="paragraph" w:styleId="Citadestacada">
    <w:name w:val="Intense Quote"/>
    <w:basedOn w:val="Normal"/>
    <w:next w:val="Normal"/>
    <w:link w:val="CitadestacadaCar"/>
    <w:uiPriority w:val="30"/>
    <w:qFormat/>
    <w:rsid w:val="00C16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168EF"/>
    <w:rPr>
      <w:i/>
      <w:iCs/>
      <w:color w:val="0F4761" w:themeColor="accent1" w:themeShade="BF"/>
    </w:rPr>
  </w:style>
  <w:style w:type="character" w:styleId="Referenciaintensa">
    <w:name w:val="Intense Reference"/>
    <w:basedOn w:val="Fuentedeprrafopredeter"/>
    <w:uiPriority w:val="32"/>
    <w:qFormat/>
    <w:rsid w:val="00C168EF"/>
    <w:rPr>
      <w:b/>
      <w:bCs/>
      <w:smallCaps/>
      <w:color w:val="0F4761" w:themeColor="accent1" w:themeShade="BF"/>
      <w:spacing w:val="5"/>
    </w:rPr>
  </w:style>
  <w:style w:type="paragraph" w:styleId="Encabezado">
    <w:name w:val="header"/>
    <w:basedOn w:val="Normal"/>
    <w:link w:val="EncabezadoCar"/>
    <w:rsid w:val="00C168EF"/>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EncabezadoCar">
    <w:name w:val="Encabezado Car"/>
    <w:basedOn w:val="Fuentedeprrafopredeter"/>
    <w:link w:val="Encabezado"/>
    <w:rsid w:val="00C168EF"/>
    <w:rPr>
      <w:rFonts w:ascii="Times New Roman" w:eastAsia="Times New Roman" w:hAnsi="Times New Roman" w:cs="Times New Roman"/>
      <w:kern w:val="0"/>
      <w:szCs w:val="20"/>
      <w:lang w:val="en-US" w:eastAsia="en-US"/>
      <w14:ligatures w14:val="none"/>
    </w:rPr>
  </w:style>
  <w:style w:type="paragraph" w:styleId="Piedepgina">
    <w:name w:val="footer"/>
    <w:basedOn w:val="Normal"/>
    <w:link w:val="PiedepginaCar"/>
    <w:rsid w:val="00C168EF"/>
    <w:pPr>
      <w:tabs>
        <w:tab w:val="center" w:pos="4320"/>
        <w:tab w:val="right" w:pos="8640"/>
      </w:tabs>
      <w:spacing w:after="0" w:line="240" w:lineRule="auto"/>
    </w:pPr>
    <w:rPr>
      <w:rFonts w:ascii="Times New Roman" w:eastAsia="Times New Roman" w:hAnsi="Times New Roman" w:cs="Times New Roman"/>
      <w:kern w:val="0"/>
      <w:szCs w:val="20"/>
      <w:lang w:val="en-US" w:eastAsia="en-US"/>
      <w14:ligatures w14:val="none"/>
    </w:rPr>
  </w:style>
  <w:style w:type="character" w:customStyle="1" w:styleId="PiedepginaCar">
    <w:name w:val="Pie de página Car"/>
    <w:basedOn w:val="Fuentedeprrafopredeter"/>
    <w:link w:val="Piedepgina"/>
    <w:rsid w:val="00C168EF"/>
    <w:rPr>
      <w:rFonts w:ascii="Times New Roman" w:eastAsia="Times New Roman" w:hAnsi="Times New Roman" w:cs="Times New Roman"/>
      <w:kern w:val="0"/>
      <w:szCs w:val="20"/>
      <w:lang w:val="en-US" w:eastAsia="en-US"/>
      <w14:ligatures w14:val="none"/>
    </w:rPr>
  </w:style>
  <w:style w:type="character" w:styleId="Nmerodepgina">
    <w:name w:val="page number"/>
    <w:basedOn w:val="Fuentedeprrafopredeter"/>
    <w:rsid w:val="00C168EF"/>
  </w:style>
  <w:style w:type="paragraph" w:customStyle="1" w:styleId="p1">
    <w:name w:val="p1"/>
    <w:basedOn w:val="Normal"/>
    <w:rsid w:val="00C168EF"/>
    <w:pPr>
      <w:spacing w:after="0" w:line="240" w:lineRule="auto"/>
    </w:pPr>
    <w:rPr>
      <w:rFonts w:ascii=".AppleSystemUIFont" w:hAnsi=".AppleSystemUIFont" w:cs="Times New Roman"/>
      <w:kern w:val="0"/>
      <w:sz w:val="26"/>
      <w:szCs w:val="26"/>
      <w14:ligatures w14:val="none"/>
    </w:rPr>
  </w:style>
  <w:style w:type="character" w:customStyle="1" w:styleId="s1">
    <w:name w:val="s1"/>
    <w:basedOn w:val="Fuentedeprrafopredeter"/>
    <w:rsid w:val="00C168EF"/>
    <w:rPr>
      <w:rFonts w:ascii="UICTFontTextStyleBody" w:hAnsi="UICTFontTextStyleBody" w:hint="default"/>
      <w:b w:val="0"/>
      <w:bCs w:val="0"/>
      <w:i w:val="0"/>
      <w:iCs w:val="0"/>
      <w:sz w:val="26"/>
      <w:szCs w:val="26"/>
    </w:rPr>
  </w:style>
  <w:style w:type="paragraph" w:customStyle="1" w:styleId="p2">
    <w:name w:val="p2"/>
    <w:basedOn w:val="Normal"/>
    <w:rsid w:val="00C168EF"/>
    <w:pPr>
      <w:spacing w:after="0" w:line="240" w:lineRule="auto"/>
    </w:pPr>
    <w:rPr>
      <w:rFonts w:ascii=".AppleSystemUIFont" w:hAnsi=".AppleSystemUIFont" w:cs="Times New Roman"/>
      <w:kern w:val="0"/>
      <w:sz w:val="26"/>
      <w:szCs w:val="26"/>
      <w14:ligatures w14:val="none"/>
    </w:rPr>
  </w:style>
  <w:style w:type="character" w:styleId="Nmerodelnea">
    <w:name w:val="line number"/>
    <w:basedOn w:val="Fuentedeprrafopredeter"/>
    <w:uiPriority w:val="99"/>
    <w:semiHidden/>
    <w:unhideWhenUsed/>
    <w:rsid w:val="00C168EF"/>
  </w:style>
  <w:style w:type="character" w:customStyle="1" w:styleId="apple-tab-span">
    <w:name w:val="apple-tab-span"/>
    <w:basedOn w:val="Fuentedeprrafopredeter"/>
    <w:rsid w:val="007E3A7E"/>
  </w:style>
  <w:style w:type="paragraph" w:styleId="Revisin">
    <w:name w:val="Revision"/>
    <w:hidden/>
    <w:uiPriority w:val="99"/>
    <w:semiHidden/>
    <w:rsid w:val="004D76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679213">
      <w:bodyDiv w:val="1"/>
      <w:marLeft w:val="0"/>
      <w:marRight w:val="0"/>
      <w:marTop w:val="0"/>
      <w:marBottom w:val="0"/>
      <w:divBdr>
        <w:top w:val="none" w:sz="0" w:space="0" w:color="auto"/>
        <w:left w:val="none" w:sz="0" w:space="0" w:color="auto"/>
        <w:bottom w:val="none" w:sz="0" w:space="0" w:color="auto"/>
        <w:right w:val="none" w:sz="0" w:space="0" w:color="auto"/>
      </w:divBdr>
    </w:div>
    <w:div w:id="1665039532">
      <w:bodyDiv w:val="1"/>
      <w:marLeft w:val="0"/>
      <w:marRight w:val="0"/>
      <w:marTop w:val="0"/>
      <w:marBottom w:val="0"/>
      <w:divBdr>
        <w:top w:val="none" w:sz="0" w:space="0" w:color="auto"/>
        <w:left w:val="none" w:sz="0" w:space="0" w:color="auto"/>
        <w:bottom w:val="none" w:sz="0" w:space="0" w:color="auto"/>
        <w:right w:val="none" w:sz="0" w:space="0" w:color="auto"/>
      </w:divBdr>
    </w:div>
    <w:div w:id="172051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973</Words>
  <Characters>5381</Characters>
  <Application>Microsoft Office Word</Application>
  <DocSecurity>0</DocSecurity>
  <Lines>112</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A COLON-MALDONADO</dc:creator>
  <cp:keywords/>
  <dc:description/>
  <cp:lastModifiedBy>Rocío Alayón Morell</cp:lastModifiedBy>
  <cp:revision>4</cp:revision>
  <cp:lastPrinted>2026-02-03T13:52:00Z</cp:lastPrinted>
  <dcterms:created xsi:type="dcterms:W3CDTF">2026-02-03T17:12:00Z</dcterms:created>
  <dcterms:modified xsi:type="dcterms:W3CDTF">2026-02-03T19:39:00Z</dcterms:modified>
</cp:coreProperties>
</file>