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E01E6" w14:textId="77777777" w:rsidR="001933D0" w:rsidRPr="00B02955" w:rsidRDefault="00D923DB" w:rsidP="000B21E0">
      <w:pPr>
        <w:jc w:val="center"/>
        <w:rPr>
          <w:rFonts w:ascii="Book Antiqua" w:hAnsi="Book Antiqua"/>
          <w:sz w:val="28"/>
          <w:szCs w:val="28"/>
          <w:lang w:val="es-PR"/>
        </w:rPr>
      </w:pPr>
      <w:r w:rsidRPr="00B02955">
        <w:rPr>
          <w:rFonts w:ascii="Book Antiqua" w:hAnsi="Book Antiqua"/>
          <w:sz w:val="28"/>
          <w:szCs w:val="28"/>
          <w:lang w:val="es-PR"/>
        </w:rPr>
        <w:t xml:space="preserve">ESTADO LIBRE ASOCIADO DE PUERTO RICO </w:t>
      </w:r>
    </w:p>
    <w:p w14:paraId="5132B989" w14:textId="3290D916" w:rsidR="000B21E0" w:rsidRPr="00580B9B" w:rsidRDefault="00A65953" w:rsidP="000B21E0">
      <w:pPr>
        <w:pStyle w:val="Title2"/>
        <w:tabs>
          <w:tab w:val="clear" w:pos="7776"/>
        </w:tabs>
        <w:rPr>
          <w:rFonts w:ascii="Book Antiqua" w:hAnsi="Book Antiqua"/>
          <w:lang w:val="it-IT"/>
        </w:rPr>
      </w:pPr>
      <w:r>
        <w:rPr>
          <w:rFonts w:ascii="Book Antiqua" w:hAnsi="Book Antiqua"/>
          <w:lang w:val="it-IT"/>
        </w:rPr>
        <w:t>20</w:t>
      </w:r>
      <w:r>
        <w:rPr>
          <w:rFonts w:ascii="Book Antiqua" w:hAnsi="Book Antiqua"/>
          <w:vertAlign w:val="superscript"/>
          <w:lang w:val="it-IT"/>
        </w:rPr>
        <w:t>ma</w:t>
      </w:r>
      <w:r>
        <w:rPr>
          <w:rFonts w:ascii="Book Antiqua" w:hAnsi="Book Antiqua"/>
          <w:lang w:val="it-IT"/>
        </w:rPr>
        <w:t>. Asamblea</w:t>
      </w:r>
      <w:r>
        <w:rPr>
          <w:rFonts w:ascii="Book Antiqua" w:hAnsi="Book Antiqua"/>
          <w:lang w:val="it-IT"/>
        </w:rPr>
        <w:tab/>
        <w:t xml:space="preserve"> 3</w:t>
      </w:r>
      <w:r>
        <w:rPr>
          <w:rFonts w:ascii="Book Antiqua" w:hAnsi="Book Antiqua"/>
          <w:vertAlign w:val="superscript"/>
          <w:lang w:val="it-IT"/>
        </w:rPr>
        <w:t>ra</w:t>
      </w:r>
      <w:r>
        <w:rPr>
          <w:rFonts w:ascii="Book Antiqua" w:hAnsi="Book Antiqua"/>
          <w:lang w:val="it-IT"/>
        </w:rPr>
        <w:t>. Sesión</w:t>
      </w:r>
    </w:p>
    <w:p w14:paraId="220490D7" w14:textId="77777777" w:rsidR="000B21E0" w:rsidRPr="00580B9B" w:rsidRDefault="000B21E0" w:rsidP="000B21E0">
      <w:pPr>
        <w:pStyle w:val="Title2"/>
        <w:tabs>
          <w:tab w:val="clear" w:pos="7776"/>
          <w:tab w:val="clear" w:pos="7848"/>
        </w:tabs>
        <w:rPr>
          <w:rFonts w:ascii="Book Antiqua" w:hAnsi="Book Antiqua"/>
          <w:lang w:val="it-IT"/>
        </w:rPr>
      </w:pPr>
      <w:r>
        <w:rPr>
          <w:rFonts w:ascii="Book Antiqua" w:hAnsi="Book Antiqua"/>
          <w:lang w:val="it-IT"/>
        </w:rPr>
        <w:t xml:space="preserve">           Legislativa                                                                                           </w:t>
      </w:r>
      <w:r>
        <w:rPr>
          <w:rFonts w:ascii="Book Antiqua" w:hAnsi="Book Antiqua"/>
          <w:lang w:val="it-IT"/>
        </w:rPr>
        <w:tab/>
        <w:t xml:space="preserve">      Ordinaria</w:t>
      </w:r>
    </w:p>
    <w:p w14:paraId="24355A4E" w14:textId="77777777" w:rsidR="000B21E0" w:rsidRDefault="000B21E0" w:rsidP="000B21E0">
      <w:pPr>
        <w:spacing w:after="0" w:line="240" w:lineRule="auto"/>
        <w:rPr>
          <w:lang w:val="it-IT"/>
        </w:rPr>
      </w:pPr>
    </w:p>
    <w:p w14:paraId="1B0ABF24" w14:textId="77777777" w:rsidR="00AE20B2" w:rsidRPr="00580B9B" w:rsidRDefault="00AE20B2" w:rsidP="000B21E0">
      <w:pPr>
        <w:spacing w:after="0" w:line="240" w:lineRule="auto"/>
        <w:rPr>
          <w:lang w:val="it-IT"/>
        </w:rPr>
      </w:pPr>
    </w:p>
    <w:p w14:paraId="2DD61FC7" w14:textId="77777777" w:rsidR="000B21E0" w:rsidRDefault="000B21E0" w:rsidP="000B21E0">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0A8DED0A" w14:textId="77777777" w:rsidR="000B21E0" w:rsidRPr="00476AD1" w:rsidRDefault="000B21E0" w:rsidP="000B21E0">
      <w:pPr>
        <w:spacing w:after="0" w:line="240" w:lineRule="auto"/>
        <w:jc w:val="center"/>
        <w:rPr>
          <w:rFonts w:ascii="Book Antiqua" w:hAnsi="Book Antiqua"/>
          <w:b/>
          <w:sz w:val="24"/>
          <w:szCs w:val="24"/>
          <w:lang w:val="es-ES_tradnl"/>
        </w:rPr>
      </w:pPr>
    </w:p>
    <w:p w14:paraId="01CB40A6" w14:textId="77777777" w:rsidR="000B21E0" w:rsidRDefault="000B21E0" w:rsidP="000B21E0">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 de la C. 592</w:t>
      </w:r>
    </w:p>
    <w:p w14:paraId="6D7BD3A1" w14:textId="77777777" w:rsidR="000B21E0" w:rsidRPr="00476AD1" w:rsidRDefault="000B21E0" w:rsidP="000B21E0">
      <w:pPr>
        <w:spacing w:after="0" w:line="240" w:lineRule="auto"/>
        <w:jc w:val="center"/>
        <w:rPr>
          <w:rFonts w:ascii="Book Antiqua" w:hAnsi="Book Antiqua"/>
          <w:b/>
          <w:sz w:val="24"/>
          <w:szCs w:val="24"/>
          <w:lang w:val="es-ES_tradnl"/>
        </w:rPr>
      </w:pPr>
    </w:p>
    <w:p w14:paraId="4272B197" w14:textId="77777777" w:rsidR="000B21E0" w:rsidRDefault="00685BAD" w:rsidP="000B21E0">
      <w:pPr>
        <w:spacing w:after="0" w:line="240" w:lineRule="auto"/>
        <w:jc w:val="center"/>
        <w:rPr>
          <w:rFonts w:ascii="Book Antiqua" w:hAnsi="Book Antiqua"/>
          <w:sz w:val="24"/>
          <w:szCs w:val="24"/>
          <w:lang w:val="es-ES_tradnl"/>
        </w:rPr>
      </w:pPr>
      <w:r>
        <w:rPr>
          <w:rFonts w:ascii="Book Antiqua" w:hAnsi="Book Antiqua"/>
          <w:sz w:val="24"/>
          <w:szCs w:val="24"/>
          <w:lang w:val="es-ES_tradnl"/>
        </w:rPr>
        <w:t xml:space="preserve">5 DE FEBRERO DE </w:t>
      </w:r>
      <w:r>
        <w:rPr>
          <w:rFonts w:ascii="Book Antiqua" w:hAnsi="Book Antiqua"/>
          <w:i/>
          <w:iCs/>
          <w:sz w:val="24"/>
          <w:szCs w:val="24"/>
          <w:u w:val="single"/>
          <w:lang w:val="es-ES_tradnl"/>
        </w:rPr>
        <w:t>2026</w:t>
      </w:r>
    </w:p>
    <w:p w14:paraId="4513C034" w14:textId="77777777" w:rsidR="000B21E0" w:rsidRPr="00927C35" w:rsidRDefault="000B21E0" w:rsidP="000B21E0">
      <w:pPr>
        <w:spacing w:after="0" w:line="240" w:lineRule="auto"/>
        <w:jc w:val="center"/>
        <w:rPr>
          <w:rFonts w:ascii="Book Antiqua" w:hAnsi="Book Antiqua"/>
          <w:sz w:val="24"/>
          <w:szCs w:val="24"/>
          <w:lang w:val="es-ES_tradnl"/>
        </w:rPr>
      </w:pPr>
    </w:p>
    <w:p w14:paraId="21C15645" w14:textId="77777777" w:rsidR="000B21E0" w:rsidRDefault="000B21E0" w:rsidP="000B21E0">
      <w:pPr>
        <w:spacing w:after="0" w:line="240" w:lineRule="auto"/>
        <w:jc w:val="center"/>
        <w:rPr>
          <w:rFonts w:ascii="Book Antiqua" w:hAnsi="Book Antiqua"/>
          <w:i/>
          <w:sz w:val="24"/>
          <w:szCs w:val="24"/>
          <w:lang w:val="es-ES_tradnl"/>
        </w:rPr>
      </w:pPr>
      <w:r>
        <w:rPr>
          <w:rFonts w:ascii="Book Antiqua" w:hAnsi="Book Antiqua"/>
          <w:sz w:val="24"/>
          <w:szCs w:val="24"/>
          <w:lang w:val="es-ES_tradnl"/>
        </w:rPr>
        <w:t xml:space="preserve">Presentada por el representante </w:t>
      </w:r>
      <w:r>
        <w:rPr>
          <w:rFonts w:ascii="Book Antiqua" w:hAnsi="Book Antiqua"/>
          <w:i/>
          <w:sz w:val="24"/>
          <w:szCs w:val="24"/>
          <w:lang w:val="es-ES_tradnl"/>
        </w:rPr>
        <w:t>Parés Otero</w:t>
      </w:r>
    </w:p>
    <w:p w14:paraId="11176492" w14:textId="77777777" w:rsidR="000B21E0" w:rsidRPr="00927C35" w:rsidRDefault="000B21E0" w:rsidP="000B21E0">
      <w:pPr>
        <w:spacing w:after="0" w:line="240" w:lineRule="auto"/>
        <w:jc w:val="center"/>
        <w:rPr>
          <w:i/>
          <w:sz w:val="24"/>
          <w:szCs w:val="24"/>
          <w:lang w:val="es-ES_tradnl"/>
        </w:rPr>
      </w:pPr>
    </w:p>
    <w:p w14:paraId="4979DDCD" w14:textId="77777777" w:rsidR="000B21E0" w:rsidRDefault="000B21E0" w:rsidP="000B21E0">
      <w:pPr>
        <w:spacing w:after="0" w:line="240" w:lineRule="auto"/>
        <w:jc w:val="center"/>
        <w:rPr>
          <w:rFonts w:ascii="Book Antiqua" w:hAnsi="Book Antiqua"/>
          <w:sz w:val="24"/>
          <w:szCs w:val="24"/>
          <w:lang w:val="es-ES_tradnl"/>
        </w:rPr>
      </w:pPr>
      <w:r>
        <w:rPr>
          <w:rFonts w:ascii="Book Antiqua" w:hAnsi="Book Antiqua"/>
          <w:sz w:val="24"/>
          <w:szCs w:val="24"/>
          <w:lang w:val="es-ES_tradnl"/>
        </w:rPr>
        <w:t>Referida a la Comisión de Asuntos Internos</w:t>
      </w:r>
    </w:p>
    <w:p w14:paraId="633ED41E" w14:textId="77777777" w:rsidR="000B21E0" w:rsidRPr="00927C35" w:rsidRDefault="000B21E0" w:rsidP="000B21E0">
      <w:pPr>
        <w:spacing w:after="0" w:line="240" w:lineRule="auto"/>
        <w:jc w:val="center"/>
        <w:rPr>
          <w:rFonts w:ascii="Book Antiqua" w:hAnsi="Book Antiqua"/>
          <w:sz w:val="24"/>
          <w:szCs w:val="24"/>
          <w:lang w:val="es-ES_tradnl"/>
        </w:rPr>
      </w:pPr>
    </w:p>
    <w:p w14:paraId="7C5C6A25" w14:textId="77777777" w:rsidR="000B21E0" w:rsidRDefault="000B21E0" w:rsidP="000B21E0">
      <w:pPr>
        <w:spacing w:after="0" w:line="240" w:lineRule="auto"/>
        <w:jc w:val="center"/>
        <w:rPr>
          <w:rFonts w:ascii="Book Antiqua" w:hAnsi="Book Antiqua"/>
          <w:b/>
          <w:sz w:val="28"/>
          <w:lang w:val="es-ES_tradnl"/>
        </w:rPr>
      </w:pPr>
      <w:r>
        <w:rPr>
          <w:rFonts w:ascii="Book Antiqua" w:hAnsi="Book Antiqua"/>
          <w:b/>
          <w:sz w:val="28"/>
          <w:lang w:val="es-ES_tradnl"/>
        </w:rPr>
        <w:t>RESOLUCIÓN</w:t>
      </w:r>
    </w:p>
    <w:p w14:paraId="00611930" w14:textId="77777777" w:rsidR="00C33396" w:rsidRPr="00C33396" w:rsidRDefault="00C33396" w:rsidP="00C33396">
      <w:pPr>
        <w:spacing w:after="0" w:line="240" w:lineRule="auto"/>
        <w:jc w:val="center"/>
        <w:rPr>
          <w:rFonts w:ascii="Book Antiqua" w:hAnsi="Book Antiqua"/>
          <w:sz w:val="24"/>
          <w:szCs w:val="24"/>
          <w:lang w:val="es-PR"/>
        </w:rPr>
      </w:pPr>
    </w:p>
    <w:p w14:paraId="280FF0C6" w14:textId="77777777" w:rsidR="00C33396" w:rsidRDefault="00C33396" w:rsidP="000B21E0">
      <w:pPr>
        <w:pStyle w:val="BlockText"/>
        <w:ind w:left="720" w:right="0"/>
        <w:rPr>
          <w:rFonts w:ascii="Book Antiqua" w:hAnsi="Book Antiqua"/>
          <w:sz w:val="24"/>
        </w:rPr>
      </w:pPr>
      <w:r>
        <w:rPr>
          <w:rFonts w:ascii="Book Antiqua" w:hAnsi="Book Antiqua"/>
          <w:sz w:val="24"/>
        </w:rPr>
        <w:t xml:space="preserve">Para ordenar a la Comisión de Transportación e Infraestructura de la Cámara de Representantes </w:t>
      </w:r>
      <w:r>
        <w:rPr>
          <w:rFonts w:ascii="Book Antiqua" w:hAnsi="Book Antiqua"/>
          <w:i/>
          <w:iCs/>
          <w:sz w:val="24"/>
          <w:u w:val="single"/>
        </w:rPr>
        <w:t>de Puerto Rico</w:t>
      </w:r>
      <w:r>
        <w:rPr>
          <w:rFonts w:ascii="Book Antiqua" w:hAnsi="Book Antiqua"/>
          <w:sz w:val="24"/>
        </w:rPr>
        <w:t xml:space="preserve"> realizar un estudio sobre el estado del Puente General Norzagaray, también conocido como Los Frailes, localizado en la Carretera Estatal PR-873, kilómetro 0.8, Barrio Tortugo, Río Piedras, en el término municipal de San Juan, que incluya una evaluación de su </w:t>
      </w:r>
      <w:r>
        <w:rPr>
          <w:rFonts w:ascii="Book Antiqua" w:hAnsi="Book Antiqua"/>
          <w:strike/>
          <w:sz w:val="24"/>
        </w:rPr>
        <w:t>estado</w:t>
      </w:r>
      <w:r>
        <w:rPr>
          <w:rFonts w:ascii="Book Antiqua" w:hAnsi="Book Antiqua"/>
          <w:sz w:val="24"/>
        </w:rPr>
        <w:t xml:space="preserve"> </w:t>
      </w:r>
      <w:r>
        <w:rPr>
          <w:rFonts w:ascii="Book Antiqua" w:hAnsi="Book Antiqua"/>
          <w:i/>
          <w:iCs/>
          <w:sz w:val="24"/>
          <w:u w:val="single"/>
        </w:rPr>
        <w:t>condición estructural</w:t>
      </w:r>
      <w:r>
        <w:rPr>
          <w:rFonts w:ascii="Book Antiqua" w:hAnsi="Book Antiqua"/>
          <w:sz w:val="24"/>
        </w:rPr>
        <w:t xml:space="preserve"> actual, posibles obras de conservación y su potencial como recurso histórico, turístico, comunitario y cultural</w:t>
      </w:r>
      <w:r>
        <w:rPr>
          <w:rFonts w:ascii="Book Antiqua" w:hAnsi="Book Antiqua"/>
          <w:strike/>
          <w:sz w:val="24"/>
        </w:rPr>
        <w:t>.</w:t>
      </w:r>
      <w:r>
        <w:rPr>
          <w:rFonts w:ascii="Book Antiqua" w:hAnsi="Book Antiqua"/>
          <w:i/>
          <w:iCs/>
          <w:sz w:val="24"/>
          <w:u w:val="single"/>
        </w:rPr>
        <w:t>; y para otros fines relacionados.</w:t>
      </w:r>
    </w:p>
    <w:p w14:paraId="0694A776" w14:textId="77777777" w:rsidR="00412565" w:rsidRPr="00C33396" w:rsidRDefault="00412565" w:rsidP="000B21E0">
      <w:pPr>
        <w:pStyle w:val="BlockText"/>
        <w:rPr>
          <w:rFonts w:ascii="Book Antiqua" w:hAnsi="Book Antiqua"/>
          <w:sz w:val="24"/>
        </w:rPr>
      </w:pPr>
    </w:p>
    <w:p w14:paraId="0FE91F54" w14:textId="77777777" w:rsidR="00C33396" w:rsidRDefault="000A7F02" w:rsidP="000B21E0">
      <w:pPr>
        <w:pStyle w:val="Heading1"/>
        <w:rPr>
          <w:rFonts w:ascii="Book Antiqua" w:hAnsi="Book Antiqua"/>
          <w:sz w:val="24"/>
        </w:rPr>
      </w:pPr>
      <w:r>
        <w:rPr>
          <w:rFonts w:ascii="Book Antiqua" w:hAnsi="Book Antiqua"/>
          <w:sz w:val="24"/>
        </w:rPr>
        <w:t>EXPOSICIÓN DE MOTIVOS</w:t>
      </w:r>
    </w:p>
    <w:p w14:paraId="7D639B99" w14:textId="77777777" w:rsidR="005C503D" w:rsidRDefault="005C503D" w:rsidP="000B21E0">
      <w:pPr>
        <w:spacing w:after="0" w:line="240" w:lineRule="auto"/>
        <w:jc w:val="both"/>
        <w:rPr>
          <w:rFonts w:ascii="Book Antiqua" w:hAnsi="Book Antiqua"/>
          <w:sz w:val="24"/>
          <w:szCs w:val="24"/>
          <w:lang w:val="es-PR"/>
        </w:rPr>
      </w:pPr>
    </w:p>
    <w:p w14:paraId="715544B9" w14:textId="77777777" w:rsidR="005C503D" w:rsidRDefault="00D923DB" w:rsidP="000B21E0">
      <w:pPr>
        <w:spacing w:line="240" w:lineRule="auto"/>
        <w:jc w:val="both"/>
        <w:rPr>
          <w:rFonts w:ascii="Book Antiqua" w:hAnsi="Book Antiqua"/>
          <w:sz w:val="24"/>
          <w:szCs w:val="24"/>
          <w:lang w:val="es-PR"/>
        </w:rPr>
      </w:pPr>
      <w:r>
        <w:rPr>
          <w:rFonts w:ascii="Book Antiqua" w:hAnsi="Book Antiqua"/>
          <w:sz w:val="24"/>
          <w:szCs w:val="24"/>
          <w:lang w:val="es-PR"/>
        </w:rPr>
        <w:tab/>
        <w:t>Es política pública del Gobierno de Puerto Rico, consignada en el Artículo VI, Sección 19, de la Constitución de Puerto Rico, la conservación y mantenimiento de los edificios y lugares declarados de valor histórico o artístico.</w:t>
      </w:r>
    </w:p>
    <w:p w14:paraId="6F3A6F0E" w14:textId="77777777" w:rsidR="00D923DB" w:rsidRDefault="005C503D" w:rsidP="000B21E0">
      <w:pPr>
        <w:spacing w:line="240" w:lineRule="auto"/>
        <w:jc w:val="both"/>
        <w:rPr>
          <w:rFonts w:ascii="Book Antiqua" w:hAnsi="Book Antiqua"/>
          <w:sz w:val="24"/>
          <w:szCs w:val="24"/>
          <w:lang w:val="es-PR"/>
        </w:rPr>
      </w:pPr>
      <w:r>
        <w:rPr>
          <w:rFonts w:ascii="Book Antiqua" w:hAnsi="Book Antiqua"/>
          <w:sz w:val="24"/>
          <w:szCs w:val="24"/>
          <w:lang w:val="es-PR"/>
        </w:rPr>
        <w:tab/>
        <w:t>Es el Estado el llamado a salvaguardar el patrimonio histórico puertorriqueño para la conservación, disfrute y beneficio de la presente y futuras generaciones.</w:t>
      </w:r>
    </w:p>
    <w:p w14:paraId="2FC3640C" w14:textId="77777777" w:rsidR="005C503D" w:rsidRDefault="005C503D" w:rsidP="000B21E0">
      <w:pPr>
        <w:spacing w:line="240" w:lineRule="auto"/>
        <w:jc w:val="both"/>
        <w:rPr>
          <w:rFonts w:ascii="Book Antiqua" w:hAnsi="Book Antiqua"/>
          <w:sz w:val="24"/>
          <w:szCs w:val="24"/>
          <w:lang w:val="es-PR"/>
        </w:rPr>
      </w:pPr>
      <w:r>
        <w:rPr>
          <w:rFonts w:ascii="Book Antiqua" w:hAnsi="Book Antiqua"/>
          <w:sz w:val="24"/>
          <w:szCs w:val="24"/>
          <w:lang w:val="es-PR"/>
        </w:rPr>
        <w:tab/>
        <w:t>La conservación del patrimonio histórico constituye un esfuerzo que rinde diversos beneficios en el quehacer cultural, económico, ambiental, social y estético.  Ese esfuerzo requiere un alto grado de sensibilidad y sentido de responsabilidad para con todo el pueblo, así como para nuestros visitantes.   Se contribuye así, también, a promover sentido de pertenencia y de aprecio por nuestra herencia histórica.</w:t>
      </w:r>
    </w:p>
    <w:p w14:paraId="75E1F2DA" w14:textId="77777777" w:rsidR="005C503D" w:rsidRDefault="005C503D" w:rsidP="000B21E0">
      <w:pPr>
        <w:spacing w:line="240" w:lineRule="auto"/>
        <w:jc w:val="both"/>
        <w:rPr>
          <w:rFonts w:ascii="Book Antiqua" w:hAnsi="Book Antiqua"/>
          <w:sz w:val="24"/>
          <w:szCs w:val="24"/>
          <w:lang w:val="es-PR"/>
        </w:rPr>
      </w:pPr>
      <w:r>
        <w:rPr>
          <w:rFonts w:ascii="Book Antiqua" w:hAnsi="Book Antiqua"/>
          <w:sz w:val="24"/>
          <w:szCs w:val="24"/>
          <w:lang w:val="es-PR"/>
        </w:rPr>
        <w:tab/>
        <w:t>Una estructura de valor histórico</w:t>
      </w:r>
      <w:r>
        <w:rPr>
          <w:rFonts w:ascii="Book Antiqua" w:hAnsi="Book Antiqua"/>
          <w:strike/>
          <w:sz w:val="24"/>
          <w:szCs w:val="24"/>
          <w:lang w:val="es-PR"/>
        </w:rPr>
        <w:t>, que todavía está en uso, lo es el puente</w:t>
      </w:r>
      <w:r>
        <w:rPr>
          <w:rFonts w:ascii="Book Antiqua" w:hAnsi="Book Antiqua"/>
          <w:sz w:val="24"/>
          <w:szCs w:val="24"/>
          <w:lang w:val="es-PR"/>
        </w:rPr>
        <w:t xml:space="preserve"> </w:t>
      </w:r>
      <w:r>
        <w:rPr>
          <w:rFonts w:ascii="Book Antiqua" w:hAnsi="Book Antiqua"/>
          <w:i/>
          <w:iCs/>
          <w:sz w:val="24"/>
          <w:szCs w:val="24"/>
          <w:u w:val="single"/>
          <w:lang w:val="es-PR"/>
        </w:rPr>
        <w:t>que todavía se encuentra en uso es el Puente</w:t>
      </w:r>
      <w:r>
        <w:rPr>
          <w:rFonts w:ascii="Book Antiqua" w:hAnsi="Book Antiqua"/>
          <w:sz w:val="24"/>
          <w:szCs w:val="24"/>
          <w:lang w:val="es-PR"/>
        </w:rPr>
        <w:t xml:space="preserve"> General Norzagaray, también conocido como Los </w:t>
      </w:r>
      <w:r>
        <w:rPr>
          <w:rFonts w:ascii="Book Antiqua" w:hAnsi="Book Antiqua"/>
          <w:sz w:val="24"/>
          <w:szCs w:val="24"/>
          <w:lang w:val="es-PR"/>
        </w:rPr>
        <w:lastRenderedPageBreak/>
        <w:t>Frailes, localizado en la Carretera Estatal PR-873, kilómetro 0.8, Barrio Tortugo, Río Piedras, en el término municipal de San Juan.</w:t>
      </w:r>
    </w:p>
    <w:p w14:paraId="782E94DF" w14:textId="77777777" w:rsidR="005C503D" w:rsidRDefault="005C503D" w:rsidP="000B21E0">
      <w:pPr>
        <w:spacing w:line="240" w:lineRule="auto"/>
        <w:jc w:val="both"/>
        <w:rPr>
          <w:rFonts w:ascii="Book Antiqua" w:hAnsi="Book Antiqua"/>
          <w:sz w:val="24"/>
          <w:szCs w:val="24"/>
          <w:lang w:val="es-PR"/>
        </w:rPr>
      </w:pPr>
      <w:r>
        <w:rPr>
          <w:rFonts w:ascii="Book Antiqua" w:hAnsi="Book Antiqua"/>
          <w:sz w:val="24"/>
          <w:szCs w:val="24"/>
          <w:lang w:val="es-PR"/>
        </w:rPr>
        <w:tab/>
        <w:t xml:space="preserve">El referido puente es parte de la antigua carretera que </w:t>
      </w:r>
      <w:r w:rsidRPr="00D005B8">
        <w:rPr>
          <w:rFonts w:ascii="Book Antiqua" w:hAnsi="Book Antiqua"/>
          <w:sz w:val="24"/>
          <w:szCs w:val="24"/>
          <w:lang w:val="es-PR"/>
        </w:rPr>
        <w:t>conduce</w:t>
      </w:r>
      <w:r>
        <w:rPr>
          <w:rFonts w:ascii="Book Antiqua" w:hAnsi="Book Antiqua"/>
          <w:sz w:val="24"/>
          <w:szCs w:val="24"/>
          <w:lang w:val="es-PR"/>
        </w:rPr>
        <w:t xml:space="preserve"> de San Juan a Caguas, obra que tuvo sus inicios para 1828, durante la gobernación del mariscal don Miguel de la Torre.  Esa carretera se continuó bajo el gobierno del General Rafael de Arístegui, cuyos planos había trazado el Coronel de Ingenieros Diego Gálvez y a cuya ejecución se dedicó el Coronel Tulio O'Neill y después el Comandante Santiago Cortijo.</w:t>
      </w:r>
    </w:p>
    <w:p w14:paraId="2E121CA2" w14:textId="77777777" w:rsidR="005C503D" w:rsidRDefault="00601382" w:rsidP="000B21E0">
      <w:pPr>
        <w:spacing w:line="240" w:lineRule="auto"/>
        <w:jc w:val="both"/>
        <w:rPr>
          <w:rFonts w:ascii="Book Antiqua" w:hAnsi="Book Antiqua"/>
          <w:sz w:val="24"/>
          <w:szCs w:val="24"/>
          <w:lang w:val="es-PR"/>
        </w:rPr>
      </w:pPr>
      <w:r>
        <w:rPr>
          <w:rFonts w:ascii="Book Antiqua" w:hAnsi="Book Antiqua"/>
          <w:sz w:val="24"/>
          <w:szCs w:val="24"/>
          <w:lang w:val="es-PR"/>
        </w:rPr>
        <w:tab/>
        <w:t xml:space="preserve">Fue el Teniente General Fernando Norzagaray Escudero, gobernador de 1852 a 1855, quien dispuso la creación de un nuevo puente, de ocho arcos y setenta pies de altura, sobre la quebrada Frailes. Véase: Lidio Cruz Monclova, </w:t>
      </w:r>
      <w:r>
        <w:rPr>
          <w:rFonts w:ascii="Book Antiqua" w:hAnsi="Book Antiqua"/>
          <w:i/>
          <w:sz w:val="24"/>
          <w:szCs w:val="24"/>
          <w:lang w:val="es-PR"/>
        </w:rPr>
        <w:t>Historia de Puerto Rico (Siglo XIX)</w:t>
      </w:r>
      <w:r>
        <w:rPr>
          <w:rFonts w:ascii="Book Antiqua" w:hAnsi="Book Antiqua"/>
          <w:sz w:val="24"/>
          <w:szCs w:val="24"/>
          <w:lang w:val="es-PR"/>
        </w:rPr>
        <w:t>, Editorial Universitaria (1952) Tomo I, págs. 193, 276, 301.</w:t>
      </w:r>
    </w:p>
    <w:p w14:paraId="07E142CE" w14:textId="77777777" w:rsidR="003F7DAE" w:rsidRPr="003F7DAE" w:rsidRDefault="003F7DAE" w:rsidP="002A6438">
      <w:pPr>
        <w:spacing w:line="240" w:lineRule="auto"/>
        <w:ind w:firstLine="720"/>
        <w:jc w:val="both"/>
        <w:rPr>
          <w:rFonts w:ascii="Book Antiqua" w:hAnsi="Book Antiqua"/>
          <w:sz w:val="24"/>
          <w:szCs w:val="24"/>
          <w:lang w:val="es-PR"/>
        </w:rPr>
      </w:pPr>
      <w:r>
        <w:rPr>
          <w:rFonts w:ascii="Book Antiqua" w:hAnsi="Book Antiqua"/>
          <w:sz w:val="24"/>
          <w:szCs w:val="24"/>
          <w:lang w:val="es-PR"/>
        </w:rPr>
        <w:t xml:space="preserve">Este puente-viaducto, de ocho grandes arcos de ladrillo, cruza la quebrada Los Frailes en el kilómetro 0.8 de la carretera estatal 873. Los arcos del puente, algunos llegan a los 20 pies de altura, son los más impresionantes que sobreviven del periodo colonial español en Puerto Rico. Diseñado por el ingeniero-jefe Manuel Sánchez Núñez y Layne, su construcción </w:t>
      </w:r>
      <w:r>
        <w:rPr>
          <w:rFonts w:ascii="Book Antiqua" w:hAnsi="Book Antiqua"/>
          <w:strike/>
          <w:sz w:val="24"/>
          <w:szCs w:val="24"/>
          <w:lang w:val="es-PR"/>
        </w:rPr>
        <w:t>lo</w:t>
      </w:r>
      <w:r>
        <w:rPr>
          <w:rFonts w:ascii="Book Antiqua" w:hAnsi="Book Antiqua"/>
          <w:sz w:val="24"/>
          <w:szCs w:val="24"/>
          <w:lang w:val="es-PR"/>
        </w:rPr>
        <w:t xml:space="preserve"> </w:t>
      </w:r>
      <w:r>
        <w:rPr>
          <w:rFonts w:ascii="Book Antiqua" w:hAnsi="Book Antiqua"/>
          <w:i/>
          <w:iCs/>
          <w:sz w:val="24"/>
          <w:szCs w:val="24"/>
          <w:u w:val="single"/>
          <w:lang w:val="es-PR"/>
        </w:rPr>
        <w:t>la</w:t>
      </w:r>
      <w:r>
        <w:rPr>
          <w:rFonts w:ascii="Book Antiqua" w:hAnsi="Book Antiqua"/>
          <w:sz w:val="24"/>
          <w:szCs w:val="24"/>
          <w:lang w:val="es-PR"/>
        </w:rPr>
        <w:t xml:space="preserve"> ejecutó Gustavo Steinacher, un prominente ingeniero del siglo XIX, por la suma de 45,346 pesos. El puente se construyó originalmente</w:t>
      </w:r>
      <w:r>
        <w:rPr>
          <w:rFonts w:ascii="Book Antiqua" w:hAnsi="Book Antiqua"/>
          <w:strike/>
          <w:sz w:val="24"/>
          <w:szCs w:val="24"/>
          <w:lang w:val="es-PR"/>
        </w:rPr>
        <w:t>,</w:t>
      </w:r>
      <w:r>
        <w:rPr>
          <w:rFonts w:ascii="Book Antiqua" w:hAnsi="Book Antiqua"/>
          <w:sz w:val="24"/>
          <w:szCs w:val="24"/>
          <w:lang w:val="es-PR"/>
        </w:rPr>
        <w:t xml:space="preserve"> como parte de la carretera entre </w:t>
      </w:r>
      <w:r>
        <w:rPr>
          <w:rFonts w:ascii="Book Antiqua" w:hAnsi="Book Antiqua"/>
          <w:strike/>
          <w:sz w:val="24"/>
          <w:szCs w:val="24"/>
          <w:lang w:val="es-PR"/>
        </w:rPr>
        <w:t>San Juan-Caguas</w:t>
      </w:r>
      <w:r>
        <w:rPr>
          <w:rFonts w:ascii="Book Antiqua" w:hAnsi="Book Antiqua"/>
          <w:sz w:val="24"/>
          <w:szCs w:val="24"/>
          <w:lang w:val="es-PR"/>
        </w:rPr>
        <w:t xml:space="preserve"> </w:t>
      </w:r>
      <w:r w:rsidR="0005143C">
        <w:rPr>
          <w:rFonts w:ascii="Book Antiqua" w:hAnsi="Book Antiqua"/>
          <w:i/>
          <w:iCs/>
          <w:sz w:val="24"/>
          <w:szCs w:val="24"/>
          <w:u w:val="single"/>
          <w:lang w:val="es-PR"/>
        </w:rPr>
        <w:t>San Juan y</w:t>
      </w:r>
      <w:r>
        <w:rPr>
          <w:rFonts w:ascii="Book Antiqua" w:hAnsi="Book Antiqua"/>
          <w:i/>
          <w:iCs/>
          <w:sz w:val="24"/>
          <w:szCs w:val="24"/>
          <w:u w:val="single"/>
          <w:lang w:val="es-PR"/>
        </w:rPr>
        <w:t xml:space="preserve"> Caguas</w:t>
      </w:r>
      <w:r>
        <w:rPr>
          <w:rFonts w:ascii="Book Antiqua" w:hAnsi="Book Antiqua"/>
          <w:sz w:val="24"/>
          <w:szCs w:val="24"/>
          <w:lang w:val="es-PR"/>
        </w:rPr>
        <w:t xml:space="preserve"> y luego fue incorporado como un tramo de la Carretera Central.</w:t>
      </w:r>
    </w:p>
    <w:p w14:paraId="67CC850B" w14:textId="77777777" w:rsidR="003F7DAE" w:rsidRPr="003F7DAE" w:rsidRDefault="003F7DAE" w:rsidP="002A6438">
      <w:pPr>
        <w:spacing w:line="240" w:lineRule="auto"/>
        <w:ind w:firstLine="720"/>
        <w:jc w:val="both"/>
        <w:rPr>
          <w:rFonts w:ascii="Book Antiqua" w:hAnsi="Book Antiqua"/>
          <w:sz w:val="24"/>
          <w:szCs w:val="24"/>
          <w:lang w:val="es-PR"/>
        </w:rPr>
      </w:pPr>
      <w:r>
        <w:rPr>
          <w:rFonts w:ascii="Book Antiqua" w:hAnsi="Book Antiqua"/>
          <w:sz w:val="24"/>
          <w:szCs w:val="24"/>
          <w:lang w:val="es-PR"/>
        </w:rPr>
        <w:t>Su construcción se inició en junio de 1854 y concluyó en mayo de 1855. El puente fue nombrado en honor de Fernando de Norzagaray y Escudero, quien fuese entre 1852 y 1855, Capitán-General y Gobernador de Puerto Rico.</w:t>
      </w:r>
    </w:p>
    <w:p w14:paraId="2C18D748" w14:textId="77777777" w:rsidR="00601382" w:rsidRDefault="003F7DAE" w:rsidP="002A6438">
      <w:pPr>
        <w:spacing w:line="240" w:lineRule="auto"/>
        <w:ind w:firstLine="720"/>
        <w:jc w:val="both"/>
        <w:rPr>
          <w:rFonts w:ascii="Book Antiqua" w:hAnsi="Book Antiqua"/>
          <w:sz w:val="24"/>
          <w:szCs w:val="24"/>
          <w:lang w:val="es-PR"/>
        </w:rPr>
      </w:pPr>
      <w:r>
        <w:rPr>
          <w:rFonts w:ascii="Book Antiqua" w:hAnsi="Book Antiqua"/>
          <w:sz w:val="24"/>
          <w:szCs w:val="24"/>
          <w:lang w:val="es-PR"/>
        </w:rPr>
        <w:t>Debido al debilitamiento de sus arcos, en 1927 se reconstruyó el interior de la superestructura utilizando vigas de acero y losas de hormigón apoyadas sobre las pilastras para liberar de peso a los arcos. Esta intervención se hizo respetando los muros frontales originales en mampostería y la forma general del puente, pero alteró sus caras con los soportes de hormigón que sobresalen, uno sobre cada pilastra, y con las vigas de amarre metálicas de los tensores que se pusieron uniendo a los muros frontales opuestos.  Transcurridos más de 160 años desde su apertura, el puente continúa en uso.</w:t>
      </w:r>
    </w:p>
    <w:p w14:paraId="5007A84B" w14:textId="77777777" w:rsidR="00601382" w:rsidRPr="008B3334" w:rsidRDefault="00601382" w:rsidP="66A01926">
      <w:pPr>
        <w:spacing w:line="240" w:lineRule="auto"/>
        <w:jc w:val="both"/>
        <w:rPr>
          <w:rFonts w:ascii="Book Antiqua" w:hAnsi="Book Antiqua"/>
          <w:sz w:val="24"/>
          <w:szCs w:val="24"/>
          <w:lang w:val="es-PR"/>
        </w:rPr>
      </w:pPr>
      <w:r>
        <w:rPr>
          <w:rFonts w:ascii="Book Antiqua" w:hAnsi="Book Antiqua"/>
          <w:sz w:val="24"/>
          <w:szCs w:val="24"/>
          <w:lang w:val="es-PR"/>
        </w:rPr>
        <w:tab/>
        <w:t xml:space="preserve">La importancia histórica de esta estructura se ha reconocido con su inclusión en el Registro Nacional de Lugares Históricos, a tenor </w:t>
      </w:r>
      <w:r w:rsidRPr="0005143C">
        <w:rPr>
          <w:rFonts w:ascii="Book Antiqua" w:hAnsi="Book Antiqua"/>
          <w:sz w:val="24"/>
          <w:szCs w:val="24"/>
          <w:lang w:val="es-PR"/>
        </w:rPr>
        <w:t>con</w:t>
      </w:r>
      <w:r>
        <w:rPr>
          <w:rFonts w:ascii="Book Antiqua" w:hAnsi="Book Antiqua"/>
          <w:sz w:val="24"/>
          <w:szCs w:val="24"/>
          <w:lang w:val="es-PR"/>
        </w:rPr>
        <w:t xml:space="preserve"> lo dispuesto en la Sección 106 del </w:t>
      </w:r>
      <w:r>
        <w:rPr>
          <w:rFonts w:ascii="Book Antiqua" w:hAnsi="Book Antiqua"/>
          <w:i/>
          <w:iCs/>
          <w:sz w:val="24"/>
          <w:szCs w:val="24"/>
          <w:lang w:val="es-PR"/>
        </w:rPr>
        <w:t>National Historic Preservation Act</w:t>
      </w:r>
      <w:r>
        <w:rPr>
          <w:rFonts w:ascii="Book Antiqua" w:hAnsi="Book Antiqua"/>
          <w:sz w:val="24"/>
          <w:szCs w:val="24"/>
          <w:lang w:val="es-PR"/>
        </w:rPr>
        <w:t xml:space="preserve">, P.L. 89-665, 16 U.S.C.S § 470.  Esa ley es una iniciativa del gobierno federal dirigida a la protección de los </w:t>
      </w:r>
      <w:r>
        <w:rPr>
          <w:rFonts w:ascii="Book Antiqua" w:hAnsi="Book Antiqua"/>
          <w:strike/>
          <w:sz w:val="24"/>
          <w:szCs w:val="24"/>
          <w:lang w:val="es-PR"/>
        </w:rPr>
        <w:t>fundamentos</w:t>
      </w:r>
      <w:r>
        <w:rPr>
          <w:rFonts w:ascii="Book Antiqua" w:hAnsi="Book Antiqua"/>
          <w:sz w:val="24"/>
          <w:szCs w:val="24"/>
          <w:lang w:val="es-PR"/>
        </w:rPr>
        <w:t xml:space="preserve"> </w:t>
      </w:r>
      <w:r>
        <w:rPr>
          <w:rFonts w:ascii="Book Antiqua" w:hAnsi="Book Antiqua"/>
          <w:i/>
          <w:iCs/>
          <w:sz w:val="24"/>
          <w:szCs w:val="24"/>
          <w:u w:val="single"/>
          <w:lang w:val="es-PR"/>
        </w:rPr>
        <w:t>recursos</w:t>
      </w:r>
      <w:r>
        <w:rPr>
          <w:rFonts w:ascii="Book Antiqua" w:hAnsi="Book Antiqua"/>
          <w:sz w:val="24"/>
          <w:szCs w:val="24"/>
          <w:lang w:val="es-PR"/>
        </w:rPr>
        <w:t xml:space="preserve"> históricos y culturales de la nación.  La inclusión del Puente General Norzagaray en el Registro ocurrió el 19 de julio de 1995, bajo el número 95000833, Oficina Estatal de Conservación Histórica (Puerto Rico State Historic Preservation Office).  </w:t>
      </w:r>
    </w:p>
    <w:p w14:paraId="50D0157E" w14:textId="77777777" w:rsidR="00601382" w:rsidRDefault="00601382" w:rsidP="000B21E0">
      <w:pPr>
        <w:spacing w:line="240" w:lineRule="auto"/>
        <w:jc w:val="both"/>
        <w:rPr>
          <w:rFonts w:ascii="Book Antiqua" w:hAnsi="Book Antiqua"/>
          <w:sz w:val="24"/>
          <w:szCs w:val="24"/>
          <w:lang w:val="es-PR"/>
        </w:rPr>
      </w:pPr>
      <w:r>
        <w:rPr>
          <w:rFonts w:ascii="Book Antiqua" w:hAnsi="Book Antiqua"/>
          <w:sz w:val="24"/>
          <w:szCs w:val="24"/>
          <w:lang w:val="es-PR"/>
        </w:rPr>
        <w:tab/>
        <w:t xml:space="preserve">En su legítimo interés por la preservación y adecuada utilización del puente General Norzagaray, también conocido como puente Los Frailes, </w:t>
      </w:r>
      <w:r>
        <w:rPr>
          <w:rFonts w:ascii="Book Antiqua" w:hAnsi="Book Antiqua"/>
          <w:strike/>
          <w:sz w:val="24"/>
          <w:szCs w:val="24"/>
          <w:lang w:val="es-PR"/>
        </w:rPr>
        <w:t>ésta</w:t>
      </w:r>
      <w:r>
        <w:rPr>
          <w:rFonts w:ascii="Book Antiqua" w:hAnsi="Book Antiqua"/>
          <w:sz w:val="24"/>
          <w:szCs w:val="24"/>
          <w:lang w:val="es-PR"/>
        </w:rPr>
        <w:t xml:space="preserve"> </w:t>
      </w:r>
      <w:r>
        <w:rPr>
          <w:rFonts w:ascii="Book Antiqua" w:hAnsi="Book Antiqua"/>
          <w:i/>
          <w:iCs/>
          <w:sz w:val="24"/>
          <w:szCs w:val="24"/>
          <w:u w:val="single"/>
          <w:lang w:val="es-PR"/>
        </w:rPr>
        <w:t>esta</w:t>
      </w:r>
      <w:r>
        <w:rPr>
          <w:rFonts w:ascii="Book Antiqua" w:hAnsi="Book Antiqua"/>
          <w:sz w:val="24"/>
          <w:szCs w:val="24"/>
          <w:lang w:val="es-PR"/>
        </w:rPr>
        <w:t xml:space="preserve"> Cámara de Representantes considera necesario y conveniente que se realice un estudio sobre el </w:t>
      </w:r>
      <w:r>
        <w:rPr>
          <w:rFonts w:ascii="Book Antiqua" w:hAnsi="Book Antiqua"/>
          <w:sz w:val="24"/>
          <w:szCs w:val="24"/>
          <w:lang w:val="es-PR"/>
        </w:rPr>
        <w:lastRenderedPageBreak/>
        <w:t>estado de preservación de esta histórica estructura, que incluya su potencial como recurso histórico, turístico, comunitario y cultural del que puedan sentirse orgullosos los vecinos del Barrio Tortugo del Municipio de San Juan.</w:t>
      </w:r>
    </w:p>
    <w:p w14:paraId="59D57137" w14:textId="77777777" w:rsidR="00812BB9" w:rsidRPr="00EF22B6" w:rsidRDefault="00EF22B6" w:rsidP="000B21E0">
      <w:pPr>
        <w:pStyle w:val="BodyText"/>
        <w:rPr>
          <w:rFonts w:ascii="Book Antiqua" w:hAnsi="Book Antiqua"/>
          <w:i/>
          <w:sz w:val="24"/>
        </w:rPr>
      </w:pPr>
      <w:r>
        <w:rPr>
          <w:rFonts w:ascii="Book Antiqua" w:hAnsi="Book Antiqua"/>
          <w:i/>
          <w:sz w:val="24"/>
        </w:rPr>
        <w:t>RESUÉLVESE POR LA CÁMARA DE REPRESENTANTES DE PUERTO RICO:</w:t>
      </w:r>
    </w:p>
    <w:p w14:paraId="6C654124" w14:textId="77777777" w:rsidR="00812BB9" w:rsidRDefault="00812BB9" w:rsidP="00C33396">
      <w:pPr>
        <w:pStyle w:val="BodyText"/>
        <w:rPr>
          <w:rFonts w:ascii="Book Antiqua" w:hAnsi="Book Antiqua"/>
          <w:sz w:val="24"/>
        </w:rPr>
      </w:pPr>
    </w:p>
    <w:p w14:paraId="0380ED14" w14:textId="77777777" w:rsidR="00812BB9" w:rsidRDefault="00812BB9" w:rsidP="00C33396">
      <w:pPr>
        <w:pStyle w:val="BodyText"/>
        <w:rPr>
          <w:rFonts w:ascii="Book Antiqua" w:hAnsi="Book Antiqua"/>
          <w:sz w:val="24"/>
        </w:rPr>
        <w:sectPr w:rsidR="00812BB9" w:rsidSect="00EF22B6">
          <w:headerReference w:type="default" r:id="rId7"/>
          <w:headerReference w:type="first" r:id="rId8"/>
          <w:pgSz w:w="12240" w:h="15840"/>
          <w:pgMar w:top="1440" w:right="1440" w:bottom="1080" w:left="1440" w:header="720" w:footer="720" w:gutter="0"/>
          <w:cols w:space="720"/>
          <w:titlePg/>
          <w:docGrid w:linePitch="360"/>
        </w:sectPr>
      </w:pPr>
    </w:p>
    <w:p w14:paraId="0413DA6E" w14:textId="77777777" w:rsidR="00C33396" w:rsidRPr="005573EF" w:rsidRDefault="00C33396" w:rsidP="00C33396">
      <w:pPr>
        <w:pStyle w:val="BodyText"/>
        <w:spacing w:line="480" w:lineRule="auto"/>
        <w:ind w:firstLine="720"/>
        <w:rPr>
          <w:rFonts w:ascii="Book Antiqua" w:hAnsi="Book Antiqua"/>
          <w:sz w:val="24"/>
        </w:rPr>
      </w:pPr>
      <w:r>
        <w:rPr>
          <w:rFonts w:ascii="Book Antiqua" w:hAnsi="Book Antiqua"/>
          <w:sz w:val="24"/>
        </w:rPr>
        <w:t xml:space="preserve">Sección 1.- Se ordena a la Comisión de Transportación e Infraestructura de la Cámara de Representantes </w:t>
      </w:r>
      <w:r>
        <w:rPr>
          <w:rFonts w:ascii="Book Antiqua" w:hAnsi="Book Antiqua"/>
          <w:i/>
          <w:iCs/>
          <w:sz w:val="24"/>
          <w:u w:val="single"/>
        </w:rPr>
        <w:t>de Puerto Rico</w:t>
      </w:r>
      <w:r>
        <w:rPr>
          <w:rFonts w:ascii="Book Antiqua" w:hAnsi="Book Antiqua"/>
          <w:sz w:val="24"/>
        </w:rPr>
        <w:t xml:space="preserve"> realizar un estudio sobre el estado del Puente General Norzagaray, también conocido como Los Frailes, localizado en la Carretera Estatal PR-873, kilómetro 0.8, Barrio Tortugo, Río Piedras, en el término municipal de San Juan, que incluya una evaluación de su </w:t>
      </w:r>
      <w:r>
        <w:rPr>
          <w:rFonts w:ascii="Book Antiqua" w:hAnsi="Book Antiqua"/>
          <w:strike/>
          <w:sz w:val="24"/>
        </w:rPr>
        <w:t>estado</w:t>
      </w:r>
      <w:r>
        <w:rPr>
          <w:rFonts w:ascii="Book Antiqua" w:hAnsi="Book Antiqua"/>
          <w:sz w:val="24"/>
        </w:rPr>
        <w:t xml:space="preserve"> </w:t>
      </w:r>
      <w:r>
        <w:rPr>
          <w:rFonts w:ascii="Book Antiqua" w:hAnsi="Book Antiqua"/>
          <w:i/>
          <w:iCs/>
          <w:sz w:val="24"/>
          <w:u w:val="single"/>
        </w:rPr>
        <w:t>condición estructural</w:t>
      </w:r>
      <w:r>
        <w:rPr>
          <w:rFonts w:ascii="Book Antiqua" w:hAnsi="Book Antiqua"/>
          <w:sz w:val="24"/>
        </w:rPr>
        <w:t xml:space="preserve"> actual, posibles obras de conservación y </w:t>
      </w:r>
      <w:r>
        <w:rPr>
          <w:rFonts w:ascii="Book Antiqua" w:hAnsi="Book Antiqua"/>
          <w:strike/>
          <w:sz w:val="24"/>
        </w:rPr>
        <w:t>de</w:t>
      </w:r>
      <w:r>
        <w:rPr>
          <w:rFonts w:ascii="Book Antiqua" w:hAnsi="Book Antiqua"/>
          <w:sz w:val="24"/>
        </w:rPr>
        <w:t xml:space="preserve"> su potencial como recurso histórico, turístico, comunitario y cultural</w:t>
      </w:r>
      <w:r w:rsidR="005573EF">
        <w:rPr>
          <w:rFonts w:ascii="Book Antiqua" w:hAnsi="Book Antiqua"/>
          <w:sz w:val="24"/>
        </w:rPr>
        <w:t>.</w:t>
      </w:r>
    </w:p>
    <w:p w14:paraId="08AF705A" w14:textId="77777777" w:rsidR="00C33396" w:rsidRPr="00C33396" w:rsidRDefault="00C33396" w:rsidP="00C33396">
      <w:pPr>
        <w:pStyle w:val="BodyText"/>
        <w:spacing w:line="480" w:lineRule="auto"/>
        <w:ind w:firstLine="720"/>
        <w:rPr>
          <w:rFonts w:ascii="Book Antiqua" w:hAnsi="Book Antiqua"/>
          <w:sz w:val="24"/>
        </w:rPr>
      </w:pPr>
      <w:r>
        <w:rPr>
          <w:rFonts w:ascii="Book Antiqua" w:hAnsi="Book Antiqua"/>
          <w:sz w:val="24"/>
        </w:rPr>
        <w:t xml:space="preserve">Sección 2.- La Comisión rendirá a la Cámara de Representantes informes parciales con sus hallazgos, conclusiones y recomendaciones. Además, rendirá un informe final antes de que </w:t>
      </w:r>
      <w:r>
        <w:rPr>
          <w:rFonts w:ascii="Book Antiqua" w:hAnsi="Book Antiqua"/>
          <w:strike/>
          <w:sz w:val="24"/>
        </w:rPr>
        <w:t>culmine</w:t>
      </w:r>
      <w:r>
        <w:rPr>
          <w:rFonts w:ascii="Book Antiqua" w:hAnsi="Book Antiqua"/>
          <w:sz w:val="24"/>
        </w:rPr>
        <w:t xml:space="preserve"> </w:t>
      </w:r>
      <w:r>
        <w:rPr>
          <w:rFonts w:ascii="Book Antiqua" w:hAnsi="Book Antiqua"/>
          <w:i/>
          <w:iCs/>
          <w:sz w:val="24"/>
          <w:u w:val="single"/>
        </w:rPr>
        <w:t>concluya</w:t>
      </w:r>
      <w:r>
        <w:rPr>
          <w:rFonts w:ascii="Book Antiqua" w:hAnsi="Book Antiqua"/>
          <w:sz w:val="24"/>
        </w:rPr>
        <w:t xml:space="preserve"> el término de la </w:t>
      </w:r>
      <w:r>
        <w:rPr>
          <w:rFonts w:ascii="Book Antiqua" w:hAnsi="Book Antiqua"/>
          <w:strike/>
          <w:sz w:val="24"/>
        </w:rPr>
        <w:t>Decimonovena (19na)</w:t>
      </w:r>
      <w:r>
        <w:rPr>
          <w:rFonts w:ascii="Book Antiqua" w:hAnsi="Book Antiqua"/>
          <w:sz w:val="24"/>
        </w:rPr>
        <w:t xml:space="preserve"> </w:t>
      </w:r>
      <w:r>
        <w:rPr>
          <w:rFonts w:ascii="Book Antiqua" w:hAnsi="Book Antiqua"/>
          <w:i/>
          <w:iCs/>
          <w:sz w:val="24"/>
          <w:u w:val="single"/>
        </w:rPr>
        <w:t>Vigésima (20ma.)</w:t>
      </w:r>
      <w:r>
        <w:rPr>
          <w:rFonts w:ascii="Book Antiqua" w:hAnsi="Book Antiqua"/>
          <w:sz w:val="24"/>
        </w:rPr>
        <w:t xml:space="preserve"> Asamblea Legislativa. </w:t>
      </w:r>
    </w:p>
    <w:p w14:paraId="4D75DD9F" w14:textId="77777777" w:rsidR="00C33396" w:rsidRDefault="00C33396" w:rsidP="00812BB9">
      <w:pPr>
        <w:pStyle w:val="BodyText"/>
        <w:spacing w:line="480" w:lineRule="auto"/>
        <w:ind w:firstLine="720"/>
        <w:rPr>
          <w:rFonts w:ascii="Book Antiqua" w:hAnsi="Book Antiqua"/>
          <w:szCs w:val="28"/>
        </w:rPr>
      </w:pPr>
      <w:r>
        <w:rPr>
          <w:rFonts w:ascii="Book Antiqua" w:hAnsi="Book Antiqua"/>
          <w:sz w:val="24"/>
        </w:rPr>
        <w:t>Sección 3.- Esta Resolución comenzará a regir inmediatamente después de su aprobación.</w:t>
      </w:r>
    </w:p>
    <w:sectPr w:rsidR="00C33396" w:rsidSect="00812BB9">
      <w:type w:val="continuous"/>
      <w:pgSz w:w="12240" w:h="15840"/>
      <w:pgMar w:top="1440" w:right="1440" w:bottom="1080" w:left="1440" w:header="720" w:footer="720" w:gutter="0"/>
      <w:lnNumType w:countBy="1" w:restart="newSection"/>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A4B66" w14:textId="77777777" w:rsidR="000A394C" w:rsidRDefault="000A394C" w:rsidP="00EF22B6">
      <w:pPr>
        <w:spacing w:after="0" w:line="240" w:lineRule="auto"/>
      </w:pPr>
      <w:r>
        <w:separator/>
      </w:r>
    </w:p>
  </w:endnote>
  <w:endnote w:type="continuationSeparator" w:id="0">
    <w:p w14:paraId="3F573EC2" w14:textId="77777777" w:rsidR="000A394C" w:rsidRDefault="000A394C" w:rsidP="00EF2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ECF3B" w14:textId="77777777" w:rsidR="000A394C" w:rsidRDefault="000A394C" w:rsidP="00EF22B6">
      <w:pPr>
        <w:spacing w:after="0" w:line="240" w:lineRule="auto"/>
      </w:pPr>
      <w:r>
        <w:separator/>
      </w:r>
    </w:p>
  </w:footnote>
  <w:footnote w:type="continuationSeparator" w:id="0">
    <w:p w14:paraId="1A0AB22A" w14:textId="77777777" w:rsidR="000A394C" w:rsidRDefault="000A394C" w:rsidP="00EF2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705721"/>
      <w:docPartObj>
        <w:docPartGallery w:val="Page Numbers (Top of Page)"/>
        <w:docPartUnique/>
      </w:docPartObj>
    </w:sdtPr>
    <w:sdtContent>
      <w:p w14:paraId="4979C1FF" w14:textId="77777777" w:rsidR="001933D0" w:rsidRDefault="001933D0">
        <w:pPr>
          <w:pStyle w:val="Header"/>
          <w:jc w:val="center"/>
        </w:pPr>
        <w:r>
          <w:fldChar w:fldCharType="begin"/>
        </w:r>
        <w:r>
          <w:instrText xml:space="preserve"> PAGE   \* MERGEFORMAT </w:instrText>
        </w:r>
        <w:r>
          <w:fldChar w:fldCharType="separate"/>
        </w:r>
        <w:r w:rsidR="0005143C">
          <w:rPr>
            <w:noProof/>
          </w:rPr>
          <w:t>3</w:t>
        </w:r>
        <w:r>
          <w:rPr>
            <w:noProof/>
          </w:rPr>
          <w:fldChar w:fldCharType="end"/>
        </w:r>
      </w:p>
    </w:sdtContent>
  </w:sdt>
  <w:p w14:paraId="5F142EAC" w14:textId="77777777" w:rsidR="001933D0" w:rsidRDefault="001933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BF1EB" w14:textId="77777777" w:rsidR="001933D0" w:rsidRDefault="001933D0">
    <w:pPr>
      <w:jc w:val="center"/>
    </w:pPr>
    <w:r>
      <w:rPr>
        <w:rFonts w:ascii="Book Antiqua" w:hAnsi="Book Antiqua"/>
        <w:sz w:val="24"/>
        <w:szCs w:val="24"/>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6C84"/>
    <w:rsid w:val="000257E1"/>
    <w:rsid w:val="0005143C"/>
    <w:rsid w:val="00056E58"/>
    <w:rsid w:val="000744D4"/>
    <w:rsid w:val="000A394C"/>
    <w:rsid w:val="000A7F02"/>
    <w:rsid w:val="000B21E0"/>
    <w:rsid w:val="000C0DE1"/>
    <w:rsid w:val="000C30B1"/>
    <w:rsid w:val="000C77CD"/>
    <w:rsid w:val="000D1324"/>
    <w:rsid w:val="000F7321"/>
    <w:rsid w:val="00112520"/>
    <w:rsid w:val="001306CD"/>
    <w:rsid w:val="00131978"/>
    <w:rsid w:val="00137D2A"/>
    <w:rsid w:val="001568B3"/>
    <w:rsid w:val="00177551"/>
    <w:rsid w:val="0018137A"/>
    <w:rsid w:val="00192802"/>
    <w:rsid w:val="001933D0"/>
    <w:rsid w:val="00195B33"/>
    <w:rsid w:val="001B5001"/>
    <w:rsid w:val="00252458"/>
    <w:rsid w:val="00276D14"/>
    <w:rsid w:val="0029442C"/>
    <w:rsid w:val="002A6438"/>
    <w:rsid w:val="00302151"/>
    <w:rsid w:val="00325E0E"/>
    <w:rsid w:val="0036677F"/>
    <w:rsid w:val="00375476"/>
    <w:rsid w:val="00384455"/>
    <w:rsid w:val="0039198E"/>
    <w:rsid w:val="00391B48"/>
    <w:rsid w:val="00393619"/>
    <w:rsid w:val="003C1F7B"/>
    <w:rsid w:val="003F7DAE"/>
    <w:rsid w:val="00407A76"/>
    <w:rsid w:val="00412565"/>
    <w:rsid w:val="004160DA"/>
    <w:rsid w:val="00445318"/>
    <w:rsid w:val="00460D1F"/>
    <w:rsid w:val="00465F33"/>
    <w:rsid w:val="00470A00"/>
    <w:rsid w:val="004C3219"/>
    <w:rsid w:val="004C6F81"/>
    <w:rsid w:val="00504D71"/>
    <w:rsid w:val="00506290"/>
    <w:rsid w:val="00511124"/>
    <w:rsid w:val="00546C84"/>
    <w:rsid w:val="005573EF"/>
    <w:rsid w:val="00580B9B"/>
    <w:rsid w:val="005C503D"/>
    <w:rsid w:val="005F09C8"/>
    <w:rsid w:val="00601382"/>
    <w:rsid w:val="00607E0A"/>
    <w:rsid w:val="00626E7F"/>
    <w:rsid w:val="00634359"/>
    <w:rsid w:val="006353C0"/>
    <w:rsid w:val="00643A07"/>
    <w:rsid w:val="006711EA"/>
    <w:rsid w:val="0067156C"/>
    <w:rsid w:val="00685BAD"/>
    <w:rsid w:val="006B1C12"/>
    <w:rsid w:val="006B4E27"/>
    <w:rsid w:val="006D16B6"/>
    <w:rsid w:val="006F506D"/>
    <w:rsid w:val="00751568"/>
    <w:rsid w:val="00774728"/>
    <w:rsid w:val="00780C90"/>
    <w:rsid w:val="007D4530"/>
    <w:rsid w:val="007E644E"/>
    <w:rsid w:val="00812BB9"/>
    <w:rsid w:val="0085274E"/>
    <w:rsid w:val="008764B7"/>
    <w:rsid w:val="008B3334"/>
    <w:rsid w:val="0093569A"/>
    <w:rsid w:val="00945DAC"/>
    <w:rsid w:val="00965996"/>
    <w:rsid w:val="009767D8"/>
    <w:rsid w:val="00982FE3"/>
    <w:rsid w:val="0099296C"/>
    <w:rsid w:val="009930F9"/>
    <w:rsid w:val="009D7F2A"/>
    <w:rsid w:val="009E2440"/>
    <w:rsid w:val="00A51202"/>
    <w:rsid w:val="00A65953"/>
    <w:rsid w:val="00A67536"/>
    <w:rsid w:val="00AA75A3"/>
    <w:rsid w:val="00AB5EB3"/>
    <w:rsid w:val="00AC6F52"/>
    <w:rsid w:val="00AD0D62"/>
    <w:rsid w:val="00AE20B2"/>
    <w:rsid w:val="00AE4B19"/>
    <w:rsid w:val="00B02955"/>
    <w:rsid w:val="00B32F6A"/>
    <w:rsid w:val="00BB1578"/>
    <w:rsid w:val="00C136A3"/>
    <w:rsid w:val="00C33396"/>
    <w:rsid w:val="00C47C83"/>
    <w:rsid w:val="00C836E4"/>
    <w:rsid w:val="00CC65E6"/>
    <w:rsid w:val="00D0011A"/>
    <w:rsid w:val="00D005B8"/>
    <w:rsid w:val="00D15522"/>
    <w:rsid w:val="00D20F2A"/>
    <w:rsid w:val="00D23EF5"/>
    <w:rsid w:val="00D63E9B"/>
    <w:rsid w:val="00D923DB"/>
    <w:rsid w:val="00DB5D95"/>
    <w:rsid w:val="00DE528F"/>
    <w:rsid w:val="00DF6FF6"/>
    <w:rsid w:val="00E10632"/>
    <w:rsid w:val="00E15A5F"/>
    <w:rsid w:val="00E6596E"/>
    <w:rsid w:val="00E74A71"/>
    <w:rsid w:val="00E81F0A"/>
    <w:rsid w:val="00E84DC0"/>
    <w:rsid w:val="00EF22B6"/>
    <w:rsid w:val="00F25211"/>
    <w:rsid w:val="00F568F4"/>
    <w:rsid w:val="00F94C3D"/>
    <w:rsid w:val="00FA0221"/>
    <w:rsid w:val="00FB529B"/>
    <w:rsid w:val="00FF7CD4"/>
    <w:rsid w:val="66A019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6C9BA1"/>
  <w15:docId w15:val="{AB735BFB-0842-4DF4-BBBA-108DD329C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A71"/>
  </w:style>
  <w:style w:type="paragraph" w:styleId="Heading1">
    <w:name w:val="heading 1"/>
    <w:basedOn w:val="Normal"/>
    <w:next w:val="Normal"/>
    <w:link w:val="Heading1Char"/>
    <w:qFormat/>
    <w:rsid w:val="00C33396"/>
    <w:pPr>
      <w:keepNext/>
      <w:spacing w:after="0" w:line="240" w:lineRule="auto"/>
      <w:jc w:val="center"/>
      <w:outlineLvl w:val="0"/>
    </w:pPr>
    <w:rPr>
      <w:rFonts w:ascii="Times New Roman" w:eastAsia="Times New Roman" w:hAnsi="Times New Roman" w:cs="Times New Roman"/>
      <w:sz w:val="28"/>
      <w:szCs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3396"/>
    <w:rPr>
      <w:rFonts w:ascii="Times New Roman" w:eastAsia="Times New Roman" w:hAnsi="Times New Roman" w:cs="Times New Roman"/>
      <w:sz w:val="28"/>
      <w:szCs w:val="24"/>
      <w:lang w:val="es-PR"/>
    </w:rPr>
  </w:style>
  <w:style w:type="paragraph" w:styleId="Title">
    <w:name w:val="Title"/>
    <w:basedOn w:val="Normal"/>
    <w:link w:val="TitleChar"/>
    <w:qFormat/>
    <w:rsid w:val="00C33396"/>
    <w:pPr>
      <w:spacing w:after="0" w:line="240" w:lineRule="auto"/>
      <w:jc w:val="center"/>
    </w:pPr>
    <w:rPr>
      <w:rFonts w:ascii="Times New Roman" w:eastAsia="Times New Roman" w:hAnsi="Times New Roman" w:cs="Times New Roman"/>
      <w:sz w:val="28"/>
      <w:szCs w:val="24"/>
    </w:rPr>
  </w:style>
  <w:style w:type="character" w:customStyle="1" w:styleId="TitleChar">
    <w:name w:val="Title Char"/>
    <w:basedOn w:val="DefaultParagraphFont"/>
    <w:link w:val="Title"/>
    <w:rsid w:val="00C33396"/>
    <w:rPr>
      <w:rFonts w:ascii="Times New Roman" w:eastAsia="Times New Roman" w:hAnsi="Times New Roman" w:cs="Times New Roman"/>
      <w:sz w:val="28"/>
      <w:szCs w:val="24"/>
    </w:rPr>
  </w:style>
  <w:style w:type="paragraph" w:styleId="BlockText">
    <w:name w:val="Block Text"/>
    <w:basedOn w:val="Normal"/>
    <w:semiHidden/>
    <w:rsid w:val="00C33396"/>
    <w:pPr>
      <w:spacing w:after="0" w:line="240" w:lineRule="auto"/>
      <w:ind w:left="2160" w:right="1440" w:hanging="720"/>
      <w:jc w:val="both"/>
    </w:pPr>
    <w:rPr>
      <w:rFonts w:ascii="Times New Roman" w:eastAsia="Times New Roman" w:hAnsi="Times New Roman" w:cs="Times New Roman"/>
      <w:sz w:val="28"/>
      <w:szCs w:val="24"/>
      <w:lang w:val="es-PR"/>
    </w:rPr>
  </w:style>
  <w:style w:type="paragraph" w:styleId="BodyText">
    <w:name w:val="Body Text"/>
    <w:basedOn w:val="Normal"/>
    <w:link w:val="BodyTextChar"/>
    <w:semiHidden/>
    <w:rsid w:val="00C33396"/>
    <w:pPr>
      <w:spacing w:after="0" w:line="240" w:lineRule="auto"/>
      <w:jc w:val="both"/>
    </w:pPr>
    <w:rPr>
      <w:rFonts w:ascii="Times New Roman" w:eastAsia="Times New Roman" w:hAnsi="Times New Roman" w:cs="Times New Roman"/>
      <w:sz w:val="28"/>
      <w:szCs w:val="24"/>
      <w:lang w:val="es-PR"/>
    </w:rPr>
  </w:style>
  <w:style w:type="character" w:customStyle="1" w:styleId="BodyTextChar">
    <w:name w:val="Body Text Char"/>
    <w:basedOn w:val="DefaultParagraphFont"/>
    <w:link w:val="BodyText"/>
    <w:semiHidden/>
    <w:rsid w:val="00C33396"/>
    <w:rPr>
      <w:rFonts w:ascii="Times New Roman" w:eastAsia="Times New Roman" w:hAnsi="Times New Roman" w:cs="Times New Roman"/>
      <w:sz w:val="28"/>
      <w:szCs w:val="24"/>
      <w:lang w:val="es-PR"/>
    </w:rPr>
  </w:style>
  <w:style w:type="character" w:styleId="LineNumber">
    <w:name w:val="line number"/>
    <w:basedOn w:val="DefaultParagraphFont"/>
    <w:uiPriority w:val="99"/>
    <w:semiHidden/>
    <w:unhideWhenUsed/>
    <w:rsid w:val="00812BB9"/>
  </w:style>
  <w:style w:type="paragraph" w:customStyle="1" w:styleId="Title2">
    <w:name w:val="Title2"/>
    <w:basedOn w:val="Normal"/>
    <w:next w:val="Normal"/>
    <w:rsid w:val="000B21E0"/>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EF22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22B6"/>
  </w:style>
  <w:style w:type="paragraph" w:styleId="Footer">
    <w:name w:val="footer"/>
    <w:basedOn w:val="Normal"/>
    <w:link w:val="FooterChar"/>
    <w:uiPriority w:val="99"/>
    <w:semiHidden/>
    <w:unhideWhenUsed/>
    <w:rsid w:val="00EF22B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F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7611D-1727-AD4D-823C-17B7759A8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929</Words>
  <Characters>5297</Characters>
  <Application>Microsoft Office Word</Application>
  <DocSecurity>0</DocSecurity>
  <Lines>44</Lines>
  <Paragraphs>12</Paragraphs>
  <ScaleCrop>false</ScaleCrop>
  <Company>Asamblea Legislativa</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leonor</dc:creator>
  <cp:lastModifiedBy>Alondra Negrón Rivera</cp:lastModifiedBy>
  <cp:revision>4</cp:revision>
  <cp:lastPrinted>2026-06-25T23:49:00Z</cp:lastPrinted>
  <dcterms:created xsi:type="dcterms:W3CDTF">2026-06-26T13:03:00Z</dcterms:created>
  <dcterms:modified xsi:type="dcterms:W3CDTF">2026-06-30T13:54:00Z</dcterms:modified>
</cp:coreProperties>
</file>