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7AD59" w14:textId="77777777" w:rsidR="00942A1D" w:rsidRPr="0094547E" w:rsidRDefault="0094547E">
      <w:pPr>
        <w:jc w:val="center"/>
        <w:rPr>
          <w:lang w:val="es-ES_tradnl"/>
        </w:rPr>
      </w:pPr>
      <w:r w:rsidRPr="0094547E">
        <w:rPr>
          <w:rFonts w:ascii="Book Antiqua" w:eastAsia="Book Antiqua" w:hAnsi="Book Antiqua" w:cs="Book Antiqua"/>
          <w:b/>
          <w:bCs/>
          <w:sz w:val="28"/>
          <w:szCs w:val="28"/>
          <w:lang w:val="es-ES_tradnl"/>
        </w:rPr>
        <w:t>GOBIERNO DE PUERTO RICO</w:t>
      </w:r>
    </w:p>
    <w:p w14:paraId="5E021BFA" w14:textId="77777777" w:rsidR="00942A1D" w:rsidRPr="0094547E" w:rsidRDefault="00942A1D">
      <w:pPr>
        <w:spacing w:line="276" w:lineRule="auto"/>
        <w:rPr>
          <w:lang w:val="es-ES_tradnl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942A1D" w:rsidRPr="0094547E" w14:paraId="1E786C5B" w14:textId="77777777">
        <w:tc>
          <w:tcPr>
            <w:tcW w:w="46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11F82E33" w14:textId="77777777" w:rsidR="00942A1D" w:rsidRPr="0094547E" w:rsidRDefault="0094547E">
            <w:pPr>
              <w:rPr>
                <w:lang w:val="es-ES_tradnl"/>
              </w:rPr>
            </w:pPr>
            <w:r w:rsidRPr="0094547E">
              <w:rPr>
                <w:rFonts w:ascii="Book Antiqua" w:eastAsia="Book Antiqua" w:hAnsi="Book Antiqua" w:cs="Book Antiqua"/>
                <w:sz w:val="24"/>
                <w:szCs w:val="24"/>
                <w:lang w:val="es-ES_tradnl"/>
              </w:rPr>
              <w:t>20ma. Asamblea</w:t>
            </w:r>
          </w:p>
        </w:tc>
        <w:tc>
          <w:tcPr>
            <w:tcW w:w="46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79110EF9" w14:textId="77777777" w:rsidR="00942A1D" w:rsidRPr="0094547E" w:rsidRDefault="0094547E">
            <w:pPr>
              <w:jc w:val="right"/>
              <w:rPr>
                <w:lang w:val="es-ES_tradnl"/>
              </w:rPr>
            </w:pPr>
            <w:r w:rsidRPr="0094547E">
              <w:rPr>
                <w:rFonts w:ascii="Book Antiqua" w:eastAsia="Book Antiqua" w:hAnsi="Book Antiqua" w:cs="Book Antiqua"/>
                <w:sz w:val="24"/>
                <w:szCs w:val="24"/>
                <w:lang w:val="es-ES_tradnl"/>
              </w:rPr>
              <w:t>3ra. Sesión</w:t>
            </w:r>
          </w:p>
        </w:tc>
      </w:tr>
      <w:tr w:rsidR="00942A1D" w:rsidRPr="0094547E" w14:paraId="70F47E33" w14:textId="77777777">
        <w:tc>
          <w:tcPr>
            <w:tcW w:w="46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0CE1A951" w14:textId="77777777" w:rsidR="00942A1D" w:rsidRPr="0094547E" w:rsidRDefault="0094547E">
            <w:pPr>
              <w:rPr>
                <w:lang w:val="es-ES_tradnl"/>
              </w:rPr>
            </w:pPr>
            <w:r w:rsidRPr="0094547E">
              <w:rPr>
                <w:rFonts w:ascii="Book Antiqua" w:eastAsia="Book Antiqua" w:hAnsi="Book Antiqua" w:cs="Book Antiqua"/>
                <w:sz w:val="24"/>
                <w:szCs w:val="24"/>
                <w:lang w:val="es-ES_tradnl"/>
              </w:rPr>
              <w:t>Legislativa</w:t>
            </w:r>
          </w:p>
        </w:tc>
        <w:tc>
          <w:tcPr>
            <w:tcW w:w="46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48293C20" w14:textId="77777777" w:rsidR="00942A1D" w:rsidRPr="0094547E" w:rsidRDefault="0094547E">
            <w:pPr>
              <w:jc w:val="right"/>
              <w:rPr>
                <w:lang w:val="es-ES_tradnl"/>
              </w:rPr>
            </w:pPr>
            <w:r w:rsidRPr="0094547E">
              <w:rPr>
                <w:rFonts w:ascii="Book Antiqua" w:eastAsia="Book Antiqua" w:hAnsi="Book Antiqua" w:cs="Book Antiqua"/>
                <w:sz w:val="24"/>
                <w:szCs w:val="24"/>
                <w:lang w:val="es-ES_tradnl"/>
              </w:rPr>
              <w:t>Ordinaria</w:t>
            </w:r>
          </w:p>
        </w:tc>
      </w:tr>
    </w:tbl>
    <w:p w14:paraId="6E9A5DEA" w14:textId="77777777" w:rsidR="00942A1D" w:rsidRPr="0094547E" w:rsidRDefault="00942A1D">
      <w:pPr>
        <w:spacing w:line="276" w:lineRule="auto"/>
        <w:rPr>
          <w:lang w:val="es-ES_tradnl"/>
        </w:rPr>
      </w:pPr>
    </w:p>
    <w:p w14:paraId="3311CFB9" w14:textId="77777777" w:rsidR="00942A1D" w:rsidRPr="0094547E" w:rsidRDefault="0094547E">
      <w:pPr>
        <w:jc w:val="center"/>
        <w:rPr>
          <w:lang w:val="es-ES_tradnl"/>
        </w:rPr>
      </w:pPr>
      <w:r w:rsidRPr="0094547E">
        <w:rPr>
          <w:rFonts w:ascii="Book Antiqua" w:eastAsia="Book Antiqua" w:hAnsi="Book Antiqua" w:cs="Book Antiqua"/>
          <w:b/>
          <w:bCs/>
          <w:sz w:val="36"/>
          <w:szCs w:val="36"/>
          <w:lang w:val="es-ES_tradnl"/>
        </w:rPr>
        <w:t>CÁMARA DE REPRESENTANTES</w:t>
      </w:r>
    </w:p>
    <w:p w14:paraId="4D5AAD78" w14:textId="77777777" w:rsidR="00942A1D" w:rsidRPr="0094547E" w:rsidRDefault="00942A1D">
      <w:pPr>
        <w:spacing w:line="276" w:lineRule="auto"/>
        <w:rPr>
          <w:lang w:val="es-ES_tradnl"/>
        </w:rPr>
      </w:pPr>
    </w:p>
    <w:p w14:paraId="2ABDB674" w14:textId="77777777" w:rsidR="00942A1D" w:rsidRPr="0094547E" w:rsidRDefault="0094547E">
      <w:pPr>
        <w:jc w:val="center"/>
        <w:rPr>
          <w:lang w:val="es-ES_tradnl"/>
        </w:rPr>
      </w:pPr>
      <w:r w:rsidRPr="0094547E">
        <w:rPr>
          <w:rFonts w:ascii="Book Antiqua" w:eastAsia="Book Antiqua" w:hAnsi="Book Antiqua" w:cs="Book Antiqua"/>
          <w:b/>
          <w:bCs/>
          <w:sz w:val="52"/>
          <w:szCs w:val="52"/>
          <w:lang w:val="es-ES_tradnl"/>
        </w:rPr>
        <w:t>R. DE LA C. 592</w:t>
      </w:r>
    </w:p>
    <w:p w14:paraId="4B0D3C28" w14:textId="77777777" w:rsidR="00942A1D" w:rsidRPr="0094547E" w:rsidRDefault="00942A1D">
      <w:pPr>
        <w:spacing w:line="276" w:lineRule="auto"/>
        <w:rPr>
          <w:lang w:val="es-ES_tradnl"/>
        </w:rPr>
      </w:pPr>
    </w:p>
    <w:p w14:paraId="55C9B753" w14:textId="77777777" w:rsidR="00942A1D" w:rsidRPr="0094547E" w:rsidRDefault="0094547E">
      <w:pPr>
        <w:jc w:val="center"/>
        <w:rPr>
          <w:lang w:val="es-ES_tradnl"/>
        </w:rPr>
      </w:pPr>
      <w:r w:rsidRPr="0094547E">
        <w:rPr>
          <w:rFonts w:ascii="Book Antiqua" w:eastAsia="Book Antiqua" w:hAnsi="Book Antiqua" w:cs="Book Antiqua"/>
          <w:b/>
          <w:bCs/>
          <w:sz w:val="28"/>
          <w:szCs w:val="28"/>
          <w:lang w:val="es-ES_tradnl"/>
        </w:rPr>
        <w:t>INFORME POSITIVO</w:t>
      </w:r>
    </w:p>
    <w:p w14:paraId="368AE177" w14:textId="77777777" w:rsidR="00942A1D" w:rsidRPr="0094547E" w:rsidRDefault="00942A1D">
      <w:pPr>
        <w:spacing w:line="276" w:lineRule="auto"/>
        <w:rPr>
          <w:lang w:val="es-ES_tradnl"/>
        </w:rPr>
      </w:pPr>
    </w:p>
    <w:p w14:paraId="08F864CE" w14:textId="1068E16A" w:rsidR="00942A1D" w:rsidRPr="0094547E" w:rsidRDefault="00695D5B" w:rsidP="0094547E">
      <w:pPr>
        <w:spacing w:line="276" w:lineRule="auto"/>
        <w:jc w:val="center"/>
        <w:rPr>
          <w:lang w:val="es-ES_tradnl"/>
        </w:rPr>
      </w:pPr>
      <w:r>
        <w:rPr>
          <w:rFonts w:ascii="Book Antiqua" w:eastAsia="Book Antiqua" w:hAnsi="Book Antiqua" w:cs="Book Antiqua"/>
          <w:sz w:val="24"/>
          <w:szCs w:val="24"/>
          <w:lang w:val="es-ES_tradnl"/>
        </w:rPr>
        <w:t>30</w:t>
      </w:r>
      <w:r w:rsidR="0094547E" w:rsidRPr="0094547E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 de junio de 2026</w:t>
      </w:r>
    </w:p>
    <w:p w14:paraId="3C3FECC2" w14:textId="77777777" w:rsidR="00942A1D" w:rsidRPr="0094547E" w:rsidRDefault="00942A1D">
      <w:pPr>
        <w:spacing w:line="276" w:lineRule="auto"/>
        <w:rPr>
          <w:lang w:val="es-ES_tradnl"/>
        </w:rPr>
      </w:pPr>
    </w:p>
    <w:p w14:paraId="7B6A919C" w14:textId="77777777" w:rsidR="00942A1D" w:rsidRPr="0094547E" w:rsidRDefault="0094547E">
      <w:pPr>
        <w:spacing w:line="276" w:lineRule="auto"/>
        <w:rPr>
          <w:lang w:val="es-ES_tradnl"/>
        </w:rPr>
      </w:pPr>
      <w:r w:rsidRPr="0094547E">
        <w:rPr>
          <w:rFonts w:ascii="Book Antiqua" w:eastAsia="Book Antiqua" w:hAnsi="Book Antiqua" w:cs="Book Antiqua"/>
          <w:b/>
          <w:bCs/>
          <w:sz w:val="24"/>
          <w:szCs w:val="24"/>
          <w:lang w:val="es-ES_tradnl"/>
        </w:rPr>
        <w:t>A LA CÁMARA DE REPRESENTANTES DE PUERTO RICO:</w:t>
      </w:r>
    </w:p>
    <w:p w14:paraId="42610449" w14:textId="77777777" w:rsidR="00942A1D" w:rsidRPr="0094547E" w:rsidRDefault="00942A1D">
      <w:pPr>
        <w:spacing w:line="276" w:lineRule="auto"/>
        <w:rPr>
          <w:lang w:val="es-ES_tradnl"/>
        </w:rPr>
      </w:pPr>
    </w:p>
    <w:p w14:paraId="1EEE2CAE" w14:textId="77777777" w:rsidR="00942A1D" w:rsidRPr="0094547E" w:rsidRDefault="0094547E">
      <w:pPr>
        <w:spacing w:line="276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  <w:r w:rsidRPr="0094547E">
        <w:rPr>
          <w:rFonts w:ascii="Book Antiqua" w:eastAsia="Book Antiqua" w:hAnsi="Book Antiqua" w:cs="Book Antiqua"/>
          <w:sz w:val="24"/>
          <w:szCs w:val="24"/>
          <w:lang w:val="es-ES_tradnl"/>
        </w:rPr>
        <w:t>La Comisión de Asuntos Internos de la Cámara de Representantes, previo estudio y consideración de la R. de la C. 592, presentada por el representante Parés Otero, tiene a bien someter su informe recomendando la aprobación de la medida con las enmiendas contenidas en el entirillado electrónico que acompaña este informe, cuyo título lee:</w:t>
      </w:r>
    </w:p>
    <w:p w14:paraId="3234BF9E" w14:textId="77777777" w:rsidR="0094547E" w:rsidRPr="0094547E" w:rsidRDefault="0094547E">
      <w:pPr>
        <w:spacing w:line="276" w:lineRule="auto"/>
        <w:ind w:firstLine="720"/>
        <w:jc w:val="both"/>
        <w:rPr>
          <w:lang w:val="es-ES_tradnl"/>
        </w:rPr>
      </w:pPr>
    </w:p>
    <w:p w14:paraId="2CA7D0EA" w14:textId="77777777" w:rsidR="00942A1D" w:rsidRPr="0094547E" w:rsidRDefault="0094547E" w:rsidP="0094547E">
      <w:pPr>
        <w:ind w:left="446" w:hanging="446"/>
        <w:jc w:val="both"/>
        <w:rPr>
          <w:lang w:val="es-ES_tradnl"/>
        </w:rPr>
      </w:pPr>
      <w:r w:rsidRPr="0094547E">
        <w:rPr>
          <w:rFonts w:ascii="Book Antiqua" w:eastAsia="Book Antiqua" w:hAnsi="Book Antiqua" w:cs="Book Antiqua"/>
          <w:sz w:val="24"/>
          <w:szCs w:val="24"/>
          <w:lang w:val="es-ES_tradnl"/>
        </w:rPr>
        <w:t>“Para ordenar a la Comisión de Transportación e Infraestructura de la Cámara de Representantes de Puerto Rico realizar un estudio sobre el estado del Puente General Norzagaray, también conocido como Los Frailes, localizado en la Carretera Estatal PR-873, kilómetro 0.8, Barrio Tortugo, Río Piedras, en el término municipal de San Juan, que incluya una evaluación de su condición estructural actual, posibles obras de conservación y su potencial como recurso histórico, turístico, comunitario y cultural; y para otros fines relacionados.”</w:t>
      </w:r>
    </w:p>
    <w:p w14:paraId="3D06638B" w14:textId="77777777" w:rsidR="00942A1D" w:rsidRPr="0094547E" w:rsidRDefault="00942A1D">
      <w:pPr>
        <w:spacing w:line="276" w:lineRule="auto"/>
        <w:rPr>
          <w:lang w:val="es-ES_tradnl"/>
        </w:rPr>
      </w:pPr>
    </w:p>
    <w:p w14:paraId="3925B0BA" w14:textId="77777777" w:rsidR="00942A1D" w:rsidRPr="0094547E" w:rsidRDefault="0094547E">
      <w:pPr>
        <w:spacing w:before="200" w:after="200" w:line="276" w:lineRule="auto"/>
        <w:jc w:val="center"/>
        <w:rPr>
          <w:lang w:val="es-ES_tradnl"/>
        </w:rPr>
      </w:pPr>
      <w:r w:rsidRPr="0094547E">
        <w:rPr>
          <w:rFonts w:ascii="Book Antiqua" w:eastAsia="Book Antiqua" w:hAnsi="Book Antiqua" w:cs="Book Antiqua"/>
          <w:b/>
          <w:bCs/>
          <w:sz w:val="24"/>
          <w:szCs w:val="24"/>
          <w:lang w:val="es-ES_tradnl"/>
        </w:rPr>
        <w:t>ALCANCE Y ANÁLISIS DE LA MEDIDA</w:t>
      </w:r>
    </w:p>
    <w:p w14:paraId="75F99241" w14:textId="77777777" w:rsidR="00942A1D" w:rsidRPr="0094547E" w:rsidRDefault="0094547E">
      <w:pPr>
        <w:spacing w:line="276" w:lineRule="auto"/>
        <w:ind w:firstLine="720"/>
        <w:jc w:val="both"/>
        <w:rPr>
          <w:lang w:val="es-ES_tradnl"/>
        </w:rPr>
      </w:pPr>
      <w:r w:rsidRPr="0094547E">
        <w:rPr>
          <w:rFonts w:ascii="Book Antiqua" w:eastAsia="Book Antiqua" w:hAnsi="Book Antiqua" w:cs="Book Antiqua"/>
          <w:sz w:val="24"/>
          <w:szCs w:val="24"/>
          <w:lang w:val="es-ES_tradnl"/>
        </w:rPr>
        <w:t>La Resolución de la Cámara Núm. 592 tiene el propósito de ordenar a la Comisión de Transportación e Infraestructura de la Cámara de Representantes de Puerto Rico realizar un estudio sobre el estado del Puente General Norzagaray, también conocido como Los Frailes, localizado en la Carretera Estatal PR-873, kilómetro 0.8, Barrio Tortugo, Río Piedras, en el término municipal de San Juan. El estudio abarca una evaluación de la condición estructural del puente, las posibles obras de conservación necesarias y su potencial como recurso histórico, turístico, comunitario y cultural.</w:t>
      </w:r>
    </w:p>
    <w:p w14:paraId="026CBAC8" w14:textId="77777777" w:rsidR="00942A1D" w:rsidRPr="0094547E" w:rsidRDefault="00942A1D">
      <w:pPr>
        <w:spacing w:line="276" w:lineRule="auto"/>
        <w:rPr>
          <w:lang w:val="es-ES_tradnl"/>
        </w:rPr>
      </w:pPr>
    </w:p>
    <w:p w14:paraId="2046452D" w14:textId="77777777" w:rsidR="00942A1D" w:rsidRPr="0094547E" w:rsidRDefault="0094547E">
      <w:pPr>
        <w:spacing w:line="276" w:lineRule="auto"/>
        <w:ind w:firstLine="720"/>
        <w:jc w:val="both"/>
        <w:rPr>
          <w:lang w:val="es-ES_tradnl"/>
        </w:rPr>
      </w:pPr>
      <w:r w:rsidRPr="0094547E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El Puente General Norzagaray constituye una estructura de gran valor patrimonial cuya construcción data del periodo colonial español. Edificado entre 1854 y </w:t>
      </w:r>
      <w:r w:rsidRPr="0094547E">
        <w:rPr>
          <w:rFonts w:ascii="Book Antiqua" w:eastAsia="Book Antiqua" w:hAnsi="Book Antiqua" w:cs="Book Antiqua"/>
          <w:sz w:val="24"/>
          <w:szCs w:val="24"/>
          <w:lang w:val="es-ES_tradnl"/>
        </w:rPr>
        <w:lastRenderedPageBreak/>
        <w:t>1855 bajo la gobernación del Teniente General Fernando Norzagaray Escudero, el puente-viaducto de ocho arcos de ladrillo cruza la quebrada Los Frailes y fue diseñado como parte de la antigua carretera de San Juan a Caguas. Su importancia histórica fue reconocida con su inclusión en el Registro Nacional de Lugares Históricos el 19 de julio de 1995, conforme a la Sección 106 del National Historic Preservation Act.</w:t>
      </w:r>
    </w:p>
    <w:p w14:paraId="42D8A3DF" w14:textId="77777777" w:rsidR="00942A1D" w:rsidRPr="0094547E" w:rsidRDefault="00942A1D">
      <w:pPr>
        <w:spacing w:line="276" w:lineRule="auto"/>
        <w:rPr>
          <w:lang w:val="es-ES_tradnl"/>
        </w:rPr>
      </w:pPr>
    </w:p>
    <w:p w14:paraId="0C13684C" w14:textId="77777777" w:rsidR="00942A1D" w:rsidRPr="00B250C8" w:rsidRDefault="0094547E" w:rsidP="00B250C8">
      <w:pPr>
        <w:spacing w:line="276" w:lineRule="auto"/>
        <w:ind w:firstLine="720"/>
        <w:jc w:val="both"/>
        <w:rPr>
          <w:lang w:val="es-ES_tradnl"/>
        </w:rPr>
      </w:pPr>
      <w:r w:rsidRPr="0094547E">
        <w:rPr>
          <w:rFonts w:ascii="Book Antiqua" w:eastAsia="Book Antiqua" w:hAnsi="Book Antiqua" w:cs="Book Antiqua"/>
          <w:sz w:val="24"/>
          <w:szCs w:val="24"/>
          <w:lang w:val="es-ES_tradnl"/>
        </w:rPr>
        <w:t>La Constitución de Puerto Rico, en su Artículo VI, Sección 19, consagra como política pública la conservación y mantenimiento de los edificios y lugares declarados de valor histórico o artístico. En atención a ese mandato constitucional, resulta pertinente que este Cuerpo Legislativo ordene un estudio que permita evaluar el estado de esta estructura patrimonial y explorar alternativas para su preservación y aprovechamiento como recurso cultural y comunitario.</w:t>
      </w:r>
    </w:p>
    <w:p w14:paraId="5F94ED9F" w14:textId="77777777" w:rsidR="00B250C8" w:rsidRDefault="00B250C8" w:rsidP="00B250C8">
      <w:pPr>
        <w:spacing w:line="276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</w:p>
    <w:p w14:paraId="6F6CC792" w14:textId="77777777" w:rsidR="00B250C8" w:rsidRPr="00695D5B" w:rsidRDefault="00B250C8" w:rsidP="00B250C8">
      <w:pPr>
        <w:spacing w:line="276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ES"/>
        </w:rPr>
      </w:pPr>
      <w:r w:rsidRPr="007200BC">
        <w:rPr>
          <w:rFonts w:ascii="Book Antiqua" w:eastAsia="Book Antiqua" w:hAnsi="Book Antiqua" w:cs="Book Antiqua"/>
          <w:sz w:val="24"/>
          <w:szCs w:val="24"/>
          <w:lang w:val="es-ES"/>
        </w:rPr>
        <w:t xml:space="preserve">Considerando los elementos analizados, esta Comisión concluye que la medida examinada responde a un interés legislativo legítimo y debidamente fundamentado. Como comisión cameral, entendemos que la Resolución objeto de análisis cuenta con los fundamentos constitucionales, estatutarios y jurisprudenciales necesarios para dar paso a su aprobación. </w:t>
      </w:r>
      <w:r w:rsidRPr="00695D5B">
        <w:rPr>
          <w:rFonts w:ascii="Book Antiqua" w:eastAsia="Book Antiqua" w:hAnsi="Book Antiqua" w:cs="Book Antiqua"/>
          <w:sz w:val="24"/>
          <w:szCs w:val="24"/>
          <w:lang w:val="es-ES"/>
        </w:rPr>
        <w:t>En consecuencia, se recomienda la aprobación de la Resolución de la Cámara 592, con las enmiendas que obran en el entirillado electrónico que acompaña este informe. Asimismo, recomendamos que la Comisión de Transportación e Infraestructura tramite la investigación conforme al Reglamento de la Cámara de Representantes y dentro del plazo dispuesto en la Resolución.</w:t>
      </w:r>
    </w:p>
    <w:p w14:paraId="3B3131F0" w14:textId="77777777" w:rsidR="00942A1D" w:rsidRPr="0094547E" w:rsidRDefault="00942A1D">
      <w:pPr>
        <w:spacing w:line="276" w:lineRule="auto"/>
        <w:rPr>
          <w:lang w:val="es-ES_tradnl"/>
        </w:rPr>
      </w:pPr>
    </w:p>
    <w:p w14:paraId="69558E70" w14:textId="77777777" w:rsidR="00942A1D" w:rsidRPr="0094547E" w:rsidRDefault="0094547E">
      <w:pPr>
        <w:spacing w:before="200" w:after="200" w:line="276" w:lineRule="auto"/>
        <w:jc w:val="center"/>
        <w:rPr>
          <w:lang w:val="es-ES_tradnl"/>
        </w:rPr>
      </w:pPr>
      <w:r w:rsidRPr="0094547E">
        <w:rPr>
          <w:rFonts w:ascii="Book Antiqua" w:eastAsia="Book Antiqua" w:hAnsi="Book Antiqua" w:cs="Book Antiqua"/>
          <w:b/>
          <w:bCs/>
          <w:sz w:val="24"/>
          <w:szCs w:val="24"/>
          <w:lang w:val="es-ES_tradnl"/>
        </w:rPr>
        <w:t>CONCLUSIÓN Y RECOMENDACIÓN</w:t>
      </w:r>
    </w:p>
    <w:p w14:paraId="12465F1E" w14:textId="77777777" w:rsidR="00942A1D" w:rsidRPr="0094547E" w:rsidRDefault="0094547E">
      <w:pPr>
        <w:spacing w:line="276" w:lineRule="auto"/>
        <w:jc w:val="both"/>
        <w:rPr>
          <w:lang w:val="es-ES_tradnl"/>
        </w:rPr>
      </w:pPr>
      <w:r w:rsidRPr="0094547E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     Considerando los elementos analizados, esta Comisión concluye que la medida examinada responde a un interés legislativo legítimo y debidamente fundamentado. En consecuencia, se recomienda la aprobación de la Resolución de la Cámara 592, con las enmiendas que obran en el entirillado electrónico que acompaña este informe.</w:t>
      </w:r>
    </w:p>
    <w:p w14:paraId="30BBC21D" w14:textId="77777777" w:rsidR="00942A1D" w:rsidRPr="0094547E" w:rsidRDefault="00942A1D">
      <w:pPr>
        <w:spacing w:line="276" w:lineRule="auto"/>
        <w:rPr>
          <w:lang w:val="es-ES_tradnl"/>
        </w:rPr>
      </w:pPr>
    </w:p>
    <w:p w14:paraId="2E129F90" w14:textId="77777777" w:rsidR="00942A1D" w:rsidRPr="0094547E" w:rsidRDefault="0094547E">
      <w:pPr>
        <w:spacing w:line="276" w:lineRule="auto"/>
        <w:rPr>
          <w:rFonts w:ascii="Book Antiqua" w:eastAsia="Book Antiqua" w:hAnsi="Book Antiqua" w:cs="Book Antiqua"/>
          <w:sz w:val="24"/>
          <w:szCs w:val="24"/>
          <w:lang w:val="es-ES_tradnl"/>
        </w:rPr>
      </w:pPr>
      <w:r w:rsidRPr="0094547E">
        <w:rPr>
          <w:rFonts w:ascii="Book Antiqua" w:eastAsia="Book Antiqua" w:hAnsi="Book Antiqua" w:cs="Book Antiqua"/>
          <w:sz w:val="24"/>
          <w:szCs w:val="24"/>
          <w:lang w:val="es-ES_tradnl"/>
        </w:rPr>
        <w:t>Respetuosamente sometido,</w:t>
      </w:r>
    </w:p>
    <w:p w14:paraId="1B8026AA" w14:textId="77777777" w:rsidR="0094547E" w:rsidRPr="0094547E" w:rsidRDefault="0094547E">
      <w:pPr>
        <w:spacing w:line="276" w:lineRule="auto"/>
        <w:rPr>
          <w:lang w:val="es-ES_tradnl"/>
        </w:rPr>
      </w:pPr>
    </w:p>
    <w:p w14:paraId="1E5808F3" w14:textId="77777777" w:rsidR="00942A1D" w:rsidRPr="0094547E" w:rsidRDefault="00942A1D">
      <w:pPr>
        <w:spacing w:line="276" w:lineRule="auto"/>
        <w:rPr>
          <w:lang w:val="es-ES_tradnl"/>
        </w:rPr>
      </w:pPr>
    </w:p>
    <w:p w14:paraId="325C06CE" w14:textId="77777777" w:rsidR="00942A1D" w:rsidRPr="0094547E" w:rsidRDefault="00942A1D">
      <w:pPr>
        <w:spacing w:line="276" w:lineRule="auto"/>
        <w:rPr>
          <w:lang w:val="es-ES_tradnl"/>
        </w:rPr>
      </w:pPr>
    </w:p>
    <w:p w14:paraId="0F7DCCFA" w14:textId="77777777" w:rsidR="00942A1D" w:rsidRPr="0094547E" w:rsidRDefault="0094547E">
      <w:pPr>
        <w:spacing w:line="276" w:lineRule="auto"/>
        <w:rPr>
          <w:lang w:val="es-ES_tradnl"/>
        </w:rPr>
      </w:pPr>
      <w:r w:rsidRPr="0094547E">
        <w:rPr>
          <w:rFonts w:ascii="Book Antiqua" w:eastAsia="Book Antiqua" w:hAnsi="Book Antiqua" w:cs="Book Antiqua"/>
          <w:b/>
          <w:bCs/>
          <w:sz w:val="24"/>
          <w:szCs w:val="24"/>
          <w:lang w:val="es-ES_tradnl"/>
        </w:rPr>
        <w:t>PEDRO JULIO SANTIAGO GUZMÁN</w:t>
      </w:r>
    </w:p>
    <w:p w14:paraId="682D58E0" w14:textId="77777777" w:rsidR="00942A1D" w:rsidRPr="0094547E" w:rsidRDefault="0094547E">
      <w:pPr>
        <w:spacing w:line="276" w:lineRule="auto"/>
        <w:rPr>
          <w:lang w:val="es-ES_tradnl"/>
        </w:rPr>
      </w:pPr>
      <w:r w:rsidRPr="0094547E">
        <w:rPr>
          <w:rFonts w:ascii="Book Antiqua" w:eastAsia="Book Antiqua" w:hAnsi="Book Antiqua" w:cs="Book Antiqua"/>
          <w:sz w:val="24"/>
          <w:szCs w:val="24"/>
          <w:lang w:val="es-ES_tradnl"/>
        </w:rPr>
        <w:t>Presidente</w:t>
      </w:r>
    </w:p>
    <w:p w14:paraId="2EB78336" w14:textId="77777777" w:rsidR="00942A1D" w:rsidRPr="0094547E" w:rsidRDefault="0094547E">
      <w:pPr>
        <w:spacing w:line="276" w:lineRule="auto"/>
        <w:rPr>
          <w:lang w:val="es-ES_tradnl"/>
        </w:rPr>
      </w:pPr>
      <w:r w:rsidRPr="0094547E">
        <w:rPr>
          <w:rFonts w:ascii="Book Antiqua" w:eastAsia="Book Antiqua" w:hAnsi="Book Antiqua" w:cs="Book Antiqua"/>
          <w:sz w:val="24"/>
          <w:szCs w:val="24"/>
          <w:lang w:val="es-ES_tradnl"/>
        </w:rPr>
        <w:t>Comisión de Asuntos Internos</w:t>
      </w:r>
    </w:p>
    <w:sectPr w:rsidR="00942A1D" w:rsidRPr="0094547E">
      <w:headerReference w:type="default" r:id="rId7"/>
      <w:pgSz w:w="12240" w:h="15840"/>
      <w:pgMar w:top="1440" w:right="1440" w:bottom="108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A09C2" w14:textId="77777777" w:rsidR="00536DDC" w:rsidRDefault="00536DDC">
      <w:r>
        <w:separator/>
      </w:r>
    </w:p>
  </w:endnote>
  <w:endnote w:type="continuationSeparator" w:id="0">
    <w:p w14:paraId="4B786E5E" w14:textId="77777777" w:rsidR="00536DDC" w:rsidRDefault="00536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B7276" w14:textId="77777777" w:rsidR="00536DDC" w:rsidRDefault="00536DDC">
      <w:r>
        <w:separator/>
      </w:r>
    </w:p>
  </w:footnote>
  <w:footnote w:type="continuationSeparator" w:id="0">
    <w:p w14:paraId="48F118B2" w14:textId="77777777" w:rsidR="00536DDC" w:rsidRDefault="00536D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A2A54" w14:textId="77777777" w:rsidR="00942A1D" w:rsidRDefault="0094547E">
    <w:pPr>
      <w:jc w:val="center"/>
    </w:pPr>
    <w:r>
      <w:rPr>
        <w:rFonts w:ascii="Book Antiqua" w:eastAsia="Book Antiqua" w:hAnsi="Book Antiqua" w:cs="Book Antiqua"/>
      </w:rPr>
      <w:fldChar w:fldCharType="begin"/>
    </w:r>
    <w:r>
      <w:rPr>
        <w:rFonts w:ascii="Book Antiqua" w:eastAsia="Book Antiqua" w:hAnsi="Book Antiqua" w:cs="Book Antiqua"/>
      </w:rPr>
      <w:instrText>PAGE</w:instrText>
    </w:r>
    <w:r>
      <w:rPr>
        <w:rFonts w:ascii="Book Antiqua" w:eastAsia="Book Antiqua" w:hAnsi="Book Antiqua" w:cs="Book Antiqua"/>
      </w:rPr>
      <w:fldChar w:fldCharType="separate"/>
    </w:r>
    <w:r w:rsidR="00B250C8">
      <w:rPr>
        <w:rFonts w:ascii="Book Antiqua" w:eastAsia="Book Antiqua" w:hAnsi="Book Antiqua" w:cs="Book Antiqua"/>
        <w:noProof/>
      </w:rPr>
      <w:t>2</w:t>
    </w:r>
    <w:r>
      <w:rPr>
        <w:rFonts w:ascii="Book Antiqua" w:eastAsia="Book Antiqua" w:hAnsi="Book Antiqua" w:cs="Book Antiqu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777EA"/>
    <w:multiLevelType w:val="hybridMultilevel"/>
    <w:tmpl w:val="491ABD6A"/>
    <w:lvl w:ilvl="0" w:tplc="3F76FFE4">
      <w:start w:val="1"/>
      <w:numFmt w:val="bullet"/>
      <w:lvlText w:val="●"/>
      <w:lvlJc w:val="left"/>
      <w:pPr>
        <w:ind w:left="720" w:hanging="360"/>
      </w:pPr>
    </w:lvl>
    <w:lvl w:ilvl="1" w:tplc="70F6FBE6">
      <w:start w:val="1"/>
      <w:numFmt w:val="bullet"/>
      <w:lvlText w:val="○"/>
      <w:lvlJc w:val="left"/>
      <w:pPr>
        <w:ind w:left="1440" w:hanging="360"/>
      </w:pPr>
    </w:lvl>
    <w:lvl w:ilvl="2" w:tplc="3AD8D6E2">
      <w:start w:val="1"/>
      <w:numFmt w:val="bullet"/>
      <w:lvlText w:val="■"/>
      <w:lvlJc w:val="left"/>
      <w:pPr>
        <w:ind w:left="2160" w:hanging="360"/>
      </w:pPr>
    </w:lvl>
    <w:lvl w:ilvl="3" w:tplc="49442F44">
      <w:start w:val="1"/>
      <w:numFmt w:val="bullet"/>
      <w:lvlText w:val="●"/>
      <w:lvlJc w:val="left"/>
      <w:pPr>
        <w:ind w:left="2880" w:hanging="360"/>
      </w:pPr>
    </w:lvl>
    <w:lvl w:ilvl="4" w:tplc="CA86EC40">
      <w:start w:val="1"/>
      <w:numFmt w:val="bullet"/>
      <w:lvlText w:val="○"/>
      <w:lvlJc w:val="left"/>
      <w:pPr>
        <w:ind w:left="3600" w:hanging="360"/>
      </w:pPr>
    </w:lvl>
    <w:lvl w:ilvl="5" w:tplc="1578E3F0">
      <w:start w:val="1"/>
      <w:numFmt w:val="bullet"/>
      <w:lvlText w:val="■"/>
      <w:lvlJc w:val="left"/>
      <w:pPr>
        <w:ind w:left="4320" w:hanging="360"/>
      </w:pPr>
    </w:lvl>
    <w:lvl w:ilvl="6" w:tplc="340C150C">
      <w:start w:val="1"/>
      <w:numFmt w:val="bullet"/>
      <w:lvlText w:val="●"/>
      <w:lvlJc w:val="left"/>
      <w:pPr>
        <w:ind w:left="5040" w:hanging="360"/>
      </w:pPr>
    </w:lvl>
    <w:lvl w:ilvl="7" w:tplc="D55E1720">
      <w:start w:val="1"/>
      <w:numFmt w:val="bullet"/>
      <w:lvlText w:val="●"/>
      <w:lvlJc w:val="left"/>
      <w:pPr>
        <w:ind w:left="5760" w:hanging="360"/>
      </w:pPr>
    </w:lvl>
    <w:lvl w:ilvl="8" w:tplc="6BEA8C56">
      <w:start w:val="1"/>
      <w:numFmt w:val="bullet"/>
      <w:lvlText w:val="●"/>
      <w:lvlJc w:val="left"/>
      <w:pPr>
        <w:ind w:left="6480" w:hanging="360"/>
      </w:pPr>
    </w:lvl>
  </w:abstractNum>
  <w:num w:numId="1" w16cid:durableId="205816721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42A1D"/>
    <w:rsid w:val="003C14C2"/>
    <w:rsid w:val="00536DDC"/>
    <w:rsid w:val="005E5200"/>
    <w:rsid w:val="00695D5B"/>
    <w:rsid w:val="007200BC"/>
    <w:rsid w:val="009050EB"/>
    <w:rsid w:val="00942A1D"/>
    <w:rsid w:val="0094547E"/>
    <w:rsid w:val="00B250C8"/>
    <w:rsid w:val="00D6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0FCCF7"/>
  <w15:docId w15:val="{913CB75C-DD3E-4D84-B785-EF3160F19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3322</Characters>
  <Application>Microsoft Office Word</Application>
  <DocSecurity>0</DocSecurity>
  <Lines>27</Lines>
  <Paragraphs>7</Paragraphs>
  <ScaleCrop>false</ScaleCrop>
  <Company>Admin</Company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Camyl Moreno Pantojas</cp:lastModifiedBy>
  <cp:revision>3</cp:revision>
  <dcterms:created xsi:type="dcterms:W3CDTF">2026-06-26T13:03:00Z</dcterms:created>
  <dcterms:modified xsi:type="dcterms:W3CDTF">2026-06-30T15:27:00Z</dcterms:modified>
</cp:coreProperties>
</file>