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8291A" w14:textId="77777777" w:rsidR="007453E1" w:rsidRPr="007453E1" w:rsidRDefault="007453E1" w:rsidP="008B7A54">
      <w:pPr>
        <w:pStyle w:val="Sinespaciado"/>
        <w:suppressLineNumbers/>
        <w:jc w:val="center"/>
        <w:rPr>
          <w:rFonts w:ascii="Book Antiqua" w:hAnsi="Book Antiqua"/>
          <w:sz w:val="28"/>
          <w:szCs w:val="28"/>
          <w:lang w:val="es-ES_tradnl"/>
        </w:rPr>
      </w:pPr>
      <w:r w:rsidRPr="007453E1">
        <w:rPr>
          <w:rFonts w:ascii="Book Antiqua" w:hAnsi="Book Antiqua"/>
          <w:sz w:val="28"/>
          <w:szCs w:val="28"/>
          <w:lang w:val="es-ES_tradnl"/>
        </w:rPr>
        <w:t>GOBIERNO DE PUERTO RICO</w:t>
      </w:r>
    </w:p>
    <w:p w14:paraId="571DB524" w14:textId="77777777" w:rsidR="007453E1" w:rsidRPr="007453E1" w:rsidRDefault="007453E1" w:rsidP="008B7A54">
      <w:pPr>
        <w:pStyle w:val="Sinespaciado"/>
        <w:suppressLineNumbers/>
        <w:jc w:val="center"/>
        <w:rPr>
          <w:rFonts w:ascii="Book Antiqua" w:hAnsi="Book Antiqua"/>
          <w:lang w:val="es-ES_tradnl"/>
        </w:rPr>
      </w:pPr>
    </w:p>
    <w:p w14:paraId="6C57F6A5" w14:textId="3C21E624" w:rsidR="007453E1" w:rsidRPr="003D2D1E" w:rsidRDefault="009C2A40" w:rsidP="009C2A40">
      <w:pPr>
        <w:pStyle w:val="Sinespaciado"/>
        <w:suppressLineNumbers/>
        <w:spacing w:line="276" w:lineRule="auto"/>
        <w:rPr>
          <w:rFonts w:ascii="Book Antiqua" w:hAnsi="Book Antiqua"/>
          <w:szCs w:val="24"/>
        </w:rPr>
      </w:pPr>
      <w:r w:rsidRPr="003D2D1E">
        <w:rPr>
          <w:rFonts w:ascii="Book Antiqua" w:hAnsi="Book Antiqua"/>
          <w:szCs w:val="24"/>
        </w:rPr>
        <w:t xml:space="preserve">20ma.  </w:t>
      </w:r>
      <w:r w:rsidR="007453E1" w:rsidRPr="003D2D1E">
        <w:rPr>
          <w:rFonts w:ascii="Book Antiqua" w:hAnsi="Book Antiqua"/>
          <w:szCs w:val="24"/>
        </w:rPr>
        <w:t>Asamblea</w:t>
      </w:r>
      <w:r w:rsidR="007453E1" w:rsidRPr="003D2D1E">
        <w:rPr>
          <w:rFonts w:ascii="Book Antiqua" w:hAnsi="Book Antiqua"/>
          <w:szCs w:val="24"/>
        </w:rPr>
        <w:tab/>
      </w:r>
      <w:r w:rsidR="007453E1" w:rsidRPr="003D2D1E">
        <w:rPr>
          <w:rFonts w:ascii="Book Antiqua" w:hAnsi="Book Antiqua"/>
          <w:szCs w:val="24"/>
        </w:rPr>
        <w:tab/>
      </w:r>
      <w:r w:rsidR="007453E1" w:rsidRPr="003D2D1E">
        <w:rPr>
          <w:rFonts w:ascii="Book Antiqua" w:hAnsi="Book Antiqua"/>
          <w:szCs w:val="24"/>
        </w:rPr>
        <w:tab/>
      </w:r>
      <w:r w:rsidR="007453E1" w:rsidRPr="003D2D1E">
        <w:rPr>
          <w:rFonts w:ascii="Book Antiqua" w:hAnsi="Book Antiqua"/>
          <w:szCs w:val="24"/>
        </w:rPr>
        <w:tab/>
      </w:r>
      <w:r w:rsidR="007453E1" w:rsidRPr="003D2D1E">
        <w:rPr>
          <w:rFonts w:ascii="Book Antiqua" w:hAnsi="Book Antiqua"/>
          <w:szCs w:val="24"/>
        </w:rPr>
        <w:tab/>
      </w:r>
      <w:r w:rsidR="007453E1" w:rsidRPr="003D2D1E">
        <w:rPr>
          <w:rFonts w:ascii="Book Antiqua" w:hAnsi="Book Antiqua"/>
          <w:szCs w:val="24"/>
        </w:rPr>
        <w:tab/>
      </w:r>
      <w:r w:rsidR="00D52E9A" w:rsidRPr="003D2D1E">
        <w:rPr>
          <w:rFonts w:ascii="Book Antiqua" w:hAnsi="Book Antiqua"/>
          <w:szCs w:val="24"/>
        </w:rPr>
        <w:tab/>
      </w:r>
      <w:r w:rsidR="00D52E9A" w:rsidRPr="003D2D1E">
        <w:rPr>
          <w:rFonts w:ascii="Book Antiqua" w:hAnsi="Book Antiqua"/>
          <w:szCs w:val="24"/>
        </w:rPr>
        <w:tab/>
      </w:r>
      <w:r w:rsidRPr="003D2D1E">
        <w:rPr>
          <w:rFonts w:ascii="Book Antiqua" w:hAnsi="Book Antiqua"/>
          <w:szCs w:val="24"/>
        </w:rPr>
        <w:t xml:space="preserve">              3ra.</w:t>
      </w:r>
      <w:r w:rsidR="00D52E9A" w:rsidRPr="003D2D1E">
        <w:rPr>
          <w:rFonts w:ascii="Book Antiqua" w:hAnsi="Book Antiqua"/>
          <w:szCs w:val="24"/>
        </w:rPr>
        <w:t xml:space="preserve"> </w:t>
      </w:r>
      <w:r w:rsidR="007453E1" w:rsidRPr="003D2D1E">
        <w:rPr>
          <w:rFonts w:ascii="Book Antiqua" w:hAnsi="Book Antiqua"/>
          <w:szCs w:val="24"/>
        </w:rPr>
        <w:t>Sesión</w:t>
      </w:r>
      <w:r w:rsidR="00D52E9A" w:rsidRPr="003D2D1E">
        <w:rPr>
          <w:rFonts w:ascii="Book Antiqua" w:hAnsi="Book Antiqua"/>
          <w:szCs w:val="24"/>
        </w:rPr>
        <w:t xml:space="preserve"> </w:t>
      </w:r>
      <w:r w:rsidR="00D52E9A" w:rsidRPr="003D2D1E">
        <w:rPr>
          <w:rFonts w:ascii="Book Antiqua" w:hAnsi="Book Antiqua"/>
          <w:szCs w:val="24"/>
        </w:rPr>
        <w:tab/>
        <w:t xml:space="preserve">Legislativa </w:t>
      </w:r>
      <w:r w:rsidR="00D52E9A" w:rsidRPr="003D2D1E">
        <w:rPr>
          <w:rFonts w:ascii="Book Antiqua" w:hAnsi="Book Antiqua"/>
          <w:szCs w:val="24"/>
        </w:rPr>
        <w:tab/>
      </w:r>
      <w:r w:rsidR="00D52E9A" w:rsidRPr="003D2D1E">
        <w:rPr>
          <w:rFonts w:ascii="Book Antiqua" w:hAnsi="Book Antiqua"/>
          <w:szCs w:val="24"/>
        </w:rPr>
        <w:tab/>
      </w:r>
      <w:r w:rsidR="00D52E9A" w:rsidRPr="003D2D1E">
        <w:rPr>
          <w:rFonts w:ascii="Book Antiqua" w:hAnsi="Book Antiqua"/>
          <w:szCs w:val="24"/>
        </w:rPr>
        <w:tab/>
      </w:r>
      <w:r w:rsidR="00D52E9A" w:rsidRPr="003D2D1E">
        <w:rPr>
          <w:rFonts w:ascii="Book Antiqua" w:hAnsi="Book Antiqua"/>
          <w:szCs w:val="24"/>
        </w:rPr>
        <w:tab/>
      </w:r>
      <w:r w:rsidR="00D52E9A" w:rsidRPr="003D2D1E">
        <w:rPr>
          <w:rFonts w:ascii="Book Antiqua" w:hAnsi="Book Antiqua"/>
          <w:szCs w:val="24"/>
        </w:rPr>
        <w:tab/>
      </w:r>
      <w:r w:rsidR="00D52E9A" w:rsidRPr="003D2D1E">
        <w:rPr>
          <w:rFonts w:ascii="Book Antiqua" w:hAnsi="Book Antiqua"/>
          <w:szCs w:val="24"/>
        </w:rPr>
        <w:tab/>
      </w:r>
      <w:r w:rsidR="00D52E9A" w:rsidRPr="003D2D1E">
        <w:rPr>
          <w:rFonts w:ascii="Book Antiqua" w:hAnsi="Book Antiqua"/>
          <w:szCs w:val="24"/>
        </w:rPr>
        <w:tab/>
      </w:r>
      <w:r w:rsidR="00D52E9A" w:rsidRPr="003D2D1E">
        <w:rPr>
          <w:rFonts w:ascii="Book Antiqua" w:hAnsi="Book Antiqua"/>
          <w:szCs w:val="24"/>
        </w:rPr>
        <w:tab/>
        <w:t xml:space="preserve">       </w:t>
      </w:r>
      <w:r w:rsidRPr="003D2D1E">
        <w:rPr>
          <w:rFonts w:ascii="Book Antiqua" w:hAnsi="Book Antiqua"/>
          <w:szCs w:val="24"/>
        </w:rPr>
        <w:t xml:space="preserve">              </w:t>
      </w:r>
      <w:r w:rsidR="00D52E9A" w:rsidRPr="003D2D1E">
        <w:rPr>
          <w:rFonts w:ascii="Book Antiqua" w:hAnsi="Book Antiqua"/>
          <w:szCs w:val="24"/>
        </w:rPr>
        <w:t>Ordinaria</w:t>
      </w:r>
    </w:p>
    <w:p w14:paraId="6F246757" w14:textId="77777777" w:rsidR="00D52E9A" w:rsidRPr="003D2D1E" w:rsidRDefault="00D52E9A" w:rsidP="00D52E9A">
      <w:pPr>
        <w:pStyle w:val="Sinespaciado"/>
        <w:suppressLineNumbers/>
        <w:spacing w:line="276" w:lineRule="auto"/>
        <w:rPr>
          <w:rFonts w:ascii="Book Antiqua" w:hAnsi="Book Antiqua"/>
          <w:szCs w:val="24"/>
        </w:rPr>
      </w:pPr>
    </w:p>
    <w:p w14:paraId="2DCE6C3D" w14:textId="77777777" w:rsidR="00D52E9A" w:rsidRPr="003D2D1E" w:rsidRDefault="00D52E9A" w:rsidP="00D52E9A">
      <w:pPr>
        <w:pStyle w:val="Sinespaciado"/>
        <w:suppressLineNumbers/>
        <w:spacing w:line="276" w:lineRule="auto"/>
        <w:rPr>
          <w:rFonts w:ascii="Book Antiqua" w:hAnsi="Book Antiqua"/>
          <w:szCs w:val="24"/>
        </w:rPr>
      </w:pPr>
    </w:p>
    <w:p w14:paraId="059E1753" w14:textId="77777777" w:rsidR="007453E1" w:rsidRPr="003D2D1E" w:rsidRDefault="007453E1" w:rsidP="008B7A54">
      <w:pPr>
        <w:pStyle w:val="Sinespaciado"/>
        <w:suppressLineNumbers/>
        <w:jc w:val="center"/>
        <w:rPr>
          <w:rFonts w:ascii="Book Antiqua" w:hAnsi="Book Antiqua"/>
          <w:b/>
          <w:bCs/>
          <w:sz w:val="36"/>
          <w:szCs w:val="36"/>
          <w:lang w:val="es-ES_tradnl"/>
        </w:rPr>
      </w:pPr>
      <w:r w:rsidRPr="003D2D1E">
        <w:rPr>
          <w:rFonts w:ascii="Book Antiqua" w:hAnsi="Book Antiqua"/>
          <w:b/>
          <w:bCs/>
          <w:sz w:val="36"/>
          <w:szCs w:val="36"/>
          <w:lang w:val="es-ES_tradnl"/>
        </w:rPr>
        <w:t>C</w:t>
      </w:r>
      <w:r w:rsidRPr="003D2D1E">
        <w:rPr>
          <w:rFonts w:ascii="Book Antiqua" w:hAnsi="Book Antiqua"/>
          <w:b/>
          <w:bCs/>
          <w:sz w:val="36"/>
          <w:szCs w:val="36"/>
        </w:rPr>
        <w:t>Á</w:t>
      </w:r>
      <w:r w:rsidRPr="003D2D1E">
        <w:rPr>
          <w:rFonts w:ascii="Book Antiqua" w:hAnsi="Book Antiqua"/>
          <w:b/>
          <w:bCs/>
          <w:sz w:val="36"/>
          <w:szCs w:val="36"/>
          <w:lang w:val="es-ES_tradnl"/>
        </w:rPr>
        <w:t>MARA DE REPRESENTANTES</w:t>
      </w:r>
    </w:p>
    <w:p w14:paraId="7707B4D7" w14:textId="77777777" w:rsidR="007453E1" w:rsidRPr="009C2A40" w:rsidRDefault="007453E1" w:rsidP="008B7A54">
      <w:pPr>
        <w:pStyle w:val="Sinespaciado"/>
        <w:suppressLineNumbers/>
        <w:jc w:val="center"/>
        <w:rPr>
          <w:rFonts w:ascii="Book Antiqua" w:hAnsi="Book Antiqua"/>
          <w:sz w:val="24"/>
          <w:szCs w:val="24"/>
          <w:lang w:val="es-ES_tradnl"/>
        </w:rPr>
      </w:pPr>
    </w:p>
    <w:p w14:paraId="1DB2EEDC" w14:textId="1C064794" w:rsidR="007453E1" w:rsidRPr="007453E1" w:rsidRDefault="007453E1" w:rsidP="008B7A54">
      <w:pPr>
        <w:pStyle w:val="Sinespaciado"/>
        <w:suppressLineNumbers/>
        <w:jc w:val="center"/>
        <w:rPr>
          <w:rFonts w:ascii="Book Antiqua" w:hAnsi="Book Antiqua"/>
          <w:b/>
          <w:bCs/>
          <w:sz w:val="52"/>
          <w:szCs w:val="52"/>
          <w:lang w:val="es-ES_tradnl"/>
        </w:rPr>
      </w:pPr>
      <w:r w:rsidRPr="007453E1">
        <w:rPr>
          <w:rFonts w:ascii="Book Antiqua" w:hAnsi="Book Antiqua"/>
          <w:b/>
          <w:bCs/>
          <w:sz w:val="52"/>
          <w:szCs w:val="52"/>
          <w:lang w:val="es-ES_tradnl"/>
        </w:rPr>
        <w:t>R. C. de la C.</w:t>
      </w:r>
      <w:r w:rsidR="00194BCC">
        <w:rPr>
          <w:rFonts w:ascii="Book Antiqua" w:hAnsi="Book Antiqua"/>
          <w:b/>
          <w:bCs/>
          <w:sz w:val="52"/>
          <w:szCs w:val="52"/>
          <w:lang w:val="es-ES_tradnl"/>
        </w:rPr>
        <w:t xml:space="preserve"> 358</w:t>
      </w:r>
    </w:p>
    <w:p w14:paraId="1C1A81A2" w14:textId="77777777" w:rsidR="007453E1" w:rsidRPr="009C2A40" w:rsidRDefault="007453E1" w:rsidP="008B7A54">
      <w:pPr>
        <w:pStyle w:val="Sinespaciado"/>
        <w:suppressLineNumbers/>
        <w:jc w:val="center"/>
        <w:rPr>
          <w:rFonts w:ascii="Book Antiqua" w:hAnsi="Book Antiqua"/>
          <w:sz w:val="24"/>
          <w:szCs w:val="24"/>
          <w:lang w:val="es-ES_tradnl"/>
        </w:rPr>
      </w:pPr>
    </w:p>
    <w:p w14:paraId="53875E49" w14:textId="30A9F6F1" w:rsidR="007453E1" w:rsidRPr="007453E1" w:rsidRDefault="002A7B64" w:rsidP="008B7A54">
      <w:pPr>
        <w:pStyle w:val="Sinespaciado"/>
        <w:suppressLineNumbers/>
        <w:jc w:val="center"/>
        <w:rPr>
          <w:rFonts w:ascii="Book Antiqua" w:hAnsi="Book Antiqua"/>
          <w:bCs/>
          <w:sz w:val="24"/>
          <w:szCs w:val="24"/>
          <w:lang w:val="es-ES_tradnl"/>
        </w:rPr>
      </w:pPr>
      <w:r>
        <w:rPr>
          <w:rFonts w:ascii="Book Antiqua" w:hAnsi="Book Antiqua"/>
          <w:bCs/>
          <w:sz w:val="24"/>
          <w:szCs w:val="24"/>
          <w:lang w:val="es-ES_tradnl"/>
        </w:rPr>
        <w:t>3</w:t>
      </w:r>
      <w:r w:rsidR="00194BCC">
        <w:rPr>
          <w:rFonts w:ascii="Book Antiqua" w:hAnsi="Book Antiqua"/>
          <w:bCs/>
          <w:sz w:val="24"/>
          <w:szCs w:val="24"/>
          <w:lang w:val="es-ES_tradnl"/>
        </w:rPr>
        <w:t xml:space="preserve"> </w:t>
      </w:r>
      <w:r w:rsidR="007453E1" w:rsidRPr="007453E1">
        <w:rPr>
          <w:rFonts w:ascii="Book Antiqua" w:hAnsi="Book Antiqua"/>
          <w:bCs/>
          <w:sz w:val="24"/>
          <w:szCs w:val="24"/>
          <w:lang w:val="es-ES_tradnl"/>
        </w:rPr>
        <w:t>DE JUNIO DE 2026</w:t>
      </w:r>
    </w:p>
    <w:p w14:paraId="552F2902" w14:textId="77777777" w:rsidR="007453E1" w:rsidRPr="007453E1" w:rsidRDefault="007453E1" w:rsidP="008B7A54">
      <w:pPr>
        <w:pStyle w:val="Sinespaciado"/>
        <w:suppressLineNumbers/>
        <w:jc w:val="center"/>
        <w:rPr>
          <w:rFonts w:ascii="Book Antiqua" w:hAnsi="Book Antiqua"/>
          <w:bCs/>
          <w:sz w:val="24"/>
          <w:szCs w:val="24"/>
          <w:lang w:val="es-ES_tradnl"/>
        </w:rPr>
      </w:pPr>
    </w:p>
    <w:p w14:paraId="26329283" w14:textId="7FF6A248" w:rsidR="007453E1" w:rsidRPr="007453E1" w:rsidRDefault="007453E1" w:rsidP="008B7A54">
      <w:pPr>
        <w:pStyle w:val="Sinespaciado"/>
        <w:suppressLineNumbers/>
        <w:jc w:val="center"/>
        <w:rPr>
          <w:rFonts w:ascii="Book Antiqua" w:hAnsi="Book Antiqua"/>
          <w:bCs/>
          <w:i/>
          <w:iCs/>
          <w:sz w:val="24"/>
          <w:szCs w:val="24"/>
          <w:lang w:val="es-ES_tradnl"/>
        </w:rPr>
      </w:pPr>
      <w:r w:rsidRPr="007453E1">
        <w:rPr>
          <w:rFonts w:ascii="Book Antiqua" w:hAnsi="Book Antiqua"/>
          <w:bCs/>
          <w:sz w:val="24"/>
          <w:szCs w:val="24"/>
          <w:lang w:val="es-ES_tradnl"/>
        </w:rPr>
        <w:t xml:space="preserve">Presentada por la </w:t>
      </w:r>
      <w:r w:rsidR="003D2D1E">
        <w:rPr>
          <w:rFonts w:ascii="Book Antiqua" w:hAnsi="Book Antiqua"/>
          <w:bCs/>
          <w:sz w:val="24"/>
          <w:szCs w:val="24"/>
          <w:lang w:val="es-ES_tradnl"/>
        </w:rPr>
        <w:t>representante</w:t>
      </w:r>
      <w:r w:rsidRPr="007453E1">
        <w:rPr>
          <w:rFonts w:ascii="Book Antiqua" w:hAnsi="Book Antiqua"/>
          <w:bCs/>
          <w:sz w:val="24"/>
          <w:szCs w:val="24"/>
          <w:lang w:val="es-ES_tradnl"/>
        </w:rPr>
        <w:t xml:space="preserve"> </w:t>
      </w:r>
      <w:r w:rsidRPr="007453E1">
        <w:rPr>
          <w:rFonts w:ascii="Book Antiqua" w:hAnsi="Book Antiqua"/>
          <w:bCs/>
          <w:i/>
          <w:iCs/>
          <w:sz w:val="24"/>
          <w:szCs w:val="24"/>
          <w:lang w:val="es-ES_tradnl"/>
        </w:rPr>
        <w:t>Martínez Soto</w:t>
      </w:r>
    </w:p>
    <w:p w14:paraId="64174419" w14:textId="77777777" w:rsidR="007453E1" w:rsidRPr="007453E1" w:rsidRDefault="007453E1" w:rsidP="008B7A54">
      <w:pPr>
        <w:pStyle w:val="Sinespaciado"/>
        <w:suppressLineNumbers/>
        <w:jc w:val="center"/>
        <w:rPr>
          <w:rFonts w:ascii="Book Antiqua" w:hAnsi="Book Antiqua"/>
          <w:bCs/>
          <w:i/>
          <w:iCs/>
          <w:sz w:val="24"/>
          <w:szCs w:val="24"/>
          <w:lang w:val="es-ES_tradnl"/>
        </w:rPr>
      </w:pPr>
    </w:p>
    <w:p w14:paraId="06B1CD76" w14:textId="7EBB5D0D" w:rsidR="007453E1" w:rsidRPr="007453E1" w:rsidRDefault="007453E1" w:rsidP="008B7A54">
      <w:pPr>
        <w:pStyle w:val="Sinespaciado"/>
        <w:suppressLineNumbers/>
        <w:jc w:val="center"/>
        <w:rPr>
          <w:rFonts w:ascii="Book Antiqua" w:hAnsi="Book Antiqua"/>
        </w:rPr>
      </w:pPr>
      <w:r w:rsidRPr="007453E1">
        <w:rPr>
          <w:rFonts w:ascii="Book Antiqua" w:hAnsi="Book Antiqua"/>
          <w:bCs/>
          <w:sz w:val="24"/>
          <w:szCs w:val="24"/>
          <w:lang w:val="es-ES_tradnl"/>
        </w:rPr>
        <w:t>Referida a</w:t>
      </w:r>
      <w:r w:rsidR="009C2A40">
        <w:rPr>
          <w:rFonts w:ascii="Book Antiqua" w:hAnsi="Book Antiqua"/>
          <w:bCs/>
          <w:sz w:val="24"/>
          <w:szCs w:val="24"/>
          <w:lang w:val="es-ES_tradnl"/>
        </w:rPr>
        <w:t xml:space="preserve"> la Comisión de Transportación e Infraestructura</w:t>
      </w:r>
    </w:p>
    <w:p w14:paraId="6F74BE38" w14:textId="77777777" w:rsidR="007453E1" w:rsidRPr="009C2A40" w:rsidRDefault="007453E1" w:rsidP="008B7A54">
      <w:pPr>
        <w:pStyle w:val="Sinespaciado"/>
        <w:suppressLineNumbers/>
        <w:jc w:val="center"/>
        <w:rPr>
          <w:rFonts w:ascii="Book Antiqua" w:hAnsi="Book Antiqua"/>
          <w:sz w:val="24"/>
          <w:szCs w:val="24"/>
        </w:rPr>
      </w:pPr>
    </w:p>
    <w:p w14:paraId="534E379F" w14:textId="77777777" w:rsidR="007453E1" w:rsidRPr="009C2A40" w:rsidRDefault="007453E1" w:rsidP="008B7A54">
      <w:pPr>
        <w:pStyle w:val="Sinespaciado"/>
        <w:suppressLineNumbers/>
        <w:jc w:val="center"/>
        <w:rPr>
          <w:rFonts w:ascii="Book Antiqua" w:eastAsia="Times New Roman" w:hAnsi="Book Antiqua" w:cs="Arial"/>
          <w:b/>
          <w:color w:val="000000"/>
          <w:kern w:val="0"/>
          <w:sz w:val="28"/>
          <w:szCs w:val="28"/>
          <w:bdr w:val="none" w:sz="0" w:space="0" w:color="auto" w:frame="1"/>
          <w:lang w:eastAsia="es-ES"/>
          <w14:ligatures w14:val="none"/>
        </w:rPr>
      </w:pPr>
      <w:r w:rsidRPr="009C2A40">
        <w:rPr>
          <w:rFonts w:ascii="Book Antiqua" w:eastAsia="Times New Roman" w:hAnsi="Book Antiqua" w:cs="Arial"/>
          <w:b/>
          <w:color w:val="000000"/>
          <w:kern w:val="0"/>
          <w:sz w:val="28"/>
          <w:szCs w:val="28"/>
          <w:bdr w:val="none" w:sz="0" w:space="0" w:color="auto" w:frame="1"/>
          <w:lang w:eastAsia="es-ES"/>
          <w14:ligatures w14:val="none"/>
        </w:rPr>
        <w:t>RESOLUCIÓN CONJUNTA</w:t>
      </w:r>
    </w:p>
    <w:p w14:paraId="58277130" w14:textId="77777777" w:rsidR="008B7A54" w:rsidRPr="007453E1" w:rsidRDefault="008B7A54" w:rsidP="008B7A54">
      <w:pPr>
        <w:pStyle w:val="Sinespaciado"/>
        <w:suppressLineNumbers/>
        <w:jc w:val="center"/>
        <w:rPr>
          <w:rFonts w:ascii="Book Antiqua" w:eastAsia="Times New Roman" w:hAnsi="Book Antiqua" w:cs="Arial"/>
          <w:b/>
          <w:color w:val="000000"/>
          <w:kern w:val="0"/>
          <w:sz w:val="24"/>
          <w:szCs w:val="24"/>
          <w:lang w:eastAsia="es-ES"/>
          <w14:ligatures w14:val="none"/>
        </w:rPr>
      </w:pPr>
    </w:p>
    <w:p w14:paraId="7AB8B290" w14:textId="77777777" w:rsidR="007453E1" w:rsidRDefault="007453E1" w:rsidP="008B7A54">
      <w:pPr>
        <w:pStyle w:val="Sinespaciado"/>
        <w:suppressLineNumbers/>
        <w:ind w:left="720" w:hanging="720"/>
        <w:jc w:val="both"/>
        <w:rPr>
          <w:rFonts w:ascii="Book Antiqua" w:hAnsi="Book Antiqua"/>
          <w:sz w:val="24"/>
          <w:szCs w:val="24"/>
          <w:lang w:eastAsia="es-ES"/>
        </w:rPr>
      </w:pPr>
      <w:r w:rsidRPr="007453E1">
        <w:rPr>
          <w:rFonts w:ascii="Book Antiqua" w:hAnsi="Book Antiqua"/>
          <w:sz w:val="24"/>
          <w:szCs w:val="24"/>
          <w:lang w:eastAsia="es-ES"/>
        </w:rPr>
        <w:t>Para ordenar al Departamento de Transportación y Obras Públicas y a la Autoridad de Carreteras y Transportación a elaborar, adoptar e implantar un reglamento uniforme para regular la utilización de espacios adyacentes a carreteras estatales, avenidas, marginales, servidumbres y paseos con fines comerciales por parte de pequeños y medianos comerciantes y vendedores ambulantes; establecer los parámetros mínimos que deberá contener dicho reglamento; armonizar dicho reglamento con la Ley 107-2020 mejor conocida como el “Código Municipal de Puerto Rico”; y para otros fines relacionados.</w:t>
      </w:r>
    </w:p>
    <w:p w14:paraId="10ECCB85" w14:textId="77777777" w:rsidR="007453E1" w:rsidRPr="007453E1" w:rsidRDefault="007453E1" w:rsidP="008B7A54">
      <w:pPr>
        <w:pStyle w:val="Sinespaciado"/>
        <w:suppressLineNumbers/>
        <w:jc w:val="both"/>
        <w:rPr>
          <w:rFonts w:ascii="Book Antiqua" w:hAnsi="Book Antiqua"/>
          <w:sz w:val="24"/>
          <w:szCs w:val="24"/>
          <w:lang w:eastAsia="es-ES"/>
        </w:rPr>
      </w:pPr>
    </w:p>
    <w:p w14:paraId="1AA73C6B" w14:textId="77777777" w:rsidR="007453E1" w:rsidRDefault="007453E1" w:rsidP="008B7A54">
      <w:pPr>
        <w:pStyle w:val="Sinespaciado"/>
        <w:suppressLineNumbers/>
        <w:jc w:val="center"/>
        <w:rPr>
          <w:rFonts w:ascii="Book Antiqua" w:hAnsi="Book Antiqua"/>
          <w:sz w:val="24"/>
          <w:szCs w:val="24"/>
          <w:bdr w:val="none" w:sz="0" w:space="0" w:color="auto" w:frame="1"/>
          <w:lang w:eastAsia="es-ES"/>
        </w:rPr>
      </w:pPr>
      <w:r w:rsidRPr="007453E1">
        <w:rPr>
          <w:rFonts w:ascii="Book Antiqua" w:hAnsi="Book Antiqua"/>
          <w:sz w:val="24"/>
          <w:szCs w:val="24"/>
          <w:bdr w:val="none" w:sz="0" w:space="0" w:color="auto" w:frame="1"/>
          <w:lang w:eastAsia="es-ES"/>
        </w:rPr>
        <w:t>EXPOSICIÓN DE MOTIVOS</w:t>
      </w:r>
    </w:p>
    <w:p w14:paraId="5F0979AA" w14:textId="77777777" w:rsidR="007453E1" w:rsidRPr="007453E1" w:rsidRDefault="007453E1" w:rsidP="008B7A54">
      <w:pPr>
        <w:pStyle w:val="Sinespaciado"/>
        <w:suppressLineNumbers/>
        <w:jc w:val="both"/>
        <w:rPr>
          <w:rFonts w:ascii="Book Antiqua" w:hAnsi="Book Antiqua"/>
          <w:sz w:val="24"/>
          <w:szCs w:val="24"/>
          <w:lang w:eastAsia="es-ES"/>
        </w:rPr>
      </w:pPr>
    </w:p>
    <w:p w14:paraId="2354E94E" w14:textId="77777777" w:rsidR="008B7A54" w:rsidRDefault="007453E1" w:rsidP="008B7A54">
      <w:pPr>
        <w:pStyle w:val="Sinespaciado"/>
        <w:suppressLineNumbers/>
        <w:ind w:firstLine="720"/>
        <w:jc w:val="both"/>
        <w:rPr>
          <w:rFonts w:ascii="Book Antiqua" w:hAnsi="Book Antiqua"/>
          <w:sz w:val="24"/>
          <w:szCs w:val="24"/>
          <w:lang w:eastAsia="es-ES"/>
        </w:rPr>
      </w:pPr>
      <w:r w:rsidRPr="007453E1">
        <w:rPr>
          <w:rFonts w:ascii="Book Antiqua" w:hAnsi="Book Antiqua"/>
          <w:sz w:val="24"/>
          <w:szCs w:val="24"/>
          <w:lang w:eastAsia="es-ES"/>
        </w:rPr>
        <w:t>A través de toda la geografía puertorriqueña miles de ciudadanos utilizan espacios ubicados en los márgenes paralelos a las carreteras estatales, avenidas, vías marginales y paseos para desarrollar actividades comerciales de pequeña escala. La venta de frutas, vegetales, flores, alimentos preparados, artesanías y otros productos, constituye una fuente legítima de ingresos para innumerables familias puertorriqueñas que dependen de estas actividades para su sustento diario. Sin embargo, la ausencia de una reglamentación uniforme ha provocado que el manejo de estas actividades comerciales varíe significativamente de un municipio a otro, generando incertidumbre tanto para los comerciantes como para las autoridades encargadas de velar por la seguridad vial.</w:t>
      </w:r>
    </w:p>
    <w:p w14:paraId="1CC5A353" w14:textId="3E462060" w:rsidR="007453E1" w:rsidRPr="007453E1" w:rsidRDefault="007453E1" w:rsidP="008B7A54">
      <w:pPr>
        <w:pStyle w:val="Sinespaciado"/>
        <w:suppressLineNumbers/>
        <w:jc w:val="both"/>
        <w:rPr>
          <w:rFonts w:ascii="Book Antiqua" w:hAnsi="Book Antiqua"/>
          <w:sz w:val="24"/>
          <w:szCs w:val="24"/>
          <w:lang w:eastAsia="es-ES"/>
        </w:rPr>
      </w:pPr>
      <w:r w:rsidRPr="007453E1">
        <w:rPr>
          <w:rFonts w:ascii="Book Antiqua" w:hAnsi="Book Antiqua"/>
          <w:sz w:val="24"/>
          <w:szCs w:val="24"/>
          <w:lang w:eastAsia="es-ES"/>
        </w:rPr>
        <w:t xml:space="preserve"> </w:t>
      </w:r>
    </w:p>
    <w:p w14:paraId="65176172" w14:textId="77777777" w:rsidR="007453E1" w:rsidRDefault="007453E1" w:rsidP="008B7A54">
      <w:pPr>
        <w:pStyle w:val="Sinespaciado"/>
        <w:suppressLineNumbers/>
        <w:jc w:val="both"/>
        <w:rPr>
          <w:rFonts w:ascii="Book Antiqua" w:hAnsi="Book Antiqua"/>
          <w:sz w:val="24"/>
          <w:szCs w:val="24"/>
          <w:lang w:eastAsia="es-ES"/>
        </w:rPr>
      </w:pPr>
      <w:r w:rsidRPr="007453E1">
        <w:rPr>
          <w:rFonts w:ascii="Book Antiqua" w:hAnsi="Book Antiqua"/>
          <w:sz w:val="24"/>
          <w:szCs w:val="24"/>
          <w:lang w:eastAsia="es-ES"/>
        </w:rPr>
        <w:t xml:space="preserve">Esta realidad ha dado paso a interpretaciones inconsistentes sobre el uso permitido de los espacios públicos adyacentes a las carreteras estatales, ocasionando conflictos </w:t>
      </w:r>
      <w:r w:rsidRPr="007453E1">
        <w:rPr>
          <w:rFonts w:ascii="Book Antiqua" w:hAnsi="Book Antiqua"/>
          <w:sz w:val="24"/>
          <w:szCs w:val="24"/>
          <w:lang w:eastAsia="es-ES"/>
        </w:rPr>
        <w:lastRenderedPageBreak/>
        <w:t>innecesarios y afectando la estabilidad económica de muchos pequeños comerciantes. Por otro lado, el Estado tiene la responsabilidad indelegable de garantizar la seguridad de los conductores, peatones y demás usuarios de las vías públicas. La ubicación inadecuada de estructuras,</w:t>
      </w:r>
      <w:r w:rsidRPr="007453E1">
        <w:rPr>
          <w:lang w:eastAsia="es-ES"/>
        </w:rPr>
        <w:t xml:space="preserve"> </w:t>
      </w:r>
      <w:r w:rsidRPr="008B7A54">
        <w:rPr>
          <w:rFonts w:ascii="Book Antiqua" w:hAnsi="Book Antiqua"/>
          <w:sz w:val="24"/>
          <w:szCs w:val="24"/>
          <w:lang w:eastAsia="es-ES"/>
        </w:rPr>
        <w:t>vehículos o actividades comerciales en determinadas áreas puede representar riesgos para la circulación vehicular, limitar la visibilidad de los conductores, obstaculizar el tránsito o dificultar las labores de emergencia y mantenimiento de la infraestructura vial.</w:t>
      </w:r>
    </w:p>
    <w:p w14:paraId="3803A80E" w14:textId="77777777" w:rsidR="008B7A54" w:rsidRPr="008B7A54" w:rsidRDefault="008B7A54" w:rsidP="008B7A54">
      <w:pPr>
        <w:pStyle w:val="Sinespaciado"/>
        <w:suppressLineNumbers/>
        <w:jc w:val="both"/>
        <w:rPr>
          <w:rFonts w:ascii="Book Antiqua" w:hAnsi="Book Antiqua"/>
          <w:sz w:val="24"/>
          <w:szCs w:val="24"/>
          <w:lang w:eastAsia="es-ES"/>
        </w:rPr>
      </w:pPr>
    </w:p>
    <w:p w14:paraId="4D023864" w14:textId="77777777" w:rsidR="007453E1" w:rsidRDefault="007453E1" w:rsidP="008B7A54">
      <w:pPr>
        <w:pStyle w:val="Sinespaciado"/>
        <w:suppressLineNumbers/>
        <w:ind w:firstLine="720"/>
        <w:jc w:val="both"/>
        <w:rPr>
          <w:rFonts w:ascii="Book Antiqua" w:eastAsia="Times New Roman" w:hAnsi="Book Antiqua" w:cs="Arial"/>
          <w:color w:val="000000"/>
          <w:kern w:val="0"/>
          <w:sz w:val="24"/>
          <w:szCs w:val="24"/>
          <w:lang w:eastAsia="es-ES"/>
          <w14:ligatures w14:val="none"/>
        </w:rPr>
      </w:pPr>
      <w:r w:rsidRPr="008B7A54">
        <w:rPr>
          <w:rFonts w:ascii="Book Antiqua" w:eastAsia="Times New Roman" w:hAnsi="Book Antiqua" w:cs="Arial"/>
          <w:color w:val="000000"/>
          <w:kern w:val="0"/>
          <w:sz w:val="24"/>
          <w:szCs w:val="24"/>
          <w:lang w:eastAsia="es-ES"/>
          <w14:ligatures w14:val="none"/>
        </w:rPr>
        <w:t xml:space="preserve">Ante esta realidad, resulta necesario establecer un balance adecuado entre la reglamentación y uniformidad de los vendedores ambulantes y pequeños comerciantes que operan en áreas cercanas a las carreteras estatales, y la obligación gubernamental de garantizar la seguridad vial de la ciudadanía. La política pública debe procurar la protección de la vida y la propiedad sin menoscabar injustificadamente oportunidades económicas que representan el sustento de numerosas familias puertorriqueñas. De. Igual manera ese balance debe velar por el interés público y lograr armonizar los procesos de perisología a nivel municipal con la reglamentación estatal para estos fines comerciales. Salvaguardando la autonomía municipal, es un consenso general por parte de los alcaldes y alcaldesas que, aunque apoyan que los permisos ambulantes permanezcan en manos de los gobiernos locales, por su conocimiento de la actividad diaria en sus vías, esta no puede prestarse a interpretaciones individuales en áreas estatales que provoquen conflictos innecesarios. </w:t>
      </w:r>
    </w:p>
    <w:p w14:paraId="2C06F811" w14:textId="77777777" w:rsidR="008B7A54" w:rsidRPr="008B7A54" w:rsidRDefault="008B7A54" w:rsidP="008B7A54">
      <w:pPr>
        <w:pStyle w:val="Sinespaciado"/>
        <w:suppressLineNumbers/>
        <w:ind w:firstLine="720"/>
        <w:jc w:val="both"/>
        <w:rPr>
          <w:rFonts w:ascii="Book Antiqua" w:eastAsia="Times New Roman" w:hAnsi="Book Antiqua" w:cs="Arial"/>
          <w:color w:val="000000"/>
          <w:kern w:val="0"/>
          <w:sz w:val="24"/>
          <w:szCs w:val="24"/>
          <w:lang w:eastAsia="es-ES"/>
          <w14:ligatures w14:val="none"/>
        </w:rPr>
      </w:pPr>
    </w:p>
    <w:p w14:paraId="1AD19503" w14:textId="77777777" w:rsidR="00F165F7" w:rsidRDefault="007453E1" w:rsidP="00F165F7">
      <w:pPr>
        <w:pStyle w:val="Sinespaciado"/>
        <w:suppressLineNumbers/>
        <w:ind w:firstLine="720"/>
        <w:jc w:val="both"/>
        <w:rPr>
          <w:rFonts w:ascii="Book Antiqua" w:eastAsia="Times New Roman" w:hAnsi="Book Antiqua" w:cs="Arial"/>
          <w:color w:val="000000"/>
          <w:kern w:val="0"/>
          <w:sz w:val="24"/>
          <w:szCs w:val="24"/>
          <w:lang w:eastAsia="es-ES"/>
          <w14:ligatures w14:val="none"/>
        </w:rPr>
      </w:pPr>
      <w:r w:rsidRPr="008B7A54">
        <w:rPr>
          <w:rFonts w:ascii="Book Antiqua" w:eastAsia="Times New Roman" w:hAnsi="Book Antiqua" w:cs="Arial"/>
          <w:color w:val="000000"/>
          <w:kern w:val="0"/>
          <w:sz w:val="24"/>
          <w:szCs w:val="24"/>
          <w:lang w:eastAsia="es-ES"/>
          <w14:ligatures w14:val="none"/>
        </w:rPr>
        <w:t>Mediante esta Resolución Conjunta, esta Asamblea Legislativa ordena al Departamento de Transportación y Obras Públicas y a la Autoridad de Carreteras y Transportación desarrollar un reglamento uniforme que permita organizar estas actividades comerciales de manera segura, ordenada y equitativa, promoviendo el desarrollo económico local y la protección del interés público.</w:t>
      </w:r>
    </w:p>
    <w:p w14:paraId="5383ED7E" w14:textId="77777777" w:rsidR="00F165F7" w:rsidRDefault="00F165F7" w:rsidP="00F165F7">
      <w:pPr>
        <w:pStyle w:val="Sinespaciado"/>
        <w:suppressLineNumbers/>
        <w:jc w:val="both"/>
        <w:rPr>
          <w:rFonts w:ascii="Book Antiqua" w:eastAsia="Times New Roman" w:hAnsi="Book Antiqua" w:cs="Arial"/>
          <w:color w:val="000000"/>
          <w:kern w:val="0"/>
          <w:sz w:val="24"/>
          <w:szCs w:val="24"/>
          <w:lang w:eastAsia="es-ES"/>
          <w14:ligatures w14:val="none"/>
        </w:rPr>
      </w:pPr>
    </w:p>
    <w:p w14:paraId="79EAC126" w14:textId="10592DC6" w:rsidR="008B7A54" w:rsidRPr="00F165F7" w:rsidRDefault="007453E1" w:rsidP="00F165F7">
      <w:pPr>
        <w:pStyle w:val="Sinespaciado"/>
        <w:suppressLineNumbers/>
        <w:jc w:val="both"/>
        <w:rPr>
          <w:rFonts w:ascii="Book Antiqua" w:eastAsia="Times New Roman" w:hAnsi="Book Antiqua" w:cs="Arial"/>
          <w:color w:val="000000"/>
          <w:kern w:val="0"/>
          <w:sz w:val="24"/>
          <w:szCs w:val="24"/>
          <w:lang w:eastAsia="es-ES"/>
          <w14:ligatures w14:val="none"/>
        </w:rPr>
      </w:pPr>
      <w:r w:rsidRPr="008B7A54">
        <w:rPr>
          <w:rFonts w:ascii="Book Antiqua" w:hAnsi="Book Antiqua"/>
          <w:i/>
          <w:iCs/>
          <w:sz w:val="24"/>
          <w:szCs w:val="24"/>
          <w:bdr w:val="none" w:sz="0" w:space="0" w:color="auto" w:frame="1"/>
          <w:lang w:eastAsia="es-ES"/>
        </w:rPr>
        <w:t>RESUÉLV</w:t>
      </w:r>
      <w:r w:rsidR="00186253">
        <w:rPr>
          <w:rFonts w:ascii="Book Antiqua" w:hAnsi="Book Antiqua"/>
          <w:i/>
          <w:iCs/>
          <w:sz w:val="24"/>
          <w:szCs w:val="24"/>
          <w:bdr w:val="none" w:sz="0" w:space="0" w:color="auto" w:frame="1"/>
          <w:lang w:eastAsia="es-ES"/>
        </w:rPr>
        <w:t>E</w:t>
      </w:r>
      <w:r w:rsidRPr="008B7A54">
        <w:rPr>
          <w:rFonts w:ascii="Book Antiqua" w:hAnsi="Book Antiqua"/>
          <w:i/>
          <w:iCs/>
          <w:sz w:val="24"/>
          <w:szCs w:val="24"/>
          <w:bdr w:val="none" w:sz="0" w:space="0" w:color="auto" w:frame="1"/>
          <w:lang w:eastAsia="es-ES"/>
        </w:rPr>
        <w:t>SE POR LA ASAMBLEA LEGISLATIVA DE PUERTO RICO</w:t>
      </w:r>
    </w:p>
    <w:p w14:paraId="08C78C19" w14:textId="77777777" w:rsidR="00F165F7" w:rsidRPr="00F165F7" w:rsidRDefault="00F165F7" w:rsidP="00F165F7">
      <w:pPr>
        <w:pStyle w:val="Sinespaciado"/>
        <w:suppressLineNumbers/>
        <w:ind w:firstLine="720"/>
        <w:jc w:val="both"/>
        <w:rPr>
          <w:rFonts w:ascii="Book Antiqua" w:eastAsia="Times New Roman" w:hAnsi="Book Antiqua" w:cs="Arial"/>
          <w:color w:val="000000"/>
          <w:kern w:val="0"/>
          <w:sz w:val="24"/>
          <w:szCs w:val="24"/>
          <w:lang w:eastAsia="es-ES"/>
          <w14:ligatures w14:val="none"/>
        </w:rPr>
      </w:pPr>
    </w:p>
    <w:p w14:paraId="5150E0B1"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Arial"/>
          <w:color w:val="000000"/>
          <w:sz w:val="24"/>
          <w:szCs w:val="24"/>
          <w:bdr w:val="none" w:sz="0" w:space="0" w:color="auto" w:frame="1"/>
          <w:lang w:eastAsia="es-ES"/>
        </w:rPr>
        <w:t>Sección 1. -</w:t>
      </w:r>
      <w:r w:rsidRPr="007453E1">
        <w:rPr>
          <w:rFonts w:ascii="Book Antiqua" w:eastAsia="Times New Roman" w:hAnsi="Book Antiqua" w:cs="Times New Roman"/>
          <w:sz w:val="24"/>
          <w:szCs w:val="24"/>
          <w:lang w:eastAsia="es-ES"/>
        </w:rPr>
        <w:t> Se ordena al Departamento de Transportación y Obras Públicas de Puerto Rico (DTOP) y a la Autoridad de Carreteras y Transportación de Puerto Rico (ACT) a elaborar, adoptar e implantar un reglamento uniforme para regular la utilización de espacios adyacentes a carreteras estatales, avenidas, vías marginales, servidumbres y paseos con fines comerciales por parte de pequeños y medianos comerciantes y vendedores ambulantes.</w:t>
      </w:r>
    </w:p>
    <w:p w14:paraId="26C8BFC4"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Arial"/>
          <w:color w:val="000000"/>
          <w:sz w:val="24"/>
          <w:szCs w:val="24"/>
          <w:bdr w:val="none" w:sz="0" w:space="0" w:color="auto" w:frame="1"/>
          <w:lang w:eastAsia="es-ES"/>
        </w:rPr>
        <w:lastRenderedPageBreak/>
        <w:t>Sección 2. -</w:t>
      </w:r>
      <w:r w:rsidRPr="007453E1">
        <w:rPr>
          <w:rFonts w:ascii="Book Antiqua" w:eastAsia="Times New Roman" w:hAnsi="Book Antiqua" w:cs="Times New Roman"/>
          <w:sz w:val="24"/>
          <w:szCs w:val="24"/>
          <w:lang w:eastAsia="es-ES"/>
        </w:rPr>
        <w:t> El reglamento deberá estar dirigido a facilitar el desarrollo de actividades comerciales legítimas que constituyan el sustento económico de individuos y familias puertorriqueñas, garantizando simultáneamente la seguridad vial y el libre tránsito de vehículos y peatones.</w:t>
      </w:r>
    </w:p>
    <w:p w14:paraId="7E719765"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Arial"/>
          <w:color w:val="000000"/>
          <w:sz w:val="24"/>
          <w:szCs w:val="24"/>
          <w:bdr w:val="none" w:sz="0" w:space="0" w:color="auto" w:frame="1"/>
          <w:lang w:eastAsia="es-ES"/>
        </w:rPr>
        <w:t>Sección 3. -</w:t>
      </w:r>
      <w:r w:rsidRPr="007453E1">
        <w:rPr>
          <w:rFonts w:ascii="Book Antiqua" w:eastAsia="Times New Roman" w:hAnsi="Book Antiqua" w:cs="Times New Roman"/>
          <w:sz w:val="24"/>
          <w:szCs w:val="24"/>
          <w:lang w:eastAsia="es-ES"/>
        </w:rPr>
        <w:t xml:space="preserve"> Este reglamento deberá contener, pero sin limitarse:</w:t>
      </w:r>
    </w:p>
    <w:p w14:paraId="66C9EBAF"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(a) Los criterios para identificar áreas aptas para actividades comerciales temporeras o permanentes en las proximidades de carreteras estatales;</w:t>
      </w:r>
    </w:p>
    <w:p w14:paraId="6B638B49"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(b) Los requisitos para la obtención de permisos o autorizaciones correspondientes sin que estos sean conflictivos con la perisología. A nivel municipal dispuesta en la ley 107-2020 mejor conocida como el “Código Municipal de Puerto Rico”;</w:t>
      </w:r>
    </w:p>
    <w:p w14:paraId="64E3733E"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(c) Las distancias mínimas de seguridad respecto a intersecciones, puentes, accesos, semáforos, rampas y demás estructuras viales;</w:t>
      </w:r>
    </w:p>
    <w:p w14:paraId="04C8F7F4"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(d) Las normas aplicables a estacionamiento de vehículos, instalación de estructuras temporeras, rótulos y anuncios;</w:t>
      </w:r>
    </w:p>
    <w:p w14:paraId="2CDD0ABB"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(e) Las medidas de seguridad requeridas para proteger a comerciantes, peatones y conductores;</w:t>
      </w:r>
    </w:p>
    <w:p w14:paraId="36F17F87"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(f) Los procedimientos de inspección y fiscalización;</w:t>
      </w:r>
    </w:p>
    <w:p w14:paraId="69B61E7B"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(g) Los mecanismos para promover la participación de pequeños y medianos comerciantes en igualdad de condiciones;</w:t>
      </w:r>
    </w:p>
    <w:p w14:paraId="0ABC369E"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t>(h) Los procedimientos para atender querellas, solicitudes de reconsideración y revisiones administrativas; y</w:t>
      </w:r>
    </w:p>
    <w:p w14:paraId="71880E62"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Times New Roman"/>
          <w:sz w:val="24"/>
          <w:szCs w:val="24"/>
          <w:lang w:eastAsia="es-ES"/>
        </w:rPr>
        <w:lastRenderedPageBreak/>
        <w:t>(i) Cualquier otra disposición necesaria para cumplir con los propósitos de esta Resolución Conjunta.</w:t>
      </w:r>
    </w:p>
    <w:p w14:paraId="0B9CAE48"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Arial"/>
          <w:color w:val="000000"/>
          <w:sz w:val="24"/>
          <w:szCs w:val="24"/>
          <w:bdr w:val="none" w:sz="0" w:space="0" w:color="auto" w:frame="1"/>
          <w:lang w:eastAsia="es-ES"/>
        </w:rPr>
        <w:t>Sección 4. -</w:t>
      </w:r>
      <w:r w:rsidRPr="007453E1">
        <w:rPr>
          <w:rFonts w:ascii="Book Antiqua" w:eastAsia="Times New Roman" w:hAnsi="Book Antiqua" w:cs="Times New Roman"/>
          <w:sz w:val="24"/>
          <w:szCs w:val="24"/>
          <w:lang w:eastAsia="es-ES"/>
        </w:rPr>
        <w:t> En la elaboración del reglamento, el DTOP y la ACT deberán celebrar vistas públicas con comerciantes, vendedores ambulantes, municipios, organizaciones comunitarias y cualquier otro sector que entiendan pertinente.</w:t>
      </w:r>
    </w:p>
    <w:p w14:paraId="14D6AA32"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Arial"/>
          <w:color w:val="000000"/>
          <w:sz w:val="24"/>
          <w:szCs w:val="24"/>
          <w:bdr w:val="none" w:sz="0" w:space="0" w:color="auto" w:frame="1"/>
          <w:lang w:eastAsia="es-ES"/>
        </w:rPr>
        <w:t>Sección 5. -</w:t>
      </w:r>
      <w:r w:rsidRPr="007453E1">
        <w:rPr>
          <w:rFonts w:ascii="Book Antiqua" w:eastAsia="Times New Roman" w:hAnsi="Book Antiqua" w:cs="Times New Roman"/>
          <w:sz w:val="24"/>
          <w:szCs w:val="24"/>
          <w:lang w:eastAsia="es-ES"/>
        </w:rPr>
        <w:t> El reglamento ordenado mediante esta Resolución deberá ser adoptado dentro de un término no mayor de ciento ochenta (180) días contados a partir de la aprobación de esta Resolución Conjunta.</w:t>
      </w:r>
    </w:p>
    <w:p w14:paraId="0A4BEFD2"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Arial"/>
          <w:color w:val="000000"/>
          <w:sz w:val="24"/>
          <w:szCs w:val="24"/>
          <w:bdr w:val="none" w:sz="0" w:space="0" w:color="auto" w:frame="1"/>
          <w:lang w:eastAsia="es-ES"/>
        </w:rPr>
        <w:t>Sección 6. -</w:t>
      </w:r>
      <w:r w:rsidRPr="007453E1">
        <w:rPr>
          <w:rFonts w:ascii="Book Antiqua" w:eastAsia="Times New Roman" w:hAnsi="Book Antiqua" w:cs="Times New Roman"/>
          <w:sz w:val="24"/>
          <w:szCs w:val="24"/>
          <w:lang w:eastAsia="es-ES"/>
        </w:rPr>
        <w:t> El Departamento de Transportación y Obras Públicas y la Autoridad de Carreteras y Transportación rendirán a la Asamblea Legislativa un informe conjunto sobre el cumplimiento de esta Resolución dentro del término establecido en la Sección 5 de esta medida.</w:t>
      </w:r>
    </w:p>
    <w:p w14:paraId="1E3C12D9" w14:textId="77777777" w:rsidR="007453E1" w:rsidRPr="007453E1" w:rsidRDefault="007453E1" w:rsidP="008B7A54">
      <w:pPr>
        <w:spacing w:after="0" w:line="480" w:lineRule="auto"/>
        <w:ind w:firstLine="708"/>
        <w:jc w:val="both"/>
        <w:rPr>
          <w:rFonts w:ascii="Book Antiqua" w:eastAsia="Times New Roman" w:hAnsi="Book Antiqua" w:cs="Times New Roman"/>
          <w:sz w:val="24"/>
          <w:szCs w:val="24"/>
          <w:lang w:eastAsia="es-ES"/>
        </w:rPr>
      </w:pPr>
      <w:r w:rsidRPr="007453E1">
        <w:rPr>
          <w:rFonts w:ascii="Book Antiqua" w:eastAsia="Times New Roman" w:hAnsi="Book Antiqua" w:cs="Arial"/>
          <w:color w:val="000000"/>
          <w:sz w:val="24"/>
          <w:szCs w:val="24"/>
          <w:bdr w:val="none" w:sz="0" w:space="0" w:color="auto" w:frame="1"/>
          <w:lang w:eastAsia="es-ES"/>
        </w:rPr>
        <w:t>Sección 7.  -</w:t>
      </w:r>
      <w:r w:rsidRPr="007453E1">
        <w:rPr>
          <w:rFonts w:ascii="Book Antiqua" w:eastAsia="Times New Roman" w:hAnsi="Book Antiqua" w:cs="Times New Roman"/>
          <w:sz w:val="24"/>
          <w:szCs w:val="24"/>
          <w:lang w:eastAsia="es-ES"/>
        </w:rPr>
        <w:t> Esta Resolución Conjunta entrará en vigor inmediatamente después de su aprobación.</w:t>
      </w:r>
    </w:p>
    <w:p w14:paraId="0F7B3EFA" w14:textId="7B3DEE2B" w:rsidR="007453E1" w:rsidRPr="007453E1" w:rsidRDefault="007453E1" w:rsidP="007453E1">
      <w:pPr>
        <w:pStyle w:val="Sinespaciado"/>
      </w:pPr>
    </w:p>
    <w:sectPr w:rsidR="007453E1" w:rsidRPr="007453E1" w:rsidSect="00F165F7">
      <w:footerReference w:type="default" r:id="rId7"/>
      <w:type w:val="continuous"/>
      <w:pgSz w:w="12240" w:h="15840"/>
      <w:pgMar w:top="1440" w:right="1440" w:bottom="1440" w:left="1440" w:header="706" w:footer="706"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34BBD" w14:textId="77777777" w:rsidR="00012E1B" w:rsidRDefault="00012E1B">
      <w:pPr>
        <w:spacing w:after="0" w:line="240" w:lineRule="auto"/>
      </w:pPr>
      <w:r>
        <w:separator/>
      </w:r>
    </w:p>
  </w:endnote>
  <w:endnote w:type="continuationSeparator" w:id="0">
    <w:p w14:paraId="092A4D20" w14:textId="77777777" w:rsidR="00012E1B" w:rsidRDefault="00012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408365"/>
      <w:docPartObj>
        <w:docPartGallery w:val="Page Numbers (Bottom of Page)"/>
        <w:docPartUnique/>
      </w:docPartObj>
    </w:sdtPr>
    <w:sdtEndPr>
      <w:rPr>
        <w:noProof/>
      </w:rPr>
    </w:sdtEndPr>
    <w:sdtContent>
      <w:p w14:paraId="01ABD438" w14:textId="77777777" w:rsidR="007453E1" w:rsidRDefault="007453E1">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37F92377" w14:textId="77777777" w:rsidR="007453E1" w:rsidRDefault="007453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45CAF" w14:textId="77777777" w:rsidR="00012E1B" w:rsidRDefault="00012E1B">
      <w:pPr>
        <w:spacing w:after="0" w:line="240" w:lineRule="auto"/>
      </w:pPr>
      <w:r>
        <w:separator/>
      </w:r>
    </w:p>
  </w:footnote>
  <w:footnote w:type="continuationSeparator" w:id="0">
    <w:p w14:paraId="5D8372C9" w14:textId="77777777" w:rsidR="00012E1B" w:rsidRDefault="00012E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E1"/>
    <w:rsid w:val="00012E1B"/>
    <w:rsid w:val="00074280"/>
    <w:rsid w:val="000F4A7C"/>
    <w:rsid w:val="00186253"/>
    <w:rsid w:val="00194BCC"/>
    <w:rsid w:val="002A7B64"/>
    <w:rsid w:val="002D29C4"/>
    <w:rsid w:val="003D2D1E"/>
    <w:rsid w:val="003F627B"/>
    <w:rsid w:val="0045332A"/>
    <w:rsid w:val="004858F3"/>
    <w:rsid w:val="005C15FB"/>
    <w:rsid w:val="006138D5"/>
    <w:rsid w:val="006B58E0"/>
    <w:rsid w:val="007453E1"/>
    <w:rsid w:val="008253A0"/>
    <w:rsid w:val="008B7A54"/>
    <w:rsid w:val="009233C4"/>
    <w:rsid w:val="009C2A40"/>
    <w:rsid w:val="00C215A9"/>
    <w:rsid w:val="00D52E9A"/>
    <w:rsid w:val="00D67976"/>
    <w:rsid w:val="00E070E0"/>
    <w:rsid w:val="00EB3471"/>
    <w:rsid w:val="00EF35EE"/>
    <w:rsid w:val="00F165F7"/>
    <w:rsid w:val="00F50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7866C"/>
  <w15:chartTrackingRefBased/>
  <w15:docId w15:val="{B3861368-4403-460C-90DA-81F20014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Ttulo1">
    <w:name w:val="heading 1"/>
    <w:basedOn w:val="Normal"/>
    <w:next w:val="Normal"/>
    <w:link w:val="Ttulo1Car"/>
    <w:uiPriority w:val="9"/>
    <w:qFormat/>
    <w:rsid w:val="007453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453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453E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453E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453E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453E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453E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453E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453E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453E1"/>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7453E1"/>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7453E1"/>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7453E1"/>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7453E1"/>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7453E1"/>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7453E1"/>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7453E1"/>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7453E1"/>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7453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453E1"/>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7453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453E1"/>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7453E1"/>
    <w:pPr>
      <w:spacing w:before="160"/>
      <w:jc w:val="center"/>
    </w:pPr>
    <w:rPr>
      <w:i/>
      <w:iCs/>
      <w:color w:val="404040" w:themeColor="text1" w:themeTint="BF"/>
    </w:rPr>
  </w:style>
  <w:style w:type="character" w:customStyle="1" w:styleId="CitaCar">
    <w:name w:val="Cita Car"/>
    <w:basedOn w:val="Fuentedeprrafopredeter"/>
    <w:link w:val="Cita"/>
    <w:uiPriority w:val="29"/>
    <w:rsid w:val="007453E1"/>
    <w:rPr>
      <w:i/>
      <w:iCs/>
      <w:color w:val="404040" w:themeColor="text1" w:themeTint="BF"/>
      <w:lang w:val="es-PR"/>
    </w:rPr>
  </w:style>
  <w:style w:type="paragraph" w:styleId="Prrafodelista">
    <w:name w:val="List Paragraph"/>
    <w:basedOn w:val="Normal"/>
    <w:uiPriority w:val="34"/>
    <w:qFormat/>
    <w:rsid w:val="007453E1"/>
    <w:pPr>
      <w:ind w:left="720"/>
      <w:contextualSpacing/>
    </w:pPr>
  </w:style>
  <w:style w:type="character" w:styleId="nfasisintenso">
    <w:name w:val="Intense Emphasis"/>
    <w:basedOn w:val="Fuentedeprrafopredeter"/>
    <w:uiPriority w:val="21"/>
    <w:qFormat/>
    <w:rsid w:val="007453E1"/>
    <w:rPr>
      <w:i/>
      <w:iCs/>
      <w:color w:val="0F4761" w:themeColor="accent1" w:themeShade="BF"/>
    </w:rPr>
  </w:style>
  <w:style w:type="paragraph" w:styleId="Citadestacada">
    <w:name w:val="Intense Quote"/>
    <w:basedOn w:val="Normal"/>
    <w:next w:val="Normal"/>
    <w:link w:val="CitadestacadaCar"/>
    <w:uiPriority w:val="30"/>
    <w:qFormat/>
    <w:rsid w:val="007453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453E1"/>
    <w:rPr>
      <w:i/>
      <w:iCs/>
      <w:color w:val="0F4761" w:themeColor="accent1" w:themeShade="BF"/>
      <w:lang w:val="es-PR"/>
    </w:rPr>
  </w:style>
  <w:style w:type="character" w:styleId="Referenciaintensa">
    <w:name w:val="Intense Reference"/>
    <w:basedOn w:val="Fuentedeprrafopredeter"/>
    <w:uiPriority w:val="32"/>
    <w:qFormat/>
    <w:rsid w:val="007453E1"/>
    <w:rPr>
      <w:b/>
      <w:bCs/>
      <w:smallCaps/>
      <w:color w:val="0F4761" w:themeColor="accent1" w:themeShade="BF"/>
      <w:spacing w:val="5"/>
    </w:rPr>
  </w:style>
  <w:style w:type="paragraph" w:styleId="Sinespaciado">
    <w:name w:val="No Spacing"/>
    <w:uiPriority w:val="1"/>
    <w:qFormat/>
    <w:rsid w:val="007453E1"/>
    <w:pPr>
      <w:spacing w:after="0" w:line="240" w:lineRule="auto"/>
    </w:pPr>
    <w:rPr>
      <w:lang w:val="es-PR"/>
    </w:rPr>
  </w:style>
  <w:style w:type="paragraph" w:styleId="Piedepgina">
    <w:name w:val="footer"/>
    <w:basedOn w:val="Normal"/>
    <w:link w:val="PiedepginaCar"/>
    <w:uiPriority w:val="99"/>
    <w:semiHidden/>
    <w:unhideWhenUsed/>
    <w:rsid w:val="007453E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rsid w:val="007453E1"/>
    <w:rPr>
      <w:lang w:val="es-PR"/>
    </w:rPr>
  </w:style>
  <w:style w:type="paragraph" w:customStyle="1" w:styleId="Title2">
    <w:name w:val="Title2"/>
    <w:basedOn w:val="Normal"/>
    <w:next w:val="Normal"/>
    <w:rsid w:val="007453E1"/>
    <w:pPr>
      <w:tabs>
        <w:tab w:val="left" w:pos="648"/>
        <w:tab w:val="right" w:pos="7776"/>
        <w:tab w:val="left" w:pos="7848"/>
      </w:tabs>
      <w:spacing w:after="0" w:line="240" w:lineRule="auto"/>
    </w:pPr>
    <w:rPr>
      <w:rFonts w:ascii="Times New Roman" w:eastAsia="Times New Roman" w:hAnsi="Times New Roman" w:cs="Times New Roman"/>
      <w:kern w:val="0"/>
      <w:sz w:val="24"/>
      <w:szCs w:val="20"/>
      <w:lang w:val="en-US"/>
      <w14:ligatures w14:val="none"/>
    </w:rPr>
  </w:style>
  <w:style w:type="character" w:styleId="Nmerodelnea">
    <w:name w:val="line number"/>
    <w:basedOn w:val="Fuentedeprrafopredeter"/>
    <w:uiPriority w:val="99"/>
    <w:semiHidden/>
    <w:unhideWhenUsed/>
    <w:rsid w:val="008B7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855D1-058C-4372-8DC0-7512D404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Escribano Robello</dc:creator>
  <cp:keywords/>
  <dc:description/>
  <cp:lastModifiedBy>Rocío Alayón Morell</cp:lastModifiedBy>
  <cp:revision>6</cp:revision>
  <cp:lastPrinted>2026-06-03T15:24:00Z</cp:lastPrinted>
  <dcterms:created xsi:type="dcterms:W3CDTF">2026-06-03T18:14:00Z</dcterms:created>
  <dcterms:modified xsi:type="dcterms:W3CDTF">2026-06-03T20:18:00Z</dcterms:modified>
</cp:coreProperties>
</file>