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9BE51" w14:textId="13D63350" w:rsidR="009E24A0" w:rsidRPr="0010752D" w:rsidRDefault="009E24A0" w:rsidP="0010752D">
      <w:pPr>
        <w:pStyle w:val="Sinespaciado"/>
        <w:jc w:val="center"/>
        <w:rPr>
          <w:rFonts w:ascii="Book Antiqua" w:eastAsia="Times New Roman" w:hAnsi="Book Antiqua"/>
          <w:sz w:val="28"/>
          <w:szCs w:val="28"/>
          <w:lang w:val="es-ES_tradnl" w:eastAsia="en-US"/>
        </w:rPr>
      </w:pPr>
      <w:r w:rsidRPr="0010752D">
        <w:rPr>
          <w:rFonts w:ascii="Book Antiqua" w:eastAsia="Times New Roman" w:hAnsi="Book Antiqua"/>
          <w:sz w:val="28"/>
          <w:szCs w:val="28"/>
          <w:lang w:val="es-ES_tradnl" w:eastAsia="en-US"/>
        </w:rPr>
        <w:t>GOBIERNO DE PUERTO RICO</w:t>
      </w:r>
    </w:p>
    <w:p w14:paraId="1F46E931" w14:textId="77777777" w:rsidR="009E24A0" w:rsidRPr="0010752D" w:rsidRDefault="009E24A0" w:rsidP="0010752D">
      <w:pPr>
        <w:pStyle w:val="Sinespaciado"/>
        <w:jc w:val="both"/>
        <w:rPr>
          <w:rFonts w:ascii="Book Antiqua" w:eastAsia="Times New Roman" w:hAnsi="Book Antiqua"/>
          <w:lang w:val="es-ES_tradnl" w:eastAsia="en-US"/>
        </w:rPr>
      </w:pPr>
    </w:p>
    <w:p w14:paraId="2E036AD1" w14:textId="11295A78" w:rsidR="009E24A0" w:rsidRPr="0010752D" w:rsidRDefault="009E24A0" w:rsidP="0010752D">
      <w:pPr>
        <w:pStyle w:val="Sinespaciado"/>
        <w:jc w:val="both"/>
        <w:rPr>
          <w:rFonts w:ascii="Book Antiqua" w:eastAsia="Times New Roman" w:hAnsi="Book Antiqua"/>
          <w:lang w:val="es-ES_tradnl" w:eastAsia="en-US"/>
        </w:rPr>
      </w:pPr>
      <w:r w:rsidRPr="0010752D">
        <w:rPr>
          <w:rFonts w:ascii="Book Antiqua" w:hAnsi="Book Antiqua"/>
          <w:noProof/>
        </w:rPr>
        <w:drawing>
          <wp:inline distT="0" distB="0" distL="0" distR="0" wp14:anchorId="66C95582" wp14:editId="602FF849">
            <wp:extent cx="5400040" cy="343535"/>
            <wp:effectExtent l="0" t="0" r="0" b="0"/>
            <wp:docPr id="829417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40" cy="343535"/>
                    </a:xfrm>
                    <a:prstGeom prst="rect">
                      <a:avLst/>
                    </a:prstGeom>
                    <a:noFill/>
                    <a:ln>
                      <a:noFill/>
                    </a:ln>
                  </pic:spPr>
                </pic:pic>
              </a:graphicData>
            </a:graphic>
          </wp:inline>
        </w:drawing>
      </w:r>
      <w:r w:rsidRPr="0010752D">
        <w:rPr>
          <w:rFonts w:ascii="Book Antiqua" w:eastAsia="Times New Roman" w:hAnsi="Book Antiqua"/>
          <w:lang w:val="es-ES_tradnl" w:eastAsia="en-US"/>
        </w:rPr>
        <w:tab/>
      </w:r>
    </w:p>
    <w:p w14:paraId="5425A1A0" w14:textId="77777777" w:rsidR="009E24A0" w:rsidRPr="0010752D" w:rsidRDefault="009E24A0" w:rsidP="0010752D">
      <w:pPr>
        <w:pStyle w:val="Sinespaciado"/>
        <w:jc w:val="both"/>
        <w:rPr>
          <w:rFonts w:ascii="Book Antiqua" w:eastAsia="Times New Roman" w:hAnsi="Book Antiqua"/>
          <w:lang w:val="es-ES_tradnl" w:eastAsia="en-US"/>
        </w:rPr>
      </w:pPr>
    </w:p>
    <w:p w14:paraId="58ADB9EE" w14:textId="77777777" w:rsidR="00BC506E" w:rsidRPr="0010752D" w:rsidRDefault="00BC506E" w:rsidP="0010752D">
      <w:pPr>
        <w:pStyle w:val="Sinespaciado"/>
        <w:jc w:val="center"/>
        <w:rPr>
          <w:rFonts w:ascii="Book Antiqua" w:hAnsi="Book Antiqua" w:cs="Arial"/>
          <w:b/>
          <w:bCs/>
          <w:color w:val="313131"/>
          <w:sz w:val="36"/>
          <w:szCs w:val="36"/>
          <w:bdr w:val="none" w:sz="0" w:space="0" w:color="auto" w:frame="1"/>
        </w:rPr>
      </w:pPr>
      <w:r w:rsidRPr="0010752D">
        <w:rPr>
          <w:rFonts w:ascii="Book Antiqua" w:hAnsi="Book Antiqua" w:cs="Arial"/>
          <w:b/>
          <w:bCs/>
          <w:color w:val="313131"/>
          <w:sz w:val="36"/>
          <w:szCs w:val="36"/>
          <w:bdr w:val="none" w:sz="0" w:space="0" w:color="auto" w:frame="1"/>
        </w:rPr>
        <w:t>CÁMARA DE REPRESENTANTES</w:t>
      </w:r>
    </w:p>
    <w:p w14:paraId="688A73B4" w14:textId="77777777" w:rsidR="0010752D" w:rsidRPr="0010752D" w:rsidRDefault="0010752D" w:rsidP="0010752D">
      <w:pPr>
        <w:pStyle w:val="Sinespaciado"/>
        <w:jc w:val="center"/>
        <w:rPr>
          <w:rFonts w:ascii="Book Antiqua" w:hAnsi="Book Antiqua" w:cs="Arial"/>
          <w:color w:val="313131"/>
          <w:sz w:val="36"/>
          <w:szCs w:val="36"/>
        </w:rPr>
      </w:pPr>
    </w:p>
    <w:p w14:paraId="1BC2CC7C" w14:textId="00076204" w:rsidR="00BC506E" w:rsidRPr="0010752D" w:rsidRDefault="00BC506E" w:rsidP="0010752D">
      <w:pPr>
        <w:pStyle w:val="Sinespaciado"/>
        <w:jc w:val="center"/>
        <w:rPr>
          <w:rFonts w:ascii="Book Antiqua" w:hAnsi="Book Antiqua" w:cs="Arial"/>
          <w:b/>
          <w:bCs/>
          <w:color w:val="313131"/>
          <w:sz w:val="52"/>
          <w:szCs w:val="52"/>
          <w:bdr w:val="none" w:sz="0" w:space="0" w:color="auto" w:frame="1"/>
        </w:rPr>
      </w:pPr>
      <w:r w:rsidRPr="0010752D">
        <w:rPr>
          <w:rFonts w:ascii="Book Antiqua" w:hAnsi="Book Antiqua" w:cs="Arial"/>
          <w:b/>
          <w:bCs/>
          <w:color w:val="313131"/>
          <w:sz w:val="52"/>
          <w:szCs w:val="52"/>
          <w:bdr w:val="none" w:sz="0" w:space="0" w:color="auto" w:frame="1"/>
        </w:rPr>
        <w:t xml:space="preserve">R. C. de la C. </w:t>
      </w:r>
      <w:r w:rsidR="003E7409">
        <w:rPr>
          <w:rFonts w:ascii="Book Antiqua" w:hAnsi="Book Antiqua" w:cs="Arial"/>
          <w:b/>
          <w:bCs/>
          <w:color w:val="313131"/>
          <w:sz w:val="52"/>
          <w:szCs w:val="52"/>
          <w:bdr w:val="none" w:sz="0" w:space="0" w:color="auto" w:frame="1"/>
        </w:rPr>
        <w:t>359</w:t>
      </w:r>
    </w:p>
    <w:p w14:paraId="7AC557BD" w14:textId="77777777" w:rsidR="0010752D" w:rsidRPr="0010752D" w:rsidRDefault="0010752D" w:rsidP="0010752D">
      <w:pPr>
        <w:pStyle w:val="Sinespaciado"/>
        <w:jc w:val="center"/>
        <w:rPr>
          <w:rFonts w:ascii="Book Antiqua" w:hAnsi="Book Antiqua" w:cs="Arial"/>
          <w:color w:val="313131"/>
        </w:rPr>
      </w:pPr>
    </w:p>
    <w:p w14:paraId="1B2B6F8A" w14:textId="78749236" w:rsidR="00BC506E" w:rsidRDefault="003E7409" w:rsidP="0010752D">
      <w:pPr>
        <w:pStyle w:val="Sinespaciado"/>
        <w:jc w:val="center"/>
        <w:rPr>
          <w:rFonts w:ascii="Book Antiqua" w:hAnsi="Book Antiqua" w:cs="Arial"/>
          <w:color w:val="313131"/>
          <w:bdr w:val="none" w:sz="0" w:space="0" w:color="auto" w:frame="1"/>
        </w:rPr>
      </w:pPr>
      <w:r>
        <w:rPr>
          <w:rFonts w:ascii="Book Antiqua" w:hAnsi="Book Antiqua" w:cs="Arial"/>
          <w:color w:val="313131"/>
          <w:bdr w:val="none" w:sz="0" w:space="0" w:color="auto" w:frame="1"/>
        </w:rPr>
        <w:t xml:space="preserve">3 </w:t>
      </w:r>
      <w:r w:rsidR="00CE3A6D">
        <w:rPr>
          <w:rFonts w:ascii="Book Antiqua" w:hAnsi="Book Antiqua" w:cs="Arial"/>
          <w:color w:val="313131"/>
          <w:bdr w:val="none" w:sz="0" w:space="0" w:color="auto" w:frame="1"/>
        </w:rPr>
        <w:t>DE JUNIO DE</w:t>
      </w:r>
      <w:r w:rsidR="0010752D">
        <w:rPr>
          <w:rFonts w:ascii="Book Antiqua" w:hAnsi="Book Antiqua" w:cs="Arial"/>
          <w:color w:val="313131"/>
          <w:bdr w:val="none" w:sz="0" w:space="0" w:color="auto" w:frame="1"/>
        </w:rPr>
        <w:t xml:space="preserve"> 2026</w:t>
      </w:r>
    </w:p>
    <w:p w14:paraId="1BA87C1A" w14:textId="77777777" w:rsidR="0010752D" w:rsidRPr="0010752D" w:rsidRDefault="0010752D" w:rsidP="0010752D">
      <w:pPr>
        <w:pStyle w:val="Sinespaciado"/>
        <w:jc w:val="center"/>
        <w:rPr>
          <w:rFonts w:ascii="Book Antiqua" w:hAnsi="Book Antiqua" w:cs="Arial"/>
          <w:color w:val="313131"/>
        </w:rPr>
      </w:pPr>
    </w:p>
    <w:p w14:paraId="6C62C757" w14:textId="4FD74B63" w:rsidR="00BC506E" w:rsidRDefault="00BC506E" w:rsidP="0010752D">
      <w:pPr>
        <w:pStyle w:val="Sinespaciado"/>
        <w:jc w:val="center"/>
        <w:rPr>
          <w:rFonts w:ascii="Book Antiqua" w:hAnsi="Book Antiqua" w:cs="Arial"/>
          <w:i/>
          <w:iCs/>
          <w:color w:val="313131"/>
          <w:bdr w:val="none" w:sz="0" w:space="0" w:color="auto" w:frame="1"/>
        </w:rPr>
      </w:pPr>
      <w:r w:rsidRPr="0010752D">
        <w:rPr>
          <w:rFonts w:ascii="Book Antiqua" w:hAnsi="Book Antiqua" w:cs="Arial"/>
          <w:color w:val="313131"/>
          <w:bdr w:val="none" w:sz="0" w:space="0" w:color="auto" w:frame="1"/>
        </w:rPr>
        <w:t xml:space="preserve">Presentada por la </w:t>
      </w:r>
      <w:r w:rsidR="00CE3A6D">
        <w:rPr>
          <w:rFonts w:ascii="Book Antiqua" w:hAnsi="Book Antiqua" w:cs="Arial"/>
          <w:color w:val="313131"/>
          <w:bdr w:val="none" w:sz="0" w:space="0" w:color="auto" w:frame="1"/>
        </w:rPr>
        <w:t>representante</w:t>
      </w:r>
      <w:r w:rsidRPr="0010752D">
        <w:rPr>
          <w:rFonts w:ascii="Book Antiqua" w:hAnsi="Book Antiqua" w:cs="Arial"/>
          <w:color w:val="313131"/>
          <w:bdr w:val="none" w:sz="0" w:space="0" w:color="auto" w:frame="1"/>
        </w:rPr>
        <w:t xml:space="preserve"> </w:t>
      </w:r>
      <w:r w:rsidRPr="0010752D">
        <w:rPr>
          <w:rFonts w:ascii="Book Antiqua" w:hAnsi="Book Antiqua" w:cs="Arial"/>
          <w:i/>
          <w:iCs/>
          <w:color w:val="313131"/>
          <w:bdr w:val="none" w:sz="0" w:space="0" w:color="auto" w:frame="1"/>
        </w:rPr>
        <w:t>Martínez Soto</w:t>
      </w:r>
    </w:p>
    <w:p w14:paraId="20304308" w14:textId="77777777" w:rsidR="00CE3A6D" w:rsidRDefault="00CE3A6D" w:rsidP="0010752D">
      <w:pPr>
        <w:pStyle w:val="Sinespaciado"/>
        <w:jc w:val="center"/>
        <w:rPr>
          <w:rFonts w:ascii="Book Antiqua" w:hAnsi="Book Antiqua" w:cs="Arial"/>
          <w:i/>
          <w:iCs/>
          <w:color w:val="313131"/>
          <w:bdr w:val="none" w:sz="0" w:space="0" w:color="auto" w:frame="1"/>
        </w:rPr>
      </w:pPr>
    </w:p>
    <w:p w14:paraId="498B3E2A" w14:textId="3F528F12" w:rsidR="00CE3A6D" w:rsidRPr="00CE3A6D" w:rsidRDefault="00CE3A6D" w:rsidP="0010752D">
      <w:pPr>
        <w:pStyle w:val="Sinespaciado"/>
        <w:jc w:val="center"/>
        <w:rPr>
          <w:rFonts w:ascii="Book Antiqua" w:hAnsi="Book Antiqua" w:cs="Arial"/>
          <w:color w:val="313131"/>
          <w:bdr w:val="none" w:sz="0" w:space="0" w:color="auto" w:frame="1"/>
        </w:rPr>
      </w:pPr>
      <w:r w:rsidRPr="00CE3A6D">
        <w:rPr>
          <w:rFonts w:ascii="Book Antiqua" w:hAnsi="Book Antiqua" w:cs="Arial"/>
          <w:color w:val="313131"/>
          <w:bdr w:val="none" w:sz="0" w:space="0" w:color="auto" w:frame="1"/>
        </w:rPr>
        <w:t>Referida a la Comisión de Gobierno</w:t>
      </w:r>
    </w:p>
    <w:p w14:paraId="081526F5" w14:textId="77777777" w:rsidR="0010752D" w:rsidRPr="00CE3A6D" w:rsidRDefault="0010752D" w:rsidP="0010752D">
      <w:pPr>
        <w:pStyle w:val="Sinespaciado"/>
        <w:jc w:val="center"/>
        <w:rPr>
          <w:rFonts w:ascii="Book Antiqua" w:hAnsi="Book Antiqua" w:cs="Arial"/>
          <w:color w:val="313131"/>
        </w:rPr>
      </w:pPr>
    </w:p>
    <w:p w14:paraId="24863604" w14:textId="77777777" w:rsidR="00BC506E" w:rsidRPr="00CE3A6D" w:rsidRDefault="00BC506E" w:rsidP="0010752D">
      <w:pPr>
        <w:pStyle w:val="Sinespaciado"/>
        <w:jc w:val="center"/>
        <w:rPr>
          <w:rFonts w:ascii="Book Antiqua" w:eastAsia="Times New Roman" w:hAnsi="Book Antiqua" w:cs="Arial"/>
          <w:b/>
          <w:bCs/>
          <w:color w:val="313131"/>
          <w:sz w:val="28"/>
          <w:szCs w:val="28"/>
          <w:bdr w:val="none" w:sz="0" w:space="0" w:color="auto" w:frame="1"/>
        </w:rPr>
      </w:pPr>
      <w:r w:rsidRPr="00CE3A6D">
        <w:rPr>
          <w:rFonts w:ascii="Book Antiqua" w:eastAsia="Times New Roman" w:hAnsi="Book Antiqua" w:cs="Arial"/>
          <w:b/>
          <w:bCs/>
          <w:color w:val="313131"/>
          <w:sz w:val="28"/>
          <w:szCs w:val="28"/>
          <w:bdr w:val="none" w:sz="0" w:space="0" w:color="auto" w:frame="1"/>
        </w:rPr>
        <w:t>RESOLUCIÓN CONJUNTA</w:t>
      </w:r>
    </w:p>
    <w:p w14:paraId="2382C0D2" w14:textId="77777777" w:rsidR="0010752D" w:rsidRPr="0010752D" w:rsidRDefault="0010752D" w:rsidP="0010752D">
      <w:pPr>
        <w:pStyle w:val="Sinespaciado"/>
        <w:jc w:val="center"/>
        <w:rPr>
          <w:rFonts w:ascii="Book Antiqua" w:eastAsia="Times New Roman" w:hAnsi="Book Antiqua" w:cs="Arial"/>
          <w:b/>
          <w:bCs/>
          <w:color w:val="313131"/>
        </w:rPr>
      </w:pPr>
    </w:p>
    <w:p w14:paraId="4BD2F006" w14:textId="77777777" w:rsidR="00BC506E" w:rsidRDefault="00BC506E" w:rsidP="0010752D">
      <w:pPr>
        <w:pStyle w:val="Sinespaciado"/>
        <w:ind w:left="810" w:hanging="810"/>
        <w:jc w:val="both"/>
        <w:rPr>
          <w:rFonts w:ascii="Book Antiqua" w:hAnsi="Book Antiqua" w:cs="Arial"/>
          <w:color w:val="313131"/>
        </w:rPr>
      </w:pPr>
      <w:r w:rsidRPr="0010752D">
        <w:rPr>
          <w:rFonts w:ascii="Book Antiqua" w:hAnsi="Book Antiqua" w:cs="Arial"/>
          <w:color w:val="313131"/>
        </w:rPr>
        <w:t>Para ordenar al Zar de Energía de Puerto Rico y al Director Ejecutivo de la Autoridad para las Alianzas Público-Privadas identificar, evaluar y ejecutar todas las alternativas viables para evitar el cierre de la oficina de servicio al cliente de LUMA Energy ubicada en el Municipio de Aibonito; garantizar la continuidad y accesibilidad de los servicios presenciales a los residentes del Distrito Representativo 27 y de los municipios de la región central de Puerto Rico; requerir la presentación de un informe sobre las gestiones realizadas; y para otros fines relacionados.</w:t>
      </w:r>
    </w:p>
    <w:p w14:paraId="348472E8" w14:textId="77777777" w:rsidR="0010752D" w:rsidRPr="0010752D" w:rsidRDefault="0010752D" w:rsidP="0010752D">
      <w:pPr>
        <w:pStyle w:val="Sinespaciado"/>
        <w:jc w:val="both"/>
        <w:rPr>
          <w:rFonts w:ascii="Book Antiqua" w:hAnsi="Book Antiqua" w:cs="Arial"/>
          <w:color w:val="313131"/>
        </w:rPr>
      </w:pPr>
    </w:p>
    <w:p w14:paraId="764EF556" w14:textId="77777777" w:rsidR="00BC506E" w:rsidRPr="00CE3A6D" w:rsidRDefault="00BC506E" w:rsidP="0010752D">
      <w:pPr>
        <w:pStyle w:val="Sinespaciado"/>
        <w:jc w:val="center"/>
        <w:rPr>
          <w:rFonts w:ascii="Book Antiqua" w:eastAsia="Times New Roman" w:hAnsi="Book Antiqua" w:cs="Arial"/>
          <w:color w:val="313131"/>
          <w:bdr w:val="none" w:sz="0" w:space="0" w:color="auto" w:frame="1"/>
        </w:rPr>
      </w:pPr>
      <w:r w:rsidRPr="00CE3A6D">
        <w:rPr>
          <w:rFonts w:ascii="Book Antiqua" w:eastAsia="Times New Roman" w:hAnsi="Book Antiqua" w:cs="Arial"/>
          <w:color w:val="313131"/>
          <w:bdr w:val="none" w:sz="0" w:space="0" w:color="auto" w:frame="1"/>
        </w:rPr>
        <w:t>EXPOSICIÓN DE MOTIVOS</w:t>
      </w:r>
    </w:p>
    <w:p w14:paraId="1E8C23DA" w14:textId="77777777" w:rsidR="0010752D" w:rsidRPr="0010752D" w:rsidRDefault="0010752D" w:rsidP="0010752D">
      <w:pPr>
        <w:pStyle w:val="Sinespaciado"/>
        <w:jc w:val="both"/>
        <w:rPr>
          <w:rFonts w:ascii="Book Antiqua" w:eastAsia="Times New Roman" w:hAnsi="Book Antiqua" w:cs="Arial"/>
          <w:b/>
          <w:bCs/>
          <w:color w:val="313131"/>
        </w:rPr>
      </w:pPr>
    </w:p>
    <w:p w14:paraId="4345101D" w14:textId="13685C23" w:rsidR="00BC506E" w:rsidRDefault="00BC506E" w:rsidP="0010752D">
      <w:pPr>
        <w:pStyle w:val="Sinespaciado"/>
        <w:ind w:firstLine="708"/>
        <w:jc w:val="both"/>
        <w:rPr>
          <w:rFonts w:ascii="Book Antiqua" w:hAnsi="Book Antiqua" w:cs="Arial"/>
          <w:color w:val="313131"/>
        </w:rPr>
      </w:pPr>
      <w:r w:rsidRPr="0010752D">
        <w:rPr>
          <w:rFonts w:ascii="Book Antiqua" w:hAnsi="Book Antiqua" w:cs="Arial"/>
          <w:color w:val="313131"/>
        </w:rPr>
        <w:t xml:space="preserve">La energía eléctrica constituye un servicio esencial para el desarrollo económico, la salud, la seguridad y la calidad de vida de todos los </w:t>
      </w:r>
      <w:r w:rsidR="00EF28A3" w:rsidRPr="0010752D">
        <w:rPr>
          <w:rFonts w:ascii="Book Antiqua" w:hAnsi="Book Antiqua" w:cs="Arial"/>
          <w:color w:val="313131"/>
        </w:rPr>
        <w:t>puertorriqueños.</w:t>
      </w:r>
      <w:r w:rsidR="004C7004" w:rsidRPr="0010752D">
        <w:rPr>
          <w:rFonts w:ascii="Book Antiqua" w:hAnsi="Book Antiqua" w:cs="Arial"/>
          <w:color w:val="313131"/>
        </w:rPr>
        <w:t xml:space="preserve"> Por otr</w:t>
      </w:r>
      <w:r w:rsidR="002B7DA6" w:rsidRPr="0010752D">
        <w:rPr>
          <w:rFonts w:ascii="Book Antiqua" w:hAnsi="Book Antiqua" w:cs="Arial"/>
          <w:color w:val="313131"/>
        </w:rPr>
        <w:t>a</w:t>
      </w:r>
      <w:r w:rsidR="004C7004" w:rsidRPr="0010752D">
        <w:rPr>
          <w:rFonts w:ascii="Book Antiqua" w:hAnsi="Book Antiqua" w:cs="Arial"/>
          <w:color w:val="313131"/>
        </w:rPr>
        <w:t xml:space="preserve"> </w:t>
      </w:r>
      <w:r w:rsidR="0010752D" w:rsidRPr="0010752D">
        <w:rPr>
          <w:rFonts w:ascii="Book Antiqua" w:hAnsi="Book Antiqua" w:cs="Arial"/>
          <w:color w:val="313131"/>
        </w:rPr>
        <w:t>parte</w:t>
      </w:r>
      <w:r w:rsidR="004C7004" w:rsidRPr="0010752D">
        <w:rPr>
          <w:rFonts w:ascii="Book Antiqua" w:hAnsi="Book Antiqua" w:cs="Arial"/>
          <w:color w:val="313131"/>
        </w:rPr>
        <w:t>,</w:t>
      </w:r>
      <w:r w:rsidRPr="0010752D">
        <w:rPr>
          <w:rFonts w:ascii="Book Antiqua" w:hAnsi="Book Antiqua" w:cs="Arial"/>
          <w:color w:val="313131"/>
        </w:rPr>
        <w:t xml:space="preserve"> importante es que los consumidores tengan </w:t>
      </w:r>
      <w:r w:rsidR="004C7004" w:rsidRPr="0010752D">
        <w:rPr>
          <w:rFonts w:ascii="Book Antiqua" w:hAnsi="Book Antiqua" w:cs="Arial"/>
          <w:color w:val="313131"/>
        </w:rPr>
        <w:t xml:space="preserve">un </w:t>
      </w:r>
      <w:r w:rsidRPr="0010752D">
        <w:rPr>
          <w:rFonts w:ascii="Book Antiqua" w:hAnsi="Book Antiqua" w:cs="Arial"/>
          <w:color w:val="313131"/>
        </w:rPr>
        <w:t>acceso razonable y oportuno a servicios presenciales que les permitan atender reclamaciones, solicitar servicios, aclarar facturación, reportar situaciones relacionadas con la red eléctrica y recibir orientación directa sobre asuntos que afectan su diario vivir.</w:t>
      </w:r>
      <w:r w:rsidR="003A3C75" w:rsidRPr="0010752D">
        <w:rPr>
          <w:rFonts w:ascii="Book Antiqua" w:hAnsi="Book Antiqua" w:cs="Arial"/>
          <w:color w:val="313131"/>
        </w:rPr>
        <w:t xml:space="preserve"> </w:t>
      </w:r>
      <w:r w:rsidRPr="0010752D">
        <w:rPr>
          <w:rFonts w:ascii="Book Antiqua" w:hAnsi="Book Antiqua" w:cs="Arial"/>
          <w:color w:val="313131"/>
        </w:rPr>
        <w:t>La oficina de servicio al cliente de LUMA Energy ubicada en el Municipio de Aibonito representa un recurso indispensable para miles de ciudadanos residentes en el Distrito Representativo 27 y en diversos municipios de la región</w:t>
      </w:r>
      <w:r w:rsidR="003A3C75" w:rsidRPr="0010752D">
        <w:rPr>
          <w:rFonts w:ascii="Book Antiqua" w:hAnsi="Book Antiqua" w:cs="Arial"/>
          <w:color w:val="313131"/>
        </w:rPr>
        <w:t xml:space="preserve"> </w:t>
      </w:r>
      <w:r w:rsidRPr="0010752D">
        <w:rPr>
          <w:rFonts w:ascii="Book Antiqua" w:hAnsi="Book Antiqua" w:cs="Arial"/>
          <w:color w:val="313131"/>
        </w:rPr>
        <w:t>central de Puerto Rico. Esta instalación sirve como punto de contacto directo entre los abonados y la entidad responsable de la transmisión y distribución de energía eléctrica, facilitando la atención de asuntos que muchas veces requieren asistencia personalizada.</w:t>
      </w:r>
    </w:p>
    <w:p w14:paraId="61706FD2" w14:textId="77777777" w:rsidR="0010752D" w:rsidRPr="0010752D" w:rsidRDefault="0010752D" w:rsidP="0010752D">
      <w:pPr>
        <w:pStyle w:val="Sinespaciado"/>
        <w:jc w:val="both"/>
        <w:rPr>
          <w:rFonts w:ascii="Book Antiqua" w:hAnsi="Book Antiqua" w:cs="Arial"/>
          <w:color w:val="313131"/>
        </w:rPr>
      </w:pPr>
    </w:p>
    <w:p w14:paraId="4B87F1F7" w14:textId="38911BA4" w:rsidR="00BC506E" w:rsidRDefault="00BC506E" w:rsidP="0010752D">
      <w:pPr>
        <w:pStyle w:val="Sinespaciado"/>
        <w:ind w:firstLine="708"/>
        <w:jc w:val="both"/>
        <w:rPr>
          <w:rFonts w:ascii="Book Antiqua" w:hAnsi="Book Antiqua" w:cs="Arial"/>
          <w:color w:val="313131"/>
        </w:rPr>
      </w:pPr>
      <w:r w:rsidRPr="0010752D">
        <w:rPr>
          <w:rFonts w:ascii="Book Antiqua" w:hAnsi="Book Antiqua" w:cs="Arial"/>
          <w:color w:val="313131"/>
        </w:rPr>
        <w:t xml:space="preserve">La </w:t>
      </w:r>
      <w:r w:rsidR="00844175" w:rsidRPr="0010752D">
        <w:rPr>
          <w:rFonts w:ascii="Book Antiqua" w:hAnsi="Book Antiqua" w:cs="Arial"/>
          <w:color w:val="313131"/>
        </w:rPr>
        <w:t xml:space="preserve">determinación de LUMA </w:t>
      </w:r>
      <w:r w:rsidR="0010752D" w:rsidRPr="0010752D">
        <w:rPr>
          <w:rFonts w:ascii="Book Antiqua" w:hAnsi="Book Antiqua" w:cs="Arial"/>
          <w:color w:val="313131"/>
        </w:rPr>
        <w:t>Energy de</w:t>
      </w:r>
      <w:r w:rsidRPr="0010752D">
        <w:rPr>
          <w:rFonts w:ascii="Book Antiqua" w:hAnsi="Book Antiqua" w:cs="Arial"/>
          <w:color w:val="313131"/>
        </w:rPr>
        <w:t xml:space="preserve"> cerrar dicha oficina genera una profunda preocupación entre los residentes de la zona. Los municipios de la montaña </w:t>
      </w:r>
      <w:r w:rsidRPr="0010752D">
        <w:rPr>
          <w:rFonts w:ascii="Book Antiqua" w:hAnsi="Book Antiqua" w:cs="Arial"/>
          <w:color w:val="313131"/>
        </w:rPr>
        <w:lastRenderedPageBreak/>
        <w:t xml:space="preserve">presentan retos particulares relacionados con </w:t>
      </w:r>
      <w:r w:rsidR="006A24F5" w:rsidRPr="0010752D">
        <w:rPr>
          <w:rFonts w:ascii="Book Antiqua" w:hAnsi="Book Antiqua" w:cs="Arial"/>
          <w:color w:val="313131"/>
        </w:rPr>
        <w:t xml:space="preserve">su </w:t>
      </w:r>
      <w:r w:rsidRPr="0010752D">
        <w:rPr>
          <w:rFonts w:ascii="Book Antiqua" w:hAnsi="Book Antiqua" w:cs="Arial"/>
          <w:color w:val="313131"/>
        </w:rPr>
        <w:t>geografía, la transportación y el acceso a servicios gubernamentales. Obligar a los ciudadanos a desplazarse largas distancias para realizar gestiones esenciales relacionadas con el servicio eléctrico tendría un impacto económico y social significativo sobre comunidades que ya enfrentan desafíos</w:t>
      </w:r>
      <w:r w:rsidR="0054248C" w:rsidRPr="0010752D">
        <w:rPr>
          <w:rFonts w:ascii="Book Antiqua" w:hAnsi="Book Antiqua" w:cs="Arial"/>
          <w:color w:val="313131"/>
        </w:rPr>
        <w:t xml:space="preserve"> de acceso y recursos</w:t>
      </w:r>
      <w:r w:rsidRPr="0010752D">
        <w:rPr>
          <w:rFonts w:ascii="Book Antiqua" w:hAnsi="Book Antiqua" w:cs="Arial"/>
          <w:color w:val="313131"/>
        </w:rPr>
        <w:t>.</w:t>
      </w:r>
    </w:p>
    <w:p w14:paraId="52C2E701" w14:textId="77777777" w:rsidR="00CE3A6D" w:rsidRPr="0010752D" w:rsidRDefault="00CE3A6D" w:rsidP="0010752D">
      <w:pPr>
        <w:pStyle w:val="Sinespaciado"/>
        <w:ind w:firstLine="708"/>
        <w:jc w:val="both"/>
        <w:rPr>
          <w:rFonts w:ascii="Book Antiqua" w:hAnsi="Book Antiqua" w:cs="Arial"/>
          <w:color w:val="313131"/>
        </w:rPr>
      </w:pPr>
    </w:p>
    <w:p w14:paraId="395A6ADF" w14:textId="4EDFF1E2" w:rsidR="00BC506E" w:rsidRDefault="00BC506E" w:rsidP="0010752D">
      <w:pPr>
        <w:pStyle w:val="Sinespaciado"/>
        <w:jc w:val="both"/>
        <w:rPr>
          <w:rFonts w:ascii="Book Antiqua" w:hAnsi="Book Antiqua" w:cs="Arial"/>
          <w:color w:val="313131"/>
        </w:rPr>
      </w:pPr>
      <w:r w:rsidRPr="0010752D">
        <w:rPr>
          <w:rFonts w:ascii="Book Antiqua" w:hAnsi="Book Antiqua" w:cs="Arial"/>
          <w:color w:val="313131"/>
        </w:rPr>
        <w:t>Particularmente</w:t>
      </w:r>
      <w:r w:rsidR="0054248C" w:rsidRPr="0010752D">
        <w:rPr>
          <w:rFonts w:ascii="Book Antiqua" w:hAnsi="Book Antiqua" w:cs="Arial"/>
          <w:color w:val="313131"/>
        </w:rPr>
        <w:t>, resulta</w:t>
      </w:r>
      <w:r w:rsidRPr="0010752D">
        <w:rPr>
          <w:rFonts w:ascii="Book Antiqua" w:hAnsi="Book Antiqua" w:cs="Arial"/>
          <w:color w:val="313131"/>
        </w:rPr>
        <w:t xml:space="preserve"> preocupante</w:t>
      </w:r>
      <w:r w:rsidR="0054248C" w:rsidRPr="0010752D">
        <w:rPr>
          <w:rFonts w:ascii="Book Antiqua" w:hAnsi="Book Antiqua" w:cs="Arial"/>
          <w:color w:val="313131"/>
        </w:rPr>
        <w:t xml:space="preserve"> </w:t>
      </w:r>
      <w:r w:rsidRPr="0010752D">
        <w:rPr>
          <w:rFonts w:ascii="Book Antiqua" w:hAnsi="Book Antiqua" w:cs="Arial"/>
          <w:color w:val="313131"/>
        </w:rPr>
        <w:t>el efecto que tendría esta medida sobre la población de adultos mayores que reside en el Distrito Representativo 27. Esta región cuenta con una proporción considerable de ciudadanos de edad avanzada que dependen de la atención presencial para realizar sus gestiones. Muchos de ellos carecen de acceso confiable a internet, no poseen las destrezas tecnológicas necesarias para utilizar plataformas digitales o enfrentan limitaciones físicas que dificultan el uso de aplicaciones y servicios electrónicos.</w:t>
      </w:r>
    </w:p>
    <w:p w14:paraId="45DBB480" w14:textId="77777777" w:rsidR="0010752D" w:rsidRPr="0010752D" w:rsidRDefault="0010752D" w:rsidP="0010752D">
      <w:pPr>
        <w:pStyle w:val="Sinespaciado"/>
        <w:jc w:val="both"/>
        <w:rPr>
          <w:rFonts w:ascii="Book Antiqua" w:hAnsi="Book Antiqua" w:cs="Arial"/>
          <w:color w:val="313131"/>
        </w:rPr>
      </w:pPr>
    </w:p>
    <w:p w14:paraId="3487AB12" w14:textId="78D6EC95" w:rsidR="00BC506E" w:rsidRDefault="00BC506E" w:rsidP="0010752D">
      <w:pPr>
        <w:pStyle w:val="Sinespaciado"/>
        <w:ind w:firstLine="708"/>
        <w:jc w:val="both"/>
        <w:rPr>
          <w:rFonts w:ascii="Book Antiqua" w:hAnsi="Book Antiqua" w:cs="Arial"/>
          <w:color w:val="313131"/>
        </w:rPr>
      </w:pPr>
      <w:r w:rsidRPr="0010752D">
        <w:rPr>
          <w:rFonts w:ascii="Book Antiqua" w:hAnsi="Book Antiqua" w:cs="Arial"/>
          <w:color w:val="313131"/>
        </w:rPr>
        <w:t>Asimismo, numerosas familias de escasos recursos económicos dependen de la cercanía de esta oficina para atender asuntos relacionados con su servicio eléctrico. Para estas personas, el costo de transportación hacia oficinas ubicadas en municipios más distantes representa una carga adicional que podría limitar su capacidad para recibir servicios esenciales.</w:t>
      </w:r>
      <w:r w:rsidR="00CA7F78" w:rsidRPr="0010752D">
        <w:rPr>
          <w:rFonts w:ascii="Book Antiqua" w:hAnsi="Book Antiqua" w:cs="Arial"/>
          <w:color w:val="313131"/>
        </w:rPr>
        <w:t xml:space="preserve"> </w:t>
      </w:r>
      <w:r w:rsidRPr="0010752D">
        <w:rPr>
          <w:rFonts w:ascii="Book Antiqua" w:hAnsi="Book Antiqua" w:cs="Arial"/>
          <w:color w:val="313131"/>
        </w:rPr>
        <w:t xml:space="preserve">La presencia de una oficina regional también </w:t>
      </w:r>
      <w:r w:rsidR="0004277D" w:rsidRPr="0010752D">
        <w:rPr>
          <w:rFonts w:ascii="Book Antiqua" w:hAnsi="Book Antiqua" w:cs="Arial"/>
          <w:color w:val="313131"/>
        </w:rPr>
        <w:t>es fundamental</w:t>
      </w:r>
      <w:r w:rsidRPr="0010752D">
        <w:rPr>
          <w:rFonts w:ascii="Book Antiqua" w:hAnsi="Book Antiqua" w:cs="Arial"/>
          <w:color w:val="313131"/>
        </w:rPr>
        <w:t xml:space="preserve"> en situaciones de emergencia. Los eventos atmosféricos, interrupciones prolongadas del servicio y otras contingencias que afectan con frecuencia a la región central requieren mecanismos de comunicación accesibles y efectivos entre los ciudadanos y la empresa encargada del sistema eléctrico. La eliminación de este punto de servicio podría dificultar la capacidad de respuesta y la atención de las necesidades de los abonados durante situaciones críticas.</w:t>
      </w:r>
      <w:r w:rsidR="00CA7F78" w:rsidRPr="0010752D">
        <w:rPr>
          <w:rFonts w:ascii="Book Antiqua" w:hAnsi="Book Antiqua" w:cs="Arial"/>
          <w:color w:val="313131"/>
        </w:rPr>
        <w:t xml:space="preserve"> </w:t>
      </w:r>
    </w:p>
    <w:p w14:paraId="11035ABA" w14:textId="77777777" w:rsidR="0010752D" w:rsidRPr="0010752D" w:rsidRDefault="0010752D" w:rsidP="0010752D">
      <w:pPr>
        <w:pStyle w:val="Sinespaciado"/>
        <w:jc w:val="both"/>
        <w:rPr>
          <w:rFonts w:ascii="Book Antiqua" w:hAnsi="Book Antiqua" w:cs="Arial"/>
          <w:color w:val="313131"/>
        </w:rPr>
      </w:pPr>
    </w:p>
    <w:p w14:paraId="19DF115B" w14:textId="77777777" w:rsidR="0010752D" w:rsidRDefault="00CA7F78" w:rsidP="0010752D">
      <w:pPr>
        <w:pStyle w:val="Sinespaciado"/>
        <w:ind w:firstLine="708"/>
        <w:jc w:val="both"/>
        <w:rPr>
          <w:rFonts w:ascii="Book Antiqua" w:eastAsia="Times New Roman" w:hAnsi="Book Antiqua" w:cs="Arial"/>
          <w:color w:val="313131"/>
          <w:bdr w:val="none" w:sz="0" w:space="0" w:color="auto" w:frame="1"/>
        </w:rPr>
      </w:pPr>
      <w:r w:rsidRPr="0010752D">
        <w:rPr>
          <w:rFonts w:ascii="Book Antiqua" w:eastAsia="Times New Roman" w:hAnsi="Book Antiqua" w:cs="Arial"/>
          <w:color w:val="313131"/>
          <w:bdr w:val="none" w:sz="0" w:space="0" w:color="auto" w:frame="1"/>
        </w:rPr>
        <w:t>Además, la Autoridad para las Alianzas Público-Privadas y el Zar de Energía de Puerto Rico tienen la responsabilidad de velar porque la operación del sistema de transmisión y distribución eléctrica se lleve a cabo en estricto cumplimiento con las obligaciones contractuales asumidas por LUMA Energy. Entre dichas responsabilidades se encuentra garantizar que los abonados reciban servicios accesibles, eficientes y adecuados a las necesidades de las comunidades que sirven.</w:t>
      </w:r>
    </w:p>
    <w:p w14:paraId="0D725610" w14:textId="77777777" w:rsidR="0010752D" w:rsidRDefault="0010752D" w:rsidP="0010752D">
      <w:pPr>
        <w:pStyle w:val="Sinespaciado"/>
        <w:jc w:val="both"/>
        <w:rPr>
          <w:rFonts w:ascii="Book Antiqua" w:eastAsia="Times New Roman" w:hAnsi="Book Antiqua" w:cs="Arial"/>
          <w:color w:val="313131"/>
          <w:bdr w:val="none" w:sz="0" w:space="0" w:color="auto" w:frame="1"/>
        </w:rPr>
      </w:pPr>
    </w:p>
    <w:p w14:paraId="385242C7" w14:textId="765C5A22" w:rsidR="00CA7F78" w:rsidRDefault="00CA7F78" w:rsidP="0010752D">
      <w:pPr>
        <w:pStyle w:val="Sinespaciado"/>
        <w:ind w:firstLine="708"/>
        <w:jc w:val="both"/>
        <w:rPr>
          <w:rFonts w:ascii="Book Antiqua" w:eastAsia="Times New Roman" w:hAnsi="Book Antiqua" w:cs="Arial"/>
          <w:color w:val="313131"/>
          <w:bdr w:val="none" w:sz="0" w:space="0" w:color="auto" w:frame="1"/>
        </w:rPr>
      </w:pPr>
      <w:r w:rsidRPr="0010752D">
        <w:rPr>
          <w:rFonts w:ascii="Book Antiqua" w:eastAsia="Times New Roman" w:hAnsi="Book Antiqua" w:cs="Arial"/>
          <w:color w:val="313131"/>
          <w:bdr w:val="none" w:sz="0" w:space="0" w:color="auto" w:frame="1"/>
        </w:rPr>
        <w:t>Por ello, cualquier determinación relacionada con el cierre de una oficina regional de servicio al cliente debe ser evaluada a la luz de las obligaciones contractuales de accesibilidad, servicio al cliente, respuesta a emergencias y atención a poblaciones vulnerables, considerando particularmente las circunstancias socioeconómicas y geográficas de la región central de Puerto Rico. La reducción de servicios presenciales sin una alternativa equivalente y efectiva podría resultar incompatible con los objetivos de servicio público que persigue la política energética de Puerto Rico y con los compromisos asumidos por el operador privado ante el Gobierno de Puerto Rico.</w:t>
      </w:r>
    </w:p>
    <w:p w14:paraId="3362E798" w14:textId="77777777" w:rsidR="0010752D" w:rsidRPr="0010752D" w:rsidRDefault="0010752D" w:rsidP="0010752D">
      <w:pPr>
        <w:pStyle w:val="Sinespaciado"/>
        <w:ind w:firstLine="708"/>
        <w:jc w:val="both"/>
        <w:rPr>
          <w:rFonts w:ascii="Book Antiqua" w:hAnsi="Book Antiqua" w:cs="Arial"/>
          <w:color w:val="313131"/>
        </w:rPr>
      </w:pPr>
    </w:p>
    <w:p w14:paraId="39C96B5F" w14:textId="3372B6C0" w:rsidR="00BC506E" w:rsidRDefault="00BC506E" w:rsidP="0010752D">
      <w:pPr>
        <w:pStyle w:val="Sinespaciado"/>
        <w:ind w:firstLine="708"/>
        <w:jc w:val="both"/>
        <w:rPr>
          <w:rFonts w:ascii="Book Antiqua" w:hAnsi="Book Antiqua" w:cs="Arial"/>
          <w:color w:val="313131"/>
        </w:rPr>
      </w:pPr>
      <w:r w:rsidRPr="0010752D">
        <w:rPr>
          <w:rFonts w:ascii="Book Antiqua" w:hAnsi="Book Antiqua" w:cs="Arial"/>
          <w:color w:val="313131"/>
        </w:rPr>
        <w:t xml:space="preserve">La Asamblea Legislativa de Puerto Rico reconoce que los esfuerzos de modernización administrativa y digitalización de servicios no deben menoscabar el acceso de las poblaciones más vulnerables a servicios esenciales. La tecnología debe </w:t>
      </w:r>
      <w:r w:rsidRPr="0010752D">
        <w:rPr>
          <w:rFonts w:ascii="Book Antiqua" w:hAnsi="Book Antiqua" w:cs="Arial"/>
          <w:color w:val="313131"/>
        </w:rPr>
        <w:lastRenderedPageBreak/>
        <w:t>complementar los servicios presenciales, no sustituirlos cuando ello implique excluir a sectores significativos de la población.</w:t>
      </w:r>
      <w:r w:rsidR="00CA7F78" w:rsidRPr="0010752D">
        <w:rPr>
          <w:rFonts w:ascii="Book Antiqua" w:hAnsi="Book Antiqua" w:cs="Arial"/>
          <w:color w:val="313131"/>
        </w:rPr>
        <w:t xml:space="preserve"> </w:t>
      </w:r>
      <w:r w:rsidRPr="0010752D">
        <w:rPr>
          <w:rFonts w:ascii="Book Antiqua" w:hAnsi="Book Antiqua" w:cs="Arial"/>
          <w:color w:val="313131"/>
        </w:rPr>
        <w:t xml:space="preserve">Por tal razón, esta Asamblea Legislativa entiende necesario ordenar al Zar de Energía de Puerto Rico y al </w:t>
      </w:r>
      <w:proofErr w:type="gramStart"/>
      <w:r w:rsidRPr="0010752D">
        <w:rPr>
          <w:rFonts w:ascii="Book Antiqua" w:hAnsi="Book Antiqua" w:cs="Arial"/>
          <w:color w:val="313131"/>
        </w:rPr>
        <w:t>Director Ejecutivo</w:t>
      </w:r>
      <w:proofErr w:type="gramEnd"/>
      <w:r w:rsidRPr="0010752D">
        <w:rPr>
          <w:rFonts w:ascii="Book Antiqua" w:hAnsi="Book Antiqua" w:cs="Arial"/>
          <w:color w:val="313131"/>
        </w:rPr>
        <w:t xml:space="preserve"> de la Autoridad para las Alianzas Público-Privadas que utilicen todos los recursos y facultades a su disposición para identificar y evaluar alternativas que eviten el cierre de la oficina de servicio al cliente de LUMA Energy en Aibonito y garanticen la continuidad de los servicios presenciales para los residentes de la región central de Puerto Rico.</w:t>
      </w:r>
    </w:p>
    <w:p w14:paraId="7A610724" w14:textId="77777777" w:rsidR="0010752D" w:rsidRPr="0010752D" w:rsidRDefault="0010752D" w:rsidP="0010752D">
      <w:pPr>
        <w:pStyle w:val="Sinespaciado"/>
        <w:jc w:val="both"/>
        <w:rPr>
          <w:rFonts w:ascii="Book Antiqua" w:hAnsi="Book Antiqua" w:cs="Arial"/>
          <w:color w:val="313131"/>
        </w:rPr>
      </w:pPr>
    </w:p>
    <w:p w14:paraId="7F28E1CA" w14:textId="77777777" w:rsidR="00BC506E" w:rsidRDefault="00BC506E" w:rsidP="0010752D">
      <w:pPr>
        <w:pStyle w:val="Sinespaciado"/>
        <w:jc w:val="both"/>
        <w:rPr>
          <w:rFonts w:ascii="Book Antiqua" w:eastAsia="Times New Roman" w:hAnsi="Book Antiqua" w:cs="Arial"/>
          <w:i/>
          <w:iCs/>
          <w:color w:val="313131"/>
          <w:bdr w:val="none" w:sz="0" w:space="0" w:color="auto" w:frame="1"/>
        </w:rPr>
      </w:pPr>
      <w:r w:rsidRPr="0010752D">
        <w:rPr>
          <w:rFonts w:ascii="Book Antiqua" w:eastAsia="Times New Roman" w:hAnsi="Book Antiqua" w:cs="Arial"/>
          <w:i/>
          <w:iCs/>
          <w:color w:val="313131"/>
          <w:bdr w:val="none" w:sz="0" w:space="0" w:color="auto" w:frame="1"/>
        </w:rPr>
        <w:t>RESUÉLVESE POR LA ASAMBLEA LEGISLATIVA DE PUERTO RICO:</w:t>
      </w:r>
    </w:p>
    <w:p w14:paraId="62F65022" w14:textId="77777777" w:rsidR="0010752D" w:rsidRPr="0010752D" w:rsidRDefault="0010752D" w:rsidP="0010752D">
      <w:pPr>
        <w:pStyle w:val="Sinespaciado"/>
        <w:jc w:val="both"/>
        <w:rPr>
          <w:rFonts w:ascii="Book Antiqua" w:eastAsia="Times New Roman" w:hAnsi="Book Antiqua" w:cs="Arial"/>
          <w:i/>
          <w:iCs/>
          <w:color w:val="313131"/>
        </w:rPr>
      </w:pPr>
    </w:p>
    <w:p w14:paraId="7A885AE5" w14:textId="77777777" w:rsidR="00F211F4" w:rsidRDefault="00F211F4" w:rsidP="0010752D">
      <w:pPr>
        <w:pStyle w:val="Sinespaciado"/>
        <w:ind w:firstLine="708"/>
        <w:jc w:val="both"/>
        <w:rPr>
          <w:rFonts w:ascii="Book Antiqua" w:hAnsi="Book Antiqua" w:cs="Arial"/>
          <w:color w:val="313131"/>
          <w:bdr w:val="none" w:sz="0" w:space="0" w:color="auto" w:frame="1"/>
        </w:rPr>
        <w:sectPr w:rsidR="00F211F4" w:rsidSect="007A069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6" w:footer="706" w:gutter="0"/>
          <w:cols w:space="708"/>
          <w:titlePg/>
          <w:docGrid w:linePitch="360"/>
        </w:sectPr>
      </w:pPr>
    </w:p>
    <w:p w14:paraId="584A3457" w14:textId="509F5503" w:rsidR="0010752D" w:rsidRPr="0010752D" w:rsidRDefault="00BC506E" w:rsidP="00314B09">
      <w:pPr>
        <w:pStyle w:val="Sinespaciado"/>
        <w:spacing w:line="480" w:lineRule="auto"/>
        <w:ind w:firstLine="708"/>
        <w:jc w:val="both"/>
        <w:rPr>
          <w:rFonts w:ascii="Book Antiqua" w:hAnsi="Book Antiqua" w:cs="Arial"/>
          <w:color w:val="313131"/>
        </w:rPr>
      </w:pPr>
      <w:r w:rsidRPr="0010752D">
        <w:rPr>
          <w:rFonts w:ascii="Book Antiqua" w:hAnsi="Book Antiqua" w:cs="Arial"/>
          <w:color w:val="313131"/>
          <w:bdr w:val="none" w:sz="0" w:space="0" w:color="auto" w:frame="1"/>
        </w:rPr>
        <w:t>Sección 1.-</w:t>
      </w:r>
      <w:r w:rsidRPr="0010752D">
        <w:rPr>
          <w:rFonts w:ascii="Book Antiqua" w:hAnsi="Book Antiqua" w:cs="Arial"/>
          <w:color w:val="313131"/>
        </w:rPr>
        <w:t xml:space="preserve"> Se ordena al Zar de Energía de Puerto Rico y al </w:t>
      </w:r>
      <w:proofErr w:type="gramStart"/>
      <w:r w:rsidRPr="0010752D">
        <w:rPr>
          <w:rFonts w:ascii="Book Antiqua" w:hAnsi="Book Antiqua" w:cs="Arial"/>
          <w:color w:val="313131"/>
        </w:rPr>
        <w:t>Director Ejecutivo</w:t>
      </w:r>
      <w:proofErr w:type="gramEnd"/>
      <w:r w:rsidRPr="0010752D">
        <w:rPr>
          <w:rFonts w:ascii="Book Antiqua" w:hAnsi="Book Antiqua" w:cs="Arial"/>
          <w:color w:val="313131"/>
        </w:rPr>
        <w:t xml:space="preserve"> de la Autoridad para las Alianzas Público-Privadas identificar, evaluar y ejecutar todas las alternativas viables, razonables y disponibles para evitar el cierre de la oficina de servicio al cliente de LUMA Energy ubicada en el Municipio de Aibonito.</w:t>
      </w:r>
    </w:p>
    <w:p w14:paraId="1AED8C6D" w14:textId="0D45D181" w:rsidR="0010752D" w:rsidRDefault="00BC506E" w:rsidP="00314B09">
      <w:pPr>
        <w:pStyle w:val="Sinespaciado"/>
        <w:spacing w:line="480" w:lineRule="auto"/>
        <w:ind w:firstLine="708"/>
        <w:jc w:val="both"/>
        <w:rPr>
          <w:rFonts w:ascii="Book Antiqua" w:hAnsi="Book Antiqua" w:cs="Arial"/>
          <w:b/>
          <w:bCs/>
          <w:color w:val="313131"/>
          <w:bdr w:val="none" w:sz="0" w:space="0" w:color="auto" w:frame="1"/>
        </w:rPr>
      </w:pPr>
      <w:r w:rsidRPr="0010752D">
        <w:rPr>
          <w:rFonts w:ascii="Book Antiqua" w:hAnsi="Book Antiqua" w:cs="Arial"/>
          <w:color w:val="313131"/>
          <w:bdr w:val="none" w:sz="0" w:space="0" w:color="auto" w:frame="1"/>
        </w:rPr>
        <w:t>Sección 2.-</w:t>
      </w:r>
      <w:r w:rsidRPr="0010752D">
        <w:rPr>
          <w:rFonts w:ascii="Book Antiqua" w:hAnsi="Book Antiqua" w:cs="Arial"/>
          <w:color w:val="313131"/>
        </w:rPr>
        <w:t> Como parte de las gestiones ordenadas mediante esta Resolución Conjunta, deberán considerarse alternativas tales como acuerdos operacionales, reubicación de instalaciones, utilización compartida de facilidades gubernamentales, ajustes administrativos o cualquier otra medida que permita mantener la prestación de servicios presenciales en la región</w:t>
      </w:r>
      <w:r w:rsidR="007532D4" w:rsidRPr="0010752D">
        <w:rPr>
          <w:rFonts w:ascii="Book Antiqua" w:hAnsi="Book Antiqua" w:cs="Arial"/>
          <w:color w:val="313131"/>
        </w:rPr>
        <w:t xml:space="preserve"> específicamente en el municipio de Aibonito</w:t>
      </w:r>
      <w:r w:rsidRPr="0010752D">
        <w:rPr>
          <w:rFonts w:ascii="Book Antiqua" w:hAnsi="Book Antiqua" w:cs="Arial"/>
          <w:color w:val="313131"/>
        </w:rPr>
        <w:t>.</w:t>
      </w:r>
    </w:p>
    <w:p w14:paraId="34483648" w14:textId="05D42A08" w:rsidR="0010752D" w:rsidRPr="0010752D" w:rsidRDefault="00BC506E" w:rsidP="00314B09">
      <w:pPr>
        <w:pStyle w:val="Sinespaciado"/>
        <w:spacing w:line="480" w:lineRule="auto"/>
        <w:ind w:firstLine="708"/>
        <w:jc w:val="both"/>
        <w:rPr>
          <w:rFonts w:ascii="Book Antiqua" w:hAnsi="Book Antiqua" w:cs="Arial"/>
          <w:color w:val="313131"/>
        </w:rPr>
      </w:pPr>
      <w:r w:rsidRPr="0010752D">
        <w:rPr>
          <w:rFonts w:ascii="Book Antiqua" w:hAnsi="Book Antiqua" w:cs="Arial"/>
          <w:color w:val="313131"/>
          <w:bdr w:val="none" w:sz="0" w:space="0" w:color="auto" w:frame="1"/>
        </w:rPr>
        <w:t>Sección 3.-</w:t>
      </w:r>
      <w:r w:rsidRPr="0010752D">
        <w:rPr>
          <w:rFonts w:ascii="Book Antiqua" w:hAnsi="Book Antiqua" w:cs="Arial"/>
          <w:color w:val="313131"/>
        </w:rPr>
        <w:t xml:space="preserve"> El Zar de Energía de Puerto Rico y el </w:t>
      </w:r>
      <w:proofErr w:type="gramStart"/>
      <w:r w:rsidRPr="0010752D">
        <w:rPr>
          <w:rFonts w:ascii="Book Antiqua" w:hAnsi="Book Antiqua" w:cs="Arial"/>
          <w:color w:val="313131"/>
        </w:rPr>
        <w:t>Director Ejecutivo</w:t>
      </w:r>
      <w:proofErr w:type="gramEnd"/>
      <w:r w:rsidRPr="0010752D">
        <w:rPr>
          <w:rFonts w:ascii="Book Antiqua" w:hAnsi="Book Antiqua" w:cs="Arial"/>
          <w:color w:val="313131"/>
        </w:rPr>
        <w:t xml:space="preserve"> de la Autoridad para las Alianzas Público-Privadas celebrarán reuniones con representantes de LUMA Energy, funcionarios municipales, representantes de organizaciones comunitarias y legisladores de la región afectada con el propósito de evaluar el impacto del cierre propuesto y desarrollar alternativas para evitarlo.</w:t>
      </w:r>
    </w:p>
    <w:p w14:paraId="3C38826E" w14:textId="2495E9F2" w:rsidR="0010752D" w:rsidRPr="0010752D" w:rsidRDefault="00A03FB5" w:rsidP="00314B09">
      <w:pPr>
        <w:pStyle w:val="Sinespaciado"/>
        <w:spacing w:line="480" w:lineRule="auto"/>
        <w:ind w:firstLine="708"/>
        <w:jc w:val="both"/>
        <w:rPr>
          <w:rFonts w:ascii="Book Antiqua" w:eastAsia="Times New Roman" w:hAnsi="Book Antiqua" w:cs="Arial"/>
          <w:color w:val="313131"/>
          <w:bdr w:val="none" w:sz="0" w:space="0" w:color="auto" w:frame="1"/>
        </w:rPr>
      </w:pPr>
      <w:r w:rsidRPr="0010752D">
        <w:rPr>
          <w:rFonts w:ascii="Book Antiqua" w:eastAsia="Times New Roman" w:hAnsi="Book Antiqua" w:cs="Arial"/>
          <w:color w:val="313131"/>
          <w:bdr w:val="none" w:sz="0" w:space="0" w:color="auto" w:frame="1"/>
        </w:rPr>
        <w:t>Sección 4.-</w:t>
      </w:r>
      <w:r w:rsidRPr="0010752D">
        <w:rPr>
          <w:rStyle w:val="apple-converted-space"/>
          <w:rFonts w:ascii="Book Antiqua" w:eastAsia="Times New Roman" w:hAnsi="Book Antiqua" w:cs="Arial"/>
          <w:color w:val="313131"/>
          <w:bdr w:val="none" w:sz="0" w:space="0" w:color="auto" w:frame="1"/>
        </w:rPr>
        <w:t> </w:t>
      </w:r>
      <w:r w:rsidRPr="0010752D">
        <w:rPr>
          <w:rFonts w:ascii="Book Antiqua" w:eastAsia="Times New Roman" w:hAnsi="Book Antiqua" w:cs="Arial"/>
          <w:color w:val="313131"/>
          <w:bdr w:val="none" w:sz="0" w:space="0" w:color="auto" w:frame="1"/>
        </w:rPr>
        <w:t xml:space="preserve">Se ordena al Zar de Energía de Puerto Rico y al Director Ejecutivo de la Autoridad para las Alianzas Público-Privadas evaluar si el cierre de la oficina de servicio al cliente de LUMA Energy en el Municipio de Aibonito es consistente con las obligaciones contractuales relacionadas con accesibilidad de servicios, atención al </w:t>
      </w:r>
      <w:r w:rsidRPr="0010752D">
        <w:rPr>
          <w:rFonts w:ascii="Book Antiqua" w:eastAsia="Times New Roman" w:hAnsi="Book Antiqua" w:cs="Arial"/>
          <w:color w:val="313131"/>
          <w:bdr w:val="none" w:sz="0" w:space="0" w:color="auto" w:frame="1"/>
        </w:rPr>
        <w:lastRenderedPageBreak/>
        <w:t>cliente, respuesta a emergencias, continuidad operacional y protección de poblaciones vulnerables establecidas en el contrato para la operación y mantenimiento del sistema de transmisión y distribución de energía eléctrica de Puerto Rico.</w:t>
      </w:r>
    </w:p>
    <w:p w14:paraId="4C4C0EEA" w14:textId="0372E29C" w:rsidR="0010752D" w:rsidRPr="0010752D" w:rsidRDefault="003D7C7C" w:rsidP="00314B09">
      <w:pPr>
        <w:pStyle w:val="Sinespaciado"/>
        <w:spacing w:line="480" w:lineRule="auto"/>
        <w:ind w:firstLine="708"/>
        <w:jc w:val="both"/>
        <w:rPr>
          <w:rFonts w:ascii="Book Antiqua" w:hAnsi="Book Antiqua" w:cs="Arial"/>
          <w:color w:val="313131"/>
        </w:rPr>
      </w:pPr>
      <w:r w:rsidRPr="0010752D">
        <w:rPr>
          <w:rFonts w:ascii="Book Antiqua" w:eastAsia="Times New Roman" w:hAnsi="Book Antiqua" w:cs="Arial"/>
          <w:color w:val="313131"/>
          <w:bdr w:val="none" w:sz="0" w:space="0" w:color="auto" w:frame="1"/>
        </w:rPr>
        <w:t>Sección 5.-</w:t>
      </w:r>
      <w:r w:rsidRPr="0010752D">
        <w:rPr>
          <w:rStyle w:val="apple-converted-space"/>
          <w:rFonts w:ascii="Book Antiqua" w:eastAsia="Times New Roman" w:hAnsi="Book Antiqua" w:cs="Arial"/>
          <w:b/>
          <w:bCs/>
          <w:color w:val="313131"/>
          <w:bdr w:val="none" w:sz="0" w:space="0" w:color="auto" w:frame="1"/>
        </w:rPr>
        <w:t> </w:t>
      </w:r>
      <w:r w:rsidRPr="0010752D">
        <w:rPr>
          <w:rFonts w:ascii="Book Antiqua" w:eastAsia="Times New Roman" w:hAnsi="Book Antiqua" w:cs="Arial"/>
          <w:color w:val="313131"/>
          <w:bdr w:val="none" w:sz="0" w:space="0" w:color="auto" w:frame="1"/>
        </w:rPr>
        <w:t>Como parte de dicha evaluación,</w:t>
      </w:r>
      <w:r w:rsidR="00A83555" w:rsidRPr="0010752D">
        <w:rPr>
          <w:rFonts w:ascii="Book Antiqua" w:eastAsia="Times New Roman" w:hAnsi="Book Antiqua" w:cs="Arial"/>
          <w:color w:val="313131"/>
          <w:bdr w:val="none" w:sz="0" w:space="0" w:color="auto" w:frame="1"/>
        </w:rPr>
        <w:t xml:space="preserve"> el Zar de Energía y el </w:t>
      </w:r>
      <w:proofErr w:type="gramStart"/>
      <w:r w:rsidR="00A83555" w:rsidRPr="0010752D">
        <w:rPr>
          <w:rFonts w:ascii="Book Antiqua" w:eastAsia="Times New Roman" w:hAnsi="Book Antiqua" w:cs="Arial"/>
          <w:color w:val="313131"/>
          <w:bdr w:val="none" w:sz="0" w:space="0" w:color="auto" w:frame="1"/>
        </w:rPr>
        <w:t>Director Ejecutivo</w:t>
      </w:r>
      <w:proofErr w:type="gramEnd"/>
      <w:r w:rsidR="00A83555" w:rsidRPr="0010752D">
        <w:rPr>
          <w:rFonts w:ascii="Book Antiqua" w:eastAsia="Times New Roman" w:hAnsi="Book Antiqua" w:cs="Arial"/>
          <w:color w:val="313131"/>
          <w:bdr w:val="none" w:sz="0" w:space="0" w:color="auto" w:frame="1"/>
        </w:rPr>
        <w:t xml:space="preserve"> de la Autoridad para las Alianzas Público</w:t>
      </w:r>
      <w:r w:rsidR="00A32175" w:rsidRPr="0010752D">
        <w:rPr>
          <w:rFonts w:ascii="Book Antiqua" w:eastAsia="Times New Roman" w:hAnsi="Book Antiqua" w:cs="Arial"/>
          <w:color w:val="313131"/>
          <w:bdr w:val="none" w:sz="0" w:space="0" w:color="auto" w:frame="1"/>
        </w:rPr>
        <w:t>-</w:t>
      </w:r>
      <w:r w:rsidR="0010752D" w:rsidRPr="0010752D">
        <w:rPr>
          <w:rFonts w:ascii="Book Antiqua" w:eastAsia="Times New Roman" w:hAnsi="Book Antiqua" w:cs="Arial"/>
          <w:color w:val="313131"/>
          <w:bdr w:val="none" w:sz="0" w:space="0" w:color="auto" w:frame="1"/>
        </w:rPr>
        <w:t>Privadas deberán</w:t>
      </w:r>
      <w:r w:rsidRPr="0010752D">
        <w:rPr>
          <w:rFonts w:ascii="Book Antiqua" w:eastAsia="Times New Roman" w:hAnsi="Book Antiqua" w:cs="Arial"/>
          <w:color w:val="313131"/>
          <w:bdr w:val="none" w:sz="0" w:space="0" w:color="auto" w:frame="1"/>
        </w:rPr>
        <w:t xml:space="preserve"> analizar el impacto que el cierre tendría sobre los residentes de edad avanzada, personas con diversidad funcional, ciudadanos de escasos recursos económicos, comunidades rurales y aquellos abonados que no cuentan con acceso adecuado a internet o que enfrentan limitaciones para utilizar plataformas digitales. Asimismo, deberán determinar si las alternativas propuestas por LUMA Energy garantizan un nivel de acceso a servicios igual o superior al que actualmente reciben los ciudadanos mediante la oficina localizada en Aibonito.</w:t>
      </w:r>
    </w:p>
    <w:p w14:paraId="19724A17" w14:textId="0A43181C" w:rsidR="0010752D" w:rsidRPr="0010752D" w:rsidRDefault="00BC506E" w:rsidP="00314B09">
      <w:pPr>
        <w:pStyle w:val="Sinespaciado"/>
        <w:spacing w:line="480" w:lineRule="auto"/>
        <w:ind w:firstLine="708"/>
        <w:jc w:val="both"/>
        <w:rPr>
          <w:rFonts w:ascii="Book Antiqua" w:hAnsi="Book Antiqua" w:cs="Arial"/>
          <w:color w:val="313131"/>
        </w:rPr>
      </w:pPr>
      <w:r w:rsidRPr="0010752D">
        <w:rPr>
          <w:rFonts w:ascii="Book Antiqua" w:hAnsi="Book Antiqua" w:cs="Arial"/>
          <w:color w:val="313131"/>
          <w:bdr w:val="none" w:sz="0" w:space="0" w:color="auto" w:frame="1"/>
        </w:rPr>
        <w:t xml:space="preserve">Sección </w:t>
      </w:r>
      <w:r w:rsidR="003D7C7C" w:rsidRPr="0010752D">
        <w:rPr>
          <w:rFonts w:ascii="Book Antiqua" w:hAnsi="Book Antiqua" w:cs="Arial"/>
          <w:color w:val="313131"/>
          <w:bdr w:val="none" w:sz="0" w:space="0" w:color="auto" w:frame="1"/>
        </w:rPr>
        <w:t>6</w:t>
      </w:r>
      <w:r w:rsidRPr="0010752D">
        <w:rPr>
          <w:rFonts w:ascii="Book Antiqua" w:hAnsi="Book Antiqua" w:cs="Arial"/>
          <w:color w:val="313131"/>
          <w:bdr w:val="none" w:sz="0" w:space="0" w:color="auto" w:frame="1"/>
        </w:rPr>
        <w:t>.-</w:t>
      </w:r>
      <w:r w:rsidRPr="0010752D">
        <w:rPr>
          <w:rFonts w:ascii="Book Antiqua" w:hAnsi="Book Antiqua" w:cs="Arial"/>
          <w:color w:val="313131"/>
        </w:rPr>
        <w:t xml:space="preserve"> Dentro de los sesenta (60) días siguientes a la aprobación de esta Resolución, el Zar de Energía de Puerto Rico y el </w:t>
      </w:r>
      <w:proofErr w:type="gramStart"/>
      <w:r w:rsidRPr="0010752D">
        <w:rPr>
          <w:rFonts w:ascii="Book Antiqua" w:hAnsi="Book Antiqua" w:cs="Arial"/>
          <w:color w:val="313131"/>
        </w:rPr>
        <w:t>Director Ejecutivo</w:t>
      </w:r>
      <w:proofErr w:type="gramEnd"/>
      <w:r w:rsidRPr="0010752D">
        <w:rPr>
          <w:rFonts w:ascii="Book Antiqua" w:hAnsi="Book Antiqua" w:cs="Arial"/>
          <w:color w:val="313131"/>
        </w:rPr>
        <w:t xml:space="preserve"> de la Autoridad para las Alianzas Público-Privadas presentarán ante la Cámara de Representantes un informe detallando las gestiones realizadas, las alternativas identificadas, los resultados obtenidos y las recomendaciones correspondientes para garantizar la continuidad de los servicios presenciales en la región.</w:t>
      </w:r>
    </w:p>
    <w:p w14:paraId="6AC8DB4D" w14:textId="7E2DB0B5" w:rsidR="0010752D" w:rsidRPr="0010752D" w:rsidRDefault="00BC506E" w:rsidP="00314B09">
      <w:pPr>
        <w:pStyle w:val="Sinespaciado"/>
        <w:spacing w:line="480" w:lineRule="auto"/>
        <w:ind w:firstLine="708"/>
        <w:jc w:val="both"/>
        <w:rPr>
          <w:rFonts w:ascii="Book Antiqua" w:hAnsi="Book Antiqua" w:cs="Arial"/>
          <w:color w:val="313131"/>
        </w:rPr>
      </w:pPr>
      <w:r w:rsidRPr="0010752D">
        <w:rPr>
          <w:rFonts w:ascii="Book Antiqua" w:hAnsi="Book Antiqua" w:cs="Arial"/>
          <w:color w:val="313131"/>
          <w:bdr w:val="none" w:sz="0" w:space="0" w:color="auto" w:frame="1"/>
        </w:rPr>
        <w:t xml:space="preserve">Sección </w:t>
      </w:r>
      <w:r w:rsidR="003D7C7C" w:rsidRPr="0010752D">
        <w:rPr>
          <w:rFonts w:ascii="Book Antiqua" w:hAnsi="Book Antiqua" w:cs="Arial"/>
          <w:color w:val="313131"/>
          <w:bdr w:val="none" w:sz="0" w:space="0" w:color="auto" w:frame="1"/>
        </w:rPr>
        <w:t>7</w:t>
      </w:r>
      <w:r w:rsidRPr="0010752D">
        <w:rPr>
          <w:rFonts w:ascii="Book Antiqua" w:hAnsi="Book Antiqua" w:cs="Arial"/>
          <w:color w:val="313131"/>
          <w:bdr w:val="none" w:sz="0" w:space="0" w:color="auto" w:frame="1"/>
        </w:rPr>
        <w:t>.-</w:t>
      </w:r>
      <w:r w:rsidRPr="0010752D">
        <w:rPr>
          <w:rFonts w:ascii="Book Antiqua" w:hAnsi="Book Antiqua" w:cs="Arial"/>
          <w:color w:val="313131"/>
        </w:rPr>
        <w:t xml:space="preserve"> Copia de esta Resolución Conjunta será remitida al Zar de Energía de Puerto Rico, al </w:t>
      </w:r>
      <w:proofErr w:type="gramStart"/>
      <w:r w:rsidRPr="0010752D">
        <w:rPr>
          <w:rFonts w:ascii="Book Antiqua" w:hAnsi="Book Antiqua" w:cs="Arial"/>
          <w:color w:val="313131"/>
        </w:rPr>
        <w:t>Director Ejecutivo</w:t>
      </w:r>
      <w:proofErr w:type="gramEnd"/>
      <w:r w:rsidRPr="0010752D">
        <w:rPr>
          <w:rFonts w:ascii="Book Antiqua" w:hAnsi="Book Antiqua" w:cs="Arial"/>
          <w:color w:val="313131"/>
        </w:rPr>
        <w:t xml:space="preserve"> de la Autoridad para las Alianzas Público-Privadas, al </w:t>
      </w:r>
      <w:proofErr w:type="gramStart"/>
      <w:r w:rsidRPr="0010752D">
        <w:rPr>
          <w:rFonts w:ascii="Book Antiqua" w:hAnsi="Book Antiqua" w:cs="Arial"/>
          <w:color w:val="313131"/>
        </w:rPr>
        <w:t>Presidente</w:t>
      </w:r>
      <w:proofErr w:type="gramEnd"/>
      <w:r w:rsidRPr="0010752D">
        <w:rPr>
          <w:rFonts w:ascii="Book Antiqua" w:hAnsi="Book Antiqua" w:cs="Arial"/>
          <w:color w:val="313131"/>
        </w:rPr>
        <w:t xml:space="preserve"> de LUMA Energy y a los alcaldes de los municipios de Aibonito, </w:t>
      </w:r>
      <w:r w:rsidR="00E0618B" w:rsidRPr="0010752D">
        <w:rPr>
          <w:rFonts w:ascii="Book Antiqua" w:hAnsi="Book Antiqua" w:cs="Arial"/>
          <w:color w:val="313131"/>
        </w:rPr>
        <w:t>Coamo, Juana Diaz y Santa Isabel.</w:t>
      </w:r>
    </w:p>
    <w:p w14:paraId="18670D18" w14:textId="22AF4072" w:rsidR="00BC506E" w:rsidRPr="0010752D" w:rsidRDefault="00BC506E" w:rsidP="00314B09">
      <w:pPr>
        <w:pStyle w:val="Sinespaciado"/>
        <w:spacing w:line="480" w:lineRule="auto"/>
        <w:ind w:firstLine="708"/>
        <w:jc w:val="both"/>
        <w:rPr>
          <w:rFonts w:ascii="Book Antiqua" w:hAnsi="Book Antiqua" w:cs="Arial"/>
          <w:color w:val="313131"/>
        </w:rPr>
      </w:pPr>
      <w:r w:rsidRPr="0010752D">
        <w:rPr>
          <w:rFonts w:ascii="Book Antiqua" w:hAnsi="Book Antiqua" w:cs="Arial"/>
          <w:color w:val="313131"/>
          <w:bdr w:val="none" w:sz="0" w:space="0" w:color="auto" w:frame="1"/>
        </w:rPr>
        <w:lastRenderedPageBreak/>
        <w:t xml:space="preserve">Sección </w:t>
      </w:r>
      <w:r w:rsidR="003D7C7C" w:rsidRPr="0010752D">
        <w:rPr>
          <w:rFonts w:ascii="Book Antiqua" w:hAnsi="Book Antiqua" w:cs="Arial"/>
          <w:color w:val="313131"/>
          <w:bdr w:val="none" w:sz="0" w:space="0" w:color="auto" w:frame="1"/>
        </w:rPr>
        <w:t>8</w:t>
      </w:r>
      <w:r w:rsidRPr="0010752D">
        <w:rPr>
          <w:rFonts w:ascii="Book Antiqua" w:hAnsi="Book Antiqua" w:cs="Arial"/>
          <w:color w:val="313131"/>
          <w:bdr w:val="none" w:sz="0" w:space="0" w:color="auto" w:frame="1"/>
        </w:rPr>
        <w:t>.-</w:t>
      </w:r>
      <w:r w:rsidRPr="0010752D">
        <w:rPr>
          <w:rFonts w:ascii="Book Antiqua" w:hAnsi="Book Antiqua" w:cs="Arial"/>
          <w:color w:val="313131"/>
        </w:rPr>
        <w:t> Esta Resolución Conjunta comenzará a regir inmediatamente después de su aprobación</w:t>
      </w:r>
      <w:r w:rsidR="00E604FA" w:rsidRPr="0010752D">
        <w:rPr>
          <w:rFonts w:ascii="Book Antiqua" w:hAnsi="Book Antiqua" w:cs="Arial"/>
          <w:color w:val="313131"/>
        </w:rPr>
        <w:t>.</w:t>
      </w:r>
    </w:p>
    <w:sectPr w:rsidR="00BC506E" w:rsidRPr="0010752D" w:rsidSect="00314B09">
      <w:type w:val="continuous"/>
      <w:pgSz w:w="11906" w:h="16838"/>
      <w:pgMar w:top="1440" w:right="1440" w:bottom="1440" w:left="1440" w:header="706" w:footer="706"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BBEB2" w14:textId="77777777" w:rsidR="00045D21" w:rsidRDefault="00045D21" w:rsidP="00BC506E">
      <w:pPr>
        <w:spacing w:after="0" w:line="240" w:lineRule="auto"/>
      </w:pPr>
      <w:r>
        <w:separator/>
      </w:r>
    </w:p>
  </w:endnote>
  <w:endnote w:type="continuationSeparator" w:id="0">
    <w:p w14:paraId="74E86826" w14:textId="77777777" w:rsidR="00045D21" w:rsidRDefault="00045D21" w:rsidP="00BC5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303AD" w14:textId="77777777" w:rsidR="007A069A" w:rsidRDefault="007A06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0240064"/>
      <w:docPartObj>
        <w:docPartGallery w:val="Page Numbers (Bottom of Page)"/>
        <w:docPartUnique/>
      </w:docPartObj>
    </w:sdtPr>
    <w:sdtEndPr>
      <w:rPr>
        <w:noProof/>
      </w:rPr>
    </w:sdtEndPr>
    <w:sdtContent>
      <w:p w14:paraId="690E288A" w14:textId="39E9DFCA" w:rsidR="007A069A" w:rsidRDefault="007A069A">
        <w:pPr>
          <w:pStyle w:val="Piedepgina"/>
          <w:jc w:val="center"/>
        </w:pPr>
        <w:r>
          <w:fldChar w:fldCharType="begin"/>
        </w:r>
        <w:r>
          <w:instrText xml:space="preserve"> PAGE   \* MERGEFORMAT </w:instrText>
        </w:r>
        <w:r>
          <w:fldChar w:fldCharType="separate"/>
        </w:r>
        <w:r>
          <w:rPr>
            <w:noProof/>
          </w:rPr>
          <w:t>2</w:t>
        </w:r>
        <w:r>
          <w:rPr>
            <w:noProof/>
          </w:rPr>
          <w:fldChar w:fldCharType="end"/>
        </w:r>
      </w:p>
    </w:sdtContent>
  </w:sdt>
  <w:p w14:paraId="0D068A13" w14:textId="77777777" w:rsidR="007A069A" w:rsidRDefault="007A06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C8646" w14:textId="77777777" w:rsidR="007A069A" w:rsidRDefault="007A06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E23FF" w14:textId="77777777" w:rsidR="00045D21" w:rsidRDefault="00045D21" w:rsidP="00BC506E">
      <w:pPr>
        <w:spacing w:after="0" w:line="240" w:lineRule="auto"/>
      </w:pPr>
      <w:r>
        <w:separator/>
      </w:r>
    </w:p>
  </w:footnote>
  <w:footnote w:type="continuationSeparator" w:id="0">
    <w:p w14:paraId="50B38510" w14:textId="77777777" w:rsidR="00045D21" w:rsidRDefault="00045D21" w:rsidP="00BC5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76F1C" w14:textId="77777777" w:rsidR="007A069A" w:rsidRDefault="007A06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20C0B" w14:textId="77777777" w:rsidR="007A069A" w:rsidRDefault="007A069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C159F" w14:textId="77777777" w:rsidR="007A069A" w:rsidRDefault="007A069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06E"/>
    <w:rsid w:val="0004277D"/>
    <w:rsid w:val="00045D21"/>
    <w:rsid w:val="0010752D"/>
    <w:rsid w:val="001D2E63"/>
    <w:rsid w:val="00254648"/>
    <w:rsid w:val="00294432"/>
    <w:rsid w:val="002B7DA6"/>
    <w:rsid w:val="00314B09"/>
    <w:rsid w:val="00354CD1"/>
    <w:rsid w:val="00355579"/>
    <w:rsid w:val="003A3C75"/>
    <w:rsid w:val="003D7C7C"/>
    <w:rsid w:val="003E1745"/>
    <w:rsid w:val="003E7409"/>
    <w:rsid w:val="004C7004"/>
    <w:rsid w:val="004F385D"/>
    <w:rsid w:val="0054248C"/>
    <w:rsid w:val="005E2FBF"/>
    <w:rsid w:val="006A24F5"/>
    <w:rsid w:val="006C0D90"/>
    <w:rsid w:val="006C100F"/>
    <w:rsid w:val="007532D4"/>
    <w:rsid w:val="007A069A"/>
    <w:rsid w:val="007E64F3"/>
    <w:rsid w:val="00844175"/>
    <w:rsid w:val="00893609"/>
    <w:rsid w:val="0091573B"/>
    <w:rsid w:val="009E24A0"/>
    <w:rsid w:val="00A03FB5"/>
    <w:rsid w:val="00A32175"/>
    <w:rsid w:val="00A83555"/>
    <w:rsid w:val="00B17D9A"/>
    <w:rsid w:val="00B655C3"/>
    <w:rsid w:val="00BC506E"/>
    <w:rsid w:val="00CA7F78"/>
    <w:rsid w:val="00CE3A6D"/>
    <w:rsid w:val="00D14047"/>
    <w:rsid w:val="00D80794"/>
    <w:rsid w:val="00DA34E8"/>
    <w:rsid w:val="00E0618B"/>
    <w:rsid w:val="00E22FF7"/>
    <w:rsid w:val="00E604FA"/>
    <w:rsid w:val="00E62875"/>
    <w:rsid w:val="00E91477"/>
    <w:rsid w:val="00EB3471"/>
    <w:rsid w:val="00EF28A3"/>
    <w:rsid w:val="00F211F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6A473"/>
  <w15:chartTrackingRefBased/>
  <w15:docId w15:val="{B696B479-214B-2340-8C2D-08C252391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PR"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C50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C50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BC506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C506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C506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C506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C506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C506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C506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C506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C506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C506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C506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C506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C506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C506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C506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C506E"/>
    <w:rPr>
      <w:rFonts w:eastAsiaTheme="majorEastAsia" w:cstheme="majorBidi"/>
      <w:color w:val="272727" w:themeColor="text1" w:themeTint="D8"/>
    </w:rPr>
  </w:style>
  <w:style w:type="paragraph" w:styleId="Ttulo">
    <w:name w:val="Title"/>
    <w:basedOn w:val="Normal"/>
    <w:next w:val="Normal"/>
    <w:link w:val="TtuloCar"/>
    <w:uiPriority w:val="10"/>
    <w:qFormat/>
    <w:rsid w:val="00BC50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C506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C506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C506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C506E"/>
    <w:pPr>
      <w:spacing w:before="160"/>
      <w:jc w:val="center"/>
    </w:pPr>
    <w:rPr>
      <w:i/>
      <w:iCs/>
      <w:color w:val="404040" w:themeColor="text1" w:themeTint="BF"/>
    </w:rPr>
  </w:style>
  <w:style w:type="character" w:customStyle="1" w:styleId="CitaCar">
    <w:name w:val="Cita Car"/>
    <w:basedOn w:val="Fuentedeprrafopredeter"/>
    <w:link w:val="Cita"/>
    <w:uiPriority w:val="29"/>
    <w:rsid w:val="00BC506E"/>
    <w:rPr>
      <w:i/>
      <w:iCs/>
      <w:color w:val="404040" w:themeColor="text1" w:themeTint="BF"/>
    </w:rPr>
  </w:style>
  <w:style w:type="paragraph" w:styleId="Prrafodelista">
    <w:name w:val="List Paragraph"/>
    <w:basedOn w:val="Normal"/>
    <w:uiPriority w:val="34"/>
    <w:qFormat/>
    <w:rsid w:val="00BC506E"/>
    <w:pPr>
      <w:ind w:left="720"/>
      <w:contextualSpacing/>
    </w:pPr>
  </w:style>
  <w:style w:type="character" w:styleId="nfasisintenso">
    <w:name w:val="Intense Emphasis"/>
    <w:basedOn w:val="Fuentedeprrafopredeter"/>
    <w:uiPriority w:val="21"/>
    <w:qFormat/>
    <w:rsid w:val="00BC506E"/>
    <w:rPr>
      <w:i/>
      <w:iCs/>
      <w:color w:val="0F4761" w:themeColor="accent1" w:themeShade="BF"/>
    </w:rPr>
  </w:style>
  <w:style w:type="paragraph" w:styleId="Citadestacada">
    <w:name w:val="Intense Quote"/>
    <w:basedOn w:val="Normal"/>
    <w:next w:val="Normal"/>
    <w:link w:val="CitadestacadaCar"/>
    <w:uiPriority w:val="30"/>
    <w:qFormat/>
    <w:rsid w:val="00BC50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C506E"/>
    <w:rPr>
      <w:i/>
      <w:iCs/>
      <w:color w:val="0F4761" w:themeColor="accent1" w:themeShade="BF"/>
    </w:rPr>
  </w:style>
  <w:style w:type="character" w:styleId="Referenciaintensa">
    <w:name w:val="Intense Reference"/>
    <w:basedOn w:val="Fuentedeprrafopredeter"/>
    <w:uiPriority w:val="32"/>
    <w:qFormat/>
    <w:rsid w:val="00BC506E"/>
    <w:rPr>
      <w:b/>
      <w:bCs/>
      <w:smallCaps/>
      <w:color w:val="0F4761" w:themeColor="accent1" w:themeShade="BF"/>
      <w:spacing w:val="5"/>
    </w:rPr>
  </w:style>
  <w:style w:type="paragraph" w:styleId="NormalWeb">
    <w:name w:val="Normal (Web)"/>
    <w:basedOn w:val="Normal"/>
    <w:uiPriority w:val="99"/>
    <w:semiHidden/>
    <w:unhideWhenUsed/>
    <w:rsid w:val="00BC506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Fuentedeprrafopredeter"/>
    <w:rsid w:val="00BC506E"/>
  </w:style>
  <w:style w:type="paragraph" w:styleId="Encabezado">
    <w:name w:val="header"/>
    <w:basedOn w:val="Normal"/>
    <w:link w:val="EncabezadoCar"/>
    <w:uiPriority w:val="99"/>
    <w:unhideWhenUsed/>
    <w:rsid w:val="00BC50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C506E"/>
  </w:style>
  <w:style w:type="paragraph" w:styleId="Piedepgina">
    <w:name w:val="footer"/>
    <w:basedOn w:val="Normal"/>
    <w:link w:val="PiedepginaCar"/>
    <w:uiPriority w:val="99"/>
    <w:unhideWhenUsed/>
    <w:rsid w:val="00BC50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506E"/>
  </w:style>
  <w:style w:type="paragraph" w:styleId="Sinespaciado">
    <w:name w:val="No Spacing"/>
    <w:uiPriority w:val="1"/>
    <w:qFormat/>
    <w:rsid w:val="0010752D"/>
    <w:pPr>
      <w:spacing w:after="0" w:line="240" w:lineRule="auto"/>
    </w:pPr>
  </w:style>
  <w:style w:type="character" w:styleId="Nmerodelnea">
    <w:name w:val="line number"/>
    <w:basedOn w:val="Fuentedeprrafopredeter"/>
    <w:uiPriority w:val="99"/>
    <w:semiHidden/>
    <w:unhideWhenUsed/>
    <w:rsid w:val="00107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1339</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Jose Santiago Nieves</dc:creator>
  <cp:keywords/>
  <dc:description/>
  <cp:lastModifiedBy>Rocío Alayón Morell</cp:lastModifiedBy>
  <cp:revision>3</cp:revision>
  <cp:lastPrinted>2026-06-03T15:32:00Z</cp:lastPrinted>
  <dcterms:created xsi:type="dcterms:W3CDTF">2026-06-03T18:45:00Z</dcterms:created>
  <dcterms:modified xsi:type="dcterms:W3CDTF">2026-06-03T20:16:00Z</dcterms:modified>
</cp:coreProperties>
</file>