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DEAC8" w14:textId="77777777" w:rsidR="00D500B7" w:rsidRPr="00D33AAB" w:rsidRDefault="009B5E39">
      <w:pPr>
        <w:jc w:val="center"/>
        <w:rPr>
          <w:rFonts w:ascii="Book Antiqua" w:hAnsi="Book Antiqua"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6D54C701" w14:textId="77777777" w:rsidR="00D500B7" w:rsidRPr="00D33AAB" w:rsidRDefault="00D500B7">
      <w:pPr>
        <w:jc w:val="center"/>
        <w:rPr>
          <w:rFonts w:ascii="Book Antiqua" w:hAnsi="Book Antiqua"/>
          <w:lang w:val="es-ES"/>
        </w:rPr>
      </w:pPr>
    </w:p>
    <w:p w14:paraId="68637516" w14:textId="74243CC9" w:rsidR="00D500B7" w:rsidRPr="00C74196" w:rsidRDefault="00C74196" w:rsidP="00C7419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C74196">
        <w:rPr>
          <w:rFonts w:ascii="Book Antiqua" w:hAnsi="Book Antiqua"/>
          <w:lang w:val="it-IT"/>
        </w:rPr>
        <w:t>20ma.</w:t>
      </w:r>
      <w:r w:rsidR="009B5E39" w:rsidRPr="00C74196">
        <w:rPr>
          <w:rFonts w:ascii="Book Antiqua" w:hAnsi="Book Antiqua"/>
          <w:lang w:val="it-IT"/>
        </w:rPr>
        <w:t xml:space="preserve"> Asamblea</w:t>
      </w:r>
      <w:r w:rsidR="009B5E39" w:rsidRPr="00C74196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 </w:t>
      </w:r>
      <w:r>
        <w:rPr>
          <w:rFonts w:ascii="Book Antiqua" w:hAnsi="Book Antiqua"/>
          <w:lang w:val="it-IT"/>
        </w:rPr>
        <w:t>3ra.</w:t>
      </w:r>
      <w:r w:rsidR="009B5E39" w:rsidRPr="00C74196">
        <w:rPr>
          <w:rFonts w:ascii="Book Antiqua" w:hAnsi="Book Antiqua"/>
          <w:lang w:val="it-IT"/>
        </w:rPr>
        <w:t xml:space="preserve"> Sesión</w:t>
      </w:r>
    </w:p>
    <w:p w14:paraId="4A8FB345" w14:textId="117E050C" w:rsidR="00D500B7" w:rsidRPr="00C74196" w:rsidRDefault="009B5E39" w:rsidP="00C7419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C74196">
        <w:rPr>
          <w:rFonts w:ascii="Book Antiqua" w:hAnsi="Book Antiqua"/>
          <w:lang w:val="it-IT"/>
        </w:rPr>
        <w:t xml:space="preserve">          </w:t>
      </w:r>
      <w:r w:rsidR="00C74196" w:rsidRPr="00C74196">
        <w:rPr>
          <w:rFonts w:ascii="Book Antiqua" w:hAnsi="Book Antiqua"/>
          <w:lang w:val="it-IT"/>
        </w:rPr>
        <w:t xml:space="preserve"> </w:t>
      </w:r>
      <w:r w:rsidRPr="00C74196">
        <w:rPr>
          <w:rFonts w:ascii="Book Antiqua" w:hAnsi="Book Antiqua"/>
          <w:lang w:val="it-IT"/>
        </w:rPr>
        <w:t>Legislativa</w:t>
      </w:r>
      <w:r w:rsidRPr="00C74196">
        <w:rPr>
          <w:rFonts w:ascii="Book Antiqua" w:hAnsi="Book Antiqua"/>
          <w:lang w:val="it-IT"/>
        </w:rPr>
        <w:tab/>
      </w:r>
      <w:r w:rsidRPr="00C74196">
        <w:rPr>
          <w:rFonts w:ascii="Book Antiqua" w:hAnsi="Book Antiqua"/>
          <w:lang w:val="it-IT"/>
        </w:rPr>
        <w:tab/>
        <w:t xml:space="preserve">                                                                                          Ordinaria</w:t>
      </w:r>
    </w:p>
    <w:p w14:paraId="05DD3596" w14:textId="77777777" w:rsidR="00D500B7" w:rsidRPr="00C74196" w:rsidRDefault="00D500B7">
      <w:pPr>
        <w:jc w:val="both"/>
        <w:rPr>
          <w:rFonts w:ascii="Book Antiqua" w:hAnsi="Book Antiqua"/>
          <w:lang w:val="it-IT"/>
        </w:rPr>
      </w:pPr>
    </w:p>
    <w:p w14:paraId="125D74F7" w14:textId="77777777" w:rsidR="00D500B7" w:rsidRPr="00D33AAB" w:rsidRDefault="009B5E39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D33AAB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265CE76C" w14:textId="77777777" w:rsidR="00D500B7" w:rsidRPr="00D33AAB" w:rsidRDefault="00D500B7">
      <w:pPr>
        <w:jc w:val="center"/>
        <w:rPr>
          <w:rFonts w:ascii="Book Antiqua" w:hAnsi="Book Antiqua"/>
          <w:szCs w:val="24"/>
          <w:lang w:val="es-ES"/>
        </w:rPr>
      </w:pPr>
    </w:p>
    <w:p w14:paraId="5526DCD8" w14:textId="3CB00FC2" w:rsidR="00D500B7" w:rsidRPr="00D33AAB" w:rsidRDefault="009B5E39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265F1C">
        <w:rPr>
          <w:rFonts w:ascii="Book Antiqua" w:hAnsi="Book Antiqua"/>
          <w:b/>
          <w:sz w:val="52"/>
          <w:lang w:val="es-PR"/>
        </w:rPr>
        <w:t xml:space="preserve">R. C. </w:t>
      </w:r>
      <w:r w:rsidRPr="00265F1C">
        <w:rPr>
          <w:rFonts w:ascii="Book Antiqua" w:hAnsi="Book Antiqua"/>
          <w:b/>
          <w:sz w:val="52"/>
          <w:szCs w:val="52"/>
          <w:lang w:val="es-ES"/>
        </w:rPr>
        <w:t xml:space="preserve">de la </w:t>
      </w:r>
      <w:r w:rsidR="00D039E4">
        <w:rPr>
          <w:rFonts w:ascii="Book Antiqua" w:hAnsi="Book Antiqua"/>
          <w:b/>
          <w:sz w:val="52"/>
          <w:szCs w:val="52"/>
          <w:lang w:val="es-ES"/>
        </w:rPr>
        <w:t>C</w:t>
      </w:r>
      <w:r w:rsidRPr="00265F1C">
        <w:rPr>
          <w:rFonts w:ascii="Book Antiqua" w:hAnsi="Book Antiqua"/>
          <w:b/>
          <w:sz w:val="52"/>
          <w:szCs w:val="52"/>
          <w:lang w:val="es-ES"/>
        </w:rPr>
        <w:t>.</w:t>
      </w:r>
      <w:r w:rsidR="00743712">
        <w:rPr>
          <w:rFonts w:ascii="Book Antiqua" w:hAnsi="Book Antiqua"/>
          <w:b/>
          <w:sz w:val="52"/>
          <w:szCs w:val="52"/>
          <w:lang w:val="es-ES"/>
        </w:rPr>
        <w:t xml:space="preserve"> 363</w:t>
      </w:r>
    </w:p>
    <w:p w14:paraId="4EF336AA" w14:textId="77777777" w:rsidR="00D500B7" w:rsidRPr="00D33AAB" w:rsidRDefault="00D500B7">
      <w:pPr>
        <w:jc w:val="center"/>
        <w:rPr>
          <w:rFonts w:ascii="Book Antiqua" w:hAnsi="Book Antiqua"/>
          <w:lang w:val="es-ES"/>
        </w:rPr>
      </w:pPr>
    </w:p>
    <w:p w14:paraId="6384FCAF" w14:textId="7187BC12" w:rsidR="00D500B7" w:rsidRPr="00D33AAB" w:rsidRDefault="00743712">
      <w:pPr>
        <w:jc w:val="center"/>
        <w:rPr>
          <w:rFonts w:ascii="Book Antiqua" w:hAnsi="Book Antiqua"/>
          <w:b/>
          <w:sz w:val="48"/>
          <w:lang w:val="es-ES"/>
        </w:rPr>
      </w:pPr>
      <w:r>
        <w:rPr>
          <w:rFonts w:ascii="Book Antiqua" w:hAnsi="Book Antiqua"/>
          <w:lang w:val="es-ES"/>
        </w:rPr>
        <w:t xml:space="preserve">4 </w:t>
      </w:r>
      <w:r w:rsidR="009B5E39" w:rsidRPr="00D33AAB">
        <w:rPr>
          <w:rFonts w:ascii="Book Antiqua" w:hAnsi="Book Antiqua"/>
          <w:lang w:val="es-ES"/>
        </w:rPr>
        <w:t xml:space="preserve">DE </w:t>
      </w:r>
      <w:r w:rsidR="00C74196">
        <w:rPr>
          <w:rFonts w:ascii="Book Antiqua" w:hAnsi="Book Antiqua"/>
          <w:lang w:val="es-ES"/>
        </w:rPr>
        <w:t>JUNIO</w:t>
      </w:r>
      <w:r w:rsidR="009B5E39" w:rsidRPr="00D33AAB">
        <w:rPr>
          <w:rFonts w:ascii="Book Antiqua" w:hAnsi="Book Antiqua"/>
          <w:lang w:val="es-ES"/>
        </w:rPr>
        <w:t xml:space="preserve"> DE 2026</w:t>
      </w:r>
    </w:p>
    <w:p w14:paraId="7FDEB91C" w14:textId="77777777" w:rsidR="00D500B7" w:rsidRPr="00D33AAB" w:rsidRDefault="00D500B7">
      <w:pPr>
        <w:jc w:val="center"/>
        <w:rPr>
          <w:rFonts w:ascii="Book Antiqua" w:hAnsi="Book Antiqua"/>
          <w:lang w:val="es-ES"/>
        </w:rPr>
      </w:pPr>
    </w:p>
    <w:p w14:paraId="1E706AD3" w14:textId="77777777" w:rsidR="00D500B7" w:rsidRPr="00D33AAB" w:rsidRDefault="009B5E39">
      <w:pPr>
        <w:jc w:val="center"/>
        <w:rPr>
          <w:rFonts w:ascii="Book Antiqua" w:hAnsi="Book Antiqua"/>
          <w:i/>
          <w:lang w:val="es-ES"/>
        </w:rPr>
      </w:pPr>
      <w:r w:rsidRPr="00D33AAB">
        <w:rPr>
          <w:rFonts w:ascii="Book Antiqua" w:hAnsi="Book Antiqua"/>
          <w:lang w:val="es-ES"/>
        </w:rPr>
        <w:t>Presentada por el representante</w:t>
      </w:r>
      <w:r w:rsidRPr="00D33AAB">
        <w:rPr>
          <w:rFonts w:ascii="Book Antiqua" w:hAnsi="Book Antiqua"/>
          <w:i/>
          <w:lang w:val="es-ES"/>
        </w:rPr>
        <w:t xml:space="preserve"> Colón Rodríguez </w:t>
      </w:r>
    </w:p>
    <w:p w14:paraId="59BED9AC" w14:textId="77777777" w:rsidR="00D500B7" w:rsidRPr="00D33AAB" w:rsidRDefault="00D500B7">
      <w:pPr>
        <w:jc w:val="center"/>
        <w:rPr>
          <w:rFonts w:ascii="Book Antiqua" w:hAnsi="Book Antiqua"/>
          <w:lang w:val="es-ES"/>
        </w:rPr>
      </w:pPr>
    </w:p>
    <w:p w14:paraId="09B17E18" w14:textId="420A3F4B" w:rsidR="00D500B7" w:rsidRPr="00D33AAB" w:rsidRDefault="009B5E39">
      <w:pPr>
        <w:jc w:val="center"/>
        <w:rPr>
          <w:rFonts w:ascii="Book Antiqua" w:hAnsi="Book Antiqua"/>
          <w:lang w:val="es-ES"/>
        </w:rPr>
      </w:pPr>
      <w:r w:rsidRPr="00D33AAB">
        <w:rPr>
          <w:rFonts w:ascii="Book Antiqua" w:hAnsi="Book Antiqua"/>
          <w:lang w:val="es-ES"/>
        </w:rPr>
        <w:t xml:space="preserve">Referida </w:t>
      </w:r>
      <w:r w:rsidR="00740741">
        <w:rPr>
          <w:rFonts w:ascii="Book Antiqua" w:hAnsi="Book Antiqua"/>
          <w:lang w:val="es-ES"/>
        </w:rPr>
        <w:t xml:space="preserve">a </w:t>
      </w:r>
      <w:r w:rsidR="00C74196">
        <w:rPr>
          <w:rFonts w:ascii="Book Antiqua" w:hAnsi="Book Antiqua"/>
          <w:lang w:val="es-ES"/>
        </w:rPr>
        <w:t>la Comisión de Transportación e Infraestructura</w:t>
      </w:r>
    </w:p>
    <w:p w14:paraId="793F13B1" w14:textId="77777777" w:rsidR="00D500B7" w:rsidRPr="00D33AAB" w:rsidRDefault="00D500B7">
      <w:pPr>
        <w:jc w:val="both"/>
        <w:rPr>
          <w:rFonts w:ascii="Book Antiqua" w:hAnsi="Book Antiqua"/>
          <w:lang w:val="es-ES"/>
        </w:rPr>
      </w:pPr>
    </w:p>
    <w:p w14:paraId="03E35741" w14:textId="77777777" w:rsidR="00D500B7" w:rsidRDefault="009B5E39">
      <w:pPr>
        <w:jc w:val="center"/>
        <w:rPr>
          <w:rFonts w:ascii="Book Antiqua" w:hAnsi="Book Antiqua"/>
          <w:b/>
          <w:caps/>
          <w:sz w:val="28"/>
          <w:lang w:val="es-PR"/>
        </w:rPr>
      </w:pPr>
      <w:r>
        <w:rPr>
          <w:rFonts w:ascii="Book Antiqua" w:hAnsi="Book Antiqua"/>
          <w:b/>
          <w:caps/>
          <w:sz w:val="28"/>
          <w:lang w:val="es-PR"/>
        </w:rPr>
        <w:t>RESOLUCIón CONJUNTA</w:t>
      </w:r>
    </w:p>
    <w:p w14:paraId="439705F2" w14:textId="77777777" w:rsidR="00D500B7" w:rsidRPr="00D33AAB" w:rsidRDefault="00D500B7">
      <w:pPr>
        <w:jc w:val="both"/>
        <w:rPr>
          <w:rFonts w:ascii="Book Antiqua" w:hAnsi="Book Antiqua"/>
          <w:lang w:val="es-ES"/>
        </w:rPr>
      </w:pPr>
    </w:p>
    <w:p w14:paraId="13CBEAA3" w14:textId="77777777" w:rsidR="00660578" w:rsidRDefault="00A517C2" w:rsidP="00C74196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Para ordenar al Departamento de Transportación y Obras Públicas (DTOP), al Departamento de Desarrollo Económico y Comercio (DDEC) y a los municipios de Puerto Rico, establecer de manera coordinada un plan </w:t>
      </w:r>
      <w:proofErr w:type="spellStart"/>
      <w:r>
        <w:rPr>
          <w:rFonts w:ascii="Book Antiqua" w:hAnsi="Book Antiqua"/>
          <w:szCs w:val="24"/>
          <w:lang w:val="es-PR"/>
        </w:rPr>
        <w:t>interagencial</w:t>
      </w:r>
      <w:proofErr w:type="spellEnd"/>
      <w:r>
        <w:rPr>
          <w:rFonts w:ascii="Book Antiqua" w:hAnsi="Book Antiqua"/>
          <w:szCs w:val="24"/>
          <w:lang w:val="es-PR"/>
        </w:rPr>
        <w:t xml:space="preserve"> de orientación, asistencia y reubicación para los comerciantes de negocios ambulantes que cuentan con patentes municipales vigentes, pero que ubican en servidumbres de paso estatales; establecer una moratoria de desalojos y multas para permitir una transición justa que no menoscabe la capacidad de estos negocios de generar ingresos; y para otros fines relacionados.</w:t>
      </w:r>
    </w:p>
    <w:p w14:paraId="10F51AE7" w14:textId="77777777" w:rsidR="00D500B7" w:rsidRPr="00D33AAB" w:rsidRDefault="009B5E39" w:rsidP="00C74196">
      <w:pPr>
        <w:ind w:left="720" w:hanging="600"/>
        <w:jc w:val="both"/>
        <w:rPr>
          <w:rFonts w:ascii="Book Antiqua" w:hAnsi="Book Antiqua"/>
          <w:lang w:val="es-ES"/>
        </w:rPr>
      </w:pPr>
      <w:r w:rsidRPr="00D33AAB">
        <w:rPr>
          <w:rFonts w:ascii="Book Antiqua" w:hAnsi="Book Antiqua"/>
          <w:lang w:val="es-ES"/>
        </w:rPr>
        <w:t xml:space="preserve"> </w:t>
      </w:r>
    </w:p>
    <w:p w14:paraId="2615BF6D" w14:textId="77777777" w:rsidR="00D500B7" w:rsidRDefault="009B5E39" w:rsidP="00C74196">
      <w:pPr>
        <w:jc w:val="center"/>
        <w:rPr>
          <w:rFonts w:ascii="Book Antiqua" w:hAnsi="Book Antiqua"/>
          <w:lang w:val="es-ES"/>
        </w:rPr>
      </w:pPr>
      <w:r w:rsidRPr="00D33AAB">
        <w:rPr>
          <w:rFonts w:ascii="Book Antiqua" w:hAnsi="Book Antiqua"/>
          <w:lang w:val="es-ES"/>
        </w:rPr>
        <w:t xml:space="preserve">EXPOSICIÓN DE MOTIVOS </w:t>
      </w:r>
    </w:p>
    <w:p w14:paraId="5ED51391" w14:textId="77777777" w:rsidR="00C74196" w:rsidRPr="00D33AAB" w:rsidRDefault="00C74196" w:rsidP="00C74196">
      <w:pPr>
        <w:jc w:val="center"/>
        <w:rPr>
          <w:rFonts w:ascii="Book Antiqua" w:hAnsi="Book Antiqua"/>
          <w:lang w:val="es-ES"/>
        </w:rPr>
      </w:pPr>
    </w:p>
    <w:p w14:paraId="2B5D7238" w14:textId="77777777" w:rsidR="00660578" w:rsidRDefault="00A517C2" w:rsidP="00C74196">
      <w:pPr>
        <w:autoSpaceDE w:val="0"/>
        <w:autoSpaceDN w:val="0"/>
        <w:adjustRightInd w:val="0"/>
        <w:ind w:firstLine="720"/>
        <w:jc w:val="both"/>
        <w:rPr>
          <w:rFonts w:ascii="Book Antiqua" w:eastAsia="Aptos" w:hAnsi="Book Antiqua"/>
          <w:color w:val="000000"/>
          <w:lang w:val="es-ES"/>
        </w:rPr>
      </w:pPr>
      <w:r>
        <w:rPr>
          <w:rFonts w:ascii="Book Antiqua" w:eastAsia="Aptos" w:hAnsi="Book Antiqua"/>
          <w:color w:val="000000"/>
          <w:lang w:val="es-ES"/>
        </w:rPr>
        <w:t xml:space="preserve">El emprendimiento y el establecimiento de pequeños y medianos comercios son motores fundamentales para el desarrollo económico de Puerto Rico. En años recientes, hemos visto un auge en la proliferación de “negocios ambulantes” o </w:t>
      </w:r>
      <w:proofErr w:type="spellStart"/>
      <w:r>
        <w:rPr>
          <w:rFonts w:ascii="Book Antiqua" w:eastAsia="Aptos" w:hAnsi="Book Antiqua"/>
          <w:color w:val="000000"/>
          <w:lang w:val="es-ES"/>
        </w:rPr>
        <w:t>food</w:t>
      </w:r>
      <w:proofErr w:type="spellEnd"/>
      <w:r>
        <w:rPr>
          <w:rFonts w:ascii="Book Antiqua" w:eastAsia="Aptos" w:hAnsi="Book Antiqua"/>
          <w:color w:val="000000"/>
          <w:lang w:val="es-ES"/>
        </w:rPr>
        <w:t xml:space="preserve"> </w:t>
      </w:r>
      <w:proofErr w:type="spellStart"/>
      <w:r>
        <w:rPr>
          <w:rFonts w:ascii="Book Antiqua" w:eastAsia="Aptos" w:hAnsi="Book Antiqua"/>
          <w:color w:val="000000"/>
          <w:lang w:val="es-ES"/>
        </w:rPr>
        <w:t>trucks</w:t>
      </w:r>
      <w:proofErr w:type="spellEnd"/>
      <w:r>
        <w:rPr>
          <w:rFonts w:ascii="Book Antiqua" w:eastAsia="Aptos" w:hAnsi="Book Antiqua"/>
          <w:color w:val="000000"/>
          <w:lang w:val="es-ES"/>
        </w:rPr>
        <w:t xml:space="preserve"> a lo largo de nuestras vías públicas. Muchos de estos comerciantes han invertido su capital y esfuerzo en construir espacios para brindar servicios y productos a la ciudadanía, operando bajo la presunción de legalidad al haber tramitado y obtenido patentes municipales por parte de sus respectivos ayuntamientos.</w:t>
      </w:r>
    </w:p>
    <w:p w14:paraId="3AF39BF8" w14:textId="77777777" w:rsidR="00660578" w:rsidRPr="00C74196" w:rsidRDefault="00A517C2" w:rsidP="00C74196">
      <w:pPr>
        <w:autoSpaceDE w:val="0"/>
        <w:autoSpaceDN w:val="0"/>
        <w:adjustRightInd w:val="0"/>
        <w:ind w:firstLine="720"/>
        <w:jc w:val="both"/>
        <w:rPr>
          <w:rFonts w:ascii="Book Antiqua" w:eastAsia="Aptos" w:hAnsi="Book Antiqua"/>
          <w:color w:val="000000"/>
          <w:szCs w:val="24"/>
          <w:lang w:val="es-ES"/>
        </w:rPr>
      </w:pPr>
      <w:r>
        <w:rPr>
          <w:rFonts w:ascii="Book Antiqua" w:eastAsia="Aptos" w:hAnsi="Book Antiqua"/>
          <w:color w:val="000000"/>
          <w:sz w:val="12"/>
          <w:szCs w:val="12"/>
          <w:lang w:val="es-ES"/>
        </w:rPr>
        <w:t xml:space="preserve"> </w:t>
      </w:r>
    </w:p>
    <w:p w14:paraId="2EB359D4" w14:textId="77777777" w:rsidR="00660578" w:rsidRDefault="00A517C2" w:rsidP="00C74196">
      <w:pPr>
        <w:autoSpaceDE w:val="0"/>
        <w:autoSpaceDN w:val="0"/>
        <w:adjustRightInd w:val="0"/>
        <w:ind w:firstLine="720"/>
        <w:jc w:val="both"/>
        <w:rPr>
          <w:rFonts w:ascii="Book Antiqua" w:eastAsia="Aptos" w:hAnsi="Book Antiqua"/>
          <w:color w:val="000000"/>
          <w:lang w:val="es-ES"/>
        </w:rPr>
      </w:pPr>
      <w:r>
        <w:rPr>
          <w:rFonts w:ascii="Book Antiqua" w:eastAsia="Aptos" w:hAnsi="Book Antiqua"/>
          <w:color w:val="000000"/>
          <w:lang w:val="es-ES"/>
        </w:rPr>
        <w:t xml:space="preserve">Recientemente, el Departamento de Transportación y Obras Públicas (DTOP) ha señalado, con justificada preocupación por la seguridad vial, la construcción de estructuras permanentes y semipermanentes a orillas de las carreteras estatales, ocupando la servidumbre de paso sin los debidos permisos de la agencia. Esta situación ha sacado a la luz un preocupante problema de falta de coordinación y conflicto de </w:t>
      </w:r>
      <w:r>
        <w:rPr>
          <w:rFonts w:ascii="Book Antiqua" w:eastAsia="Aptos" w:hAnsi="Book Antiqua"/>
          <w:color w:val="000000"/>
          <w:lang w:val="es-ES"/>
        </w:rPr>
        <w:lastRenderedPageBreak/>
        <w:t>jurisdicción entre el gobierno central y los municipios, donde los ayuntamientos otorgan patentes para operar en terrenos que están bajo la custodia del estado.</w:t>
      </w:r>
    </w:p>
    <w:p w14:paraId="3189E099" w14:textId="77777777" w:rsidR="00660578" w:rsidRPr="00C74196" w:rsidRDefault="00A517C2" w:rsidP="00C74196">
      <w:pPr>
        <w:autoSpaceDE w:val="0"/>
        <w:autoSpaceDN w:val="0"/>
        <w:adjustRightInd w:val="0"/>
        <w:ind w:firstLine="720"/>
        <w:jc w:val="both"/>
        <w:rPr>
          <w:rFonts w:ascii="Book Antiqua" w:eastAsia="Aptos" w:hAnsi="Book Antiqua"/>
          <w:color w:val="000000"/>
          <w:szCs w:val="24"/>
          <w:lang w:val="es-ES"/>
        </w:rPr>
      </w:pPr>
      <w:r w:rsidRPr="00C74196">
        <w:rPr>
          <w:rFonts w:ascii="Book Antiqua" w:eastAsia="Aptos" w:hAnsi="Book Antiqua"/>
          <w:color w:val="000000"/>
          <w:szCs w:val="24"/>
          <w:lang w:val="es-ES"/>
        </w:rPr>
        <w:t xml:space="preserve"> </w:t>
      </w:r>
    </w:p>
    <w:p w14:paraId="117A2B78" w14:textId="77777777" w:rsidR="00660578" w:rsidRDefault="00A517C2" w:rsidP="00C74196">
      <w:pPr>
        <w:autoSpaceDE w:val="0"/>
        <w:autoSpaceDN w:val="0"/>
        <w:adjustRightInd w:val="0"/>
        <w:ind w:firstLine="720"/>
        <w:jc w:val="both"/>
        <w:rPr>
          <w:rFonts w:ascii="Book Antiqua" w:eastAsia="Aptos" w:hAnsi="Book Antiqua"/>
          <w:color w:val="000000"/>
          <w:lang w:val="es-ES"/>
        </w:rPr>
      </w:pPr>
      <w:r>
        <w:rPr>
          <w:rFonts w:ascii="Book Antiqua" w:eastAsia="Aptos" w:hAnsi="Book Antiqua"/>
          <w:color w:val="000000"/>
          <w:lang w:val="es-ES"/>
        </w:rPr>
        <w:t>Ante esta realidad, no podemos penalizar al comerciante que, actuando de buena fe y en aras de ganarse el sustento, acudió a su municipio, pagó sus arbitrios y obtuvo una patente para operar. Ordenar el desalojo inmediato de estos negocios representaría un golpe devastador para cientos de familias puertorriqueñas que dependen de estos ingresos y supondría la pérdida total de su inversión.</w:t>
      </w:r>
    </w:p>
    <w:p w14:paraId="16E264ED" w14:textId="77777777" w:rsidR="00660578" w:rsidRPr="00C74196" w:rsidRDefault="00A517C2" w:rsidP="00C74196">
      <w:pPr>
        <w:autoSpaceDE w:val="0"/>
        <w:autoSpaceDN w:val="0"/>
        <w:adjustRightInd w:val="0"/>
        <w:ind w:firstLine="720"/>
        <w:jc w:val="both"/>
        <w:rPr>
          <w:rFonts w:ascii="Book Antiqua" w:eastAsia="Aptos" w:hAnsi="Book Antiqua"/>
          <w:color w:val="000000"/>
          <w:szCs w:val="24"/>
          <w:lang w:val="es-ES"/>
        </w:rPr>
      </w:pPr>
      <w:r>
        <w:rPr>
          <w:rFonts w:ascii="Book Antiqua" w:eastAsia="Aptos" w:hAnsi="Book Antiqua"/>
          <w:color w:val="000000"/>
          <w:sz w:val="12"/>
          <w:szCs w:val="12"/>
          <w:lang w:val="es-ES"/>
        </w:rPr>
        <w:t xml:space="preserve"> </w:t>
      </w:r>
    </w:p>
    <w:p w14:paraId="064692C5" w14:textId="77777777" w:rsidR="00660578" w:rsidRDefault="00A517C2" w:rsidP="00C74196">
      <w:pPr>
        <w:autoSpaceDE w:val="0"/>
        <w:autoSpaceDN w:val="0"/>
        <w:adjustRightInd w:val="0"/>
        <w:ind w:firstLine="720"/>
        <w:jc w:val="both"/>
        <w:rPr>
          <w:rFonts w:ascii="Book Antiqua" w:eastAsia="Aptos" w:hAnsi="Book Antiqua"/>
          <w:color w:val="000000"/>
          <w:lang w:val="es-ES"/>
        </w:rPr>
      </w:pPr>
      <w:r>
        <w:rPr>
          <w:rFonts w:ascii="Book Antiqua" w:eastAsia="Aptos" w:hAnsi="Book Antiqua"/>
          <w:color w:val="000000"/>
          <w:lang w:val="es-ES"/>
        </w:rPr>
        <w:t xml:space="preserve">Por tanto, esta Asamblea Legislativa considera apremiante y necesario ordenar la creación de un plan de acción entre el DTOP, el DDEC y los Municipios, acompañado de una moratoria razonable. El propósito es garantizar que estos comerciantes puedan </w:t>
      </w:r>
      <w:proofErr w:type="spellStart"/>
      <w:r>
        <w:rPr>
          <w:rFonts w:ascii="Book Antiqua" w:eastAsia="Aptos" w:hAnsi="Book Antiqua"/>
          <w:color w:val="000000"/>
          <w:lang w:val="es-ES"/>
        </w:rPr>
        <w:t>transicionar</w:t>
      </w:r>
      <w:proofErr w:type="spellEnd"/>
      <w:r>
        <w:rPr>
          <w:rFonts w:ascii="Book Antiqua" w:eastAsia="Aptos" w:hAnsi="Book Antiqua"/>
          <w:color w:val="000000"/>
          <w:lang w:val="es-ES"/>
        </w:rPr>
        <w:t>, reubicarse u obtener las dispensas correspondientes en ley, sin que se vea interrumpida su capacidad de generar ingresos y protegiendo, a su vez, la seguridad de nuestras vías públicas.</w:t>
      </w:r>
    </w:p>
    <w:p w14:paraId="1E17288D" w14:textId="77777777" w:rsidR="00A517C2" w:rsidRDefault="00A517C2" w:rsidP="00C74196">
      <w:pPr>
        <w:rPr>
          <w:rFonts w:ascii="Book Antiqua" w:hAnsi="Book Antiqua"/>
          <w:i/>
          <w:caps/>
          <w:lang w:val="es-PR"/>
        </w:rPr>
      </w:pPr>
    </w:p>
    <w:p w14:paraId="5C794BA8" w14:textId="38A1466A" w:rsidR="00D500B7" w:rsidRPr="00D33AAB" w:rsidRDefault="009B5E39" w:rsidP="00C74196">
      <w:pPr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caps/>
          <w:lang w:val="es-PR"/>
        </w:rPr>
        <w:t>ResuélvEse</w:t>
      </w:r>
      <w:r w:rsidRPr="00D33AAB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24CE22CE" w14:textId="77777777" w:rsidR="00C74196" w:rsidRDefault="00C74196" w:rsidP="00C74196">
      <w:pPr>
        <w:jc w:val="both"/>
        <w:rPr>
          <w:rFonts w:ascii="Book Antiqua" w:hAnsi="Book Antiqua"/>
          <w:i/>
          <w:lang w:val="es-ES"/>
        </w:rPr>
      </w:pPr>
    </w:p>
    <w:p w14:paraId="34585FCC" w14:textId="77777777" w:rsidR="00C74196" w:rsidRPr="00D33AAB" w:rsidRDefault="00C74196" w:rsidP="00C74196">
      <w:pPr>
        <w:jc w:val="both"/>
        <w:rPr>
          <w:rFonts w:ascii="Book Antiqua" w:hAnsi="Book Antiqua"/>
          <w:i/>
          <w:lang w:val="es-ES"/>
        </w:rPr>
        <w:sectPr w:rsidR="00C74196" w:rsidRPr="00D33AAB">
          <w:headerReference w:type="default" r:id="rId9"/>
          <w:headerReference w:type="first" r:id="rId10"/>
          <w:type w:val="continuous"/>
          <w:pgSz w:w="12240" w:h="15840"/>
          <w:pgMar w:top="1440" w:right="1440" w:bottom="1440" w:left="1440" w:header="720" w:footer="720" w:gutter="0"/>
          <w:cols w:space="720"/>
          <w:titlePg/>
        </w:sectPr>
      </w:pPr>
    </w:p>
    <w:p w14:paraId="3D5FE0F0" w14:textId="77777777" w:rsidR="00660578" w:rsidRDefault="00A517C2" w:rsidP="00C7419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1.-Se ordena al Departamento de Transportación y Obras Públicas (DTOP), al Departamento de Desarrollo Económico y Comercio (DDEC) y a los Municipios de Puerto Rico, a través de la Federación de </w:t>
      </w:r>
      <w:proofErr w:type="gramStart"/>
      <w:r>
        <w:rPr>
          <w:rFonts w:ascii="Book Antiqua" w:hAnsi="Book Antiqua"/>
          <w:szCs w:val="24"/>
          <w:lang w:val="es-PR"/>
        </w:rPr>
        <w:t>Alcaldes</w:t>
      </w:r>
      <w:proofErr w:type="gramEnd"/>
      <w:r>
        <w:rPr>
          <w:rFonts w:ascii="Book Antiqua" w:hAnsi="Book Antiqua"/>
          <w:szCs w:val="24"/>
          <w:lang w:val="es-PR"/>
        </w:rPr>
        <w:t xml:space="preserve"> y la Asociación de </w:t>
      </w:r>
      <w:proofErr w:type="gramStart"/>
      <w:r>
        <w:rPr>
          <w:rFonts w:ascii="Book Antiqua" w:hAnsi="Book Antiqua"/>
          <w:szCs w:val="24"/>
          <w:lang w:val="es-PR"/>
        </w:rPr>
        <w:t>Alcaldes</w:t>
      </w:r>
      <w:proofErr w:type="gramEnd"/>
      <w:r>
        <w:rPr>
          <w:rFonts w:ascii="Book Antiqua" w:hAnsi="Book Antiqua"/>
          <w:szCs w:val="24"/>
          <w:lang w:val="es-PR"/>
        </w:rPr>
        <w:t xml:space="preserve">, a crear un Comité de Trabajo </w:t>
      </w:r>
      <w:proofErr w:type="spellStart"/>
      <w:r>
        <w:rPr>
          <w:rFonts w:ascii="Book Antiqua" w:hAnsi="Book Antiqua"/>
          <w:szCs w:val="24"/>
          <w:lang w:val="es-PR"/>
        </w:rPr>
        <w:t>Interagencial</w:t>
      </w:r>
      <w:proofErr w:type="spellEnd"/>
      <w:r>
        <w:rPr>
          <w:rFonts w:ascii="Book Antiqua" w:hAnsi="Book Antiqua"/>
          <w:szCs w:val="24"/>
          <w:lang w:val="es-PR"/>
        </w:rPr>
        <w:t xml:space="preserve"> en un plazo no mayor de quince (15) días a partir de la aprobación de esta Resolución Conjunta.</w:t>
      </w:r>
    </w:p>
    <w:p w14:paraId="22452A23" w14:textId="77777777" w:rsidR="00660578" w:rsidRDefault="00A517C2" w:rsidP="00C7419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2.-Este Comité de Trabajo </w:t>
      </w:r>
      <w:proofErr w:type="spellStart"/>
      <w:r>
        <w:rPr>
          <w:rFonts w:ascii="Book Antiqua" w:hAnsi="Book Antiqua"/>
          <w:szCs w:val="24"/>
          <w:lang w:val="es-PR"/>
        </w:rPr>
        <w:t>Interagencial</w:t>
      </w:r>
      <w:proofErr w:type="spellEnd"/>
      <w:r>
        <w:rPr>
          <w:rFonts w:ascii="Book Antiqua" w:hAnsi="Book Antiqua"/>
          <w:szCs w:val="24"/>
          <w:lang w:val="es-PR"/>
        </w:rPr>
        <w:t xml:space="preserve"> tendrá la responsabilidad de diseñar y ejecutar un “Plan de Transición y Asistencia al Comerciante Ambulante”. Dicho plan deberá incluir, sin limitarse a:</w:t>
      </w:r>
    </w:p>
    <w:p w14:paraId="526E371D" w14:textId="77777777" w:rsidR="00660578" w:rsidRDefault="00A517C2" w:rsidP="00C74196">
      <w:pPr>
        <w:spacing w:line="480" w:lineRule="auto"/>
        <w:ind w:left="1440" w:hanging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(a)</w:t>
      </w:r>
      <w:r>
        <w:rPr>
          <w:rFonts w:ascii="Book Antiqua" w:hAnsi="Book Antiqua"/>
          <w:szCs w:val="24"/>
          <w:lang w:val="es-PR"/>
        </w:rPr>
        <w:tab/>
        <w:t>Un inventario de los comercios afectados que actualmente poseen patente municipal vigente y operan en la servidumbre estatal.</w:t>
      </w:r>
    </w:p>
    <w:p w14:paraId="6945286D" w14:textId="77777777" w:rsidR="00660578" w:rsidRDefault="00A517C2" w:rsidP="00C74196">
      <w:pPr>
        <w:spacing w:line="480" w:lineRule="auto"/>
        <w:ind w:left="1440" w:hanging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(b)</w:t>
      </w:r>
      <w:r>
        <w:rPr>
          <w:rFonts w:ascii="Book Antiqua" w:hAnsi="Book Antiqua"/>
          <w:szCs w:val="24"/>
          <w:lang w:val="es-PR"/>
        </w:rPr>
        <w:tab/>
        <w:t>Alternativas viables de reubicación temporal o permanente provistas por los municipios o el DDEC para los comerciantes que no puedan permanecer en su ubicación actual.</w:t>
      </w:r>
    </w:p>
    <w:p w14:paraId="1D2CD616" w14:textId="77777777" w:rsidR="00660578" w:rsidRDefault="00A517C2" w:rsidP="00C74196">
      <w:pPr>
        <w:spacing w:line="480" w:lineRule="auto"/>
        <w:ind w:left="1440" w:hanging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lastRenderedPageBreak/>
        <w:t>(c)</w:t>
      </w:r>
      <w:r>
        <w:rPr>
          <w:rFonts w:ascii="Book Antiqua" w:hAnsi="Book Antiqua"/>
          <w:szCs w:val="24"/>
          <w:lang w:val="es-PR"/>
        </w:rPr>
        <w:tab/>
        <w:t>Identificación de incentivos o ayudas económicas por parte del DDEC para sufragar los gastos imprevistos de mitigación, remoción o reubicación de estructuras.</w:t>
      </w:r>
    </w:p>
    <w:p w14:paraId="5C1DC077" w14:textId="77777777" w:rsidR="00660578" w:rsidRDefault="00A517C2" w:rsidP="00C74196">
      <w:pPr>
        <w:spacing w:line="480" w:lineRule="auto"/>
        <w:ind w:left="1440" w:hanging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(d)</w:t>
      </w:r>
      <w:r>
        <w:rPr>
          <w:rFonts w:ascii="Book Antiqua" w:hAnsi="Book Antiqua"/>
          <w:szCs w:val="24"/>
          <w:lang w:val="es-PR"/>
        </w:rPr>
        <w:tab/>
        <w:t>Un protocolo expedito del DTOP para evaluar si ciertos comercios pueden permanecer en su ubicación actual mediante concesiones, arrendamientos o acuerdos de mantenimiento, siempre que no representen un peligro a la seguridad vial.</w:t>
      </w:r>
    </w:p>
    <w:p w14:paraId="7C6D7117" w14:textId="77777777" w:rsidR="00660578" w:rsidRDefault="00A517C2" w:rsidP="00C7419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Sección 3.-Se establece una Moratoria por un término de ciento ochenta (180) días, contados a partir de la aprobación de esta Resolución Conjunta. Durante este periodo, el DTOP, así como cualquier otra agencia de ley y orden, deberá abstenerse de emitir multas, remover estructuras, o forzar el desalojo de negocios ambulantes ubicados a orillas de carreteras estatales, siempre y cuando el comerciante cumpla con los siguientes requisitos:</w:t>
      </w:r>
    </w:p>
    <w:p w14:paraId="0D9873B9" w14:textId="77777777" w:rsidR="00660578" w:rsidRDefault="00A517C2" w:rsidP="00C74196">
      <w:pPr>
        <w:spacing w:line="480" w:lineRule="auto"/>
        <w:ind w:left="1440" w:hanging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(a)</w:t>
      </w:r>
      <w:r>
        <w:rPr>
          <w:rFonts w:ascii="Book Antiqua" w:hAnsi="Book Antiqua"/>
          <w:szCs w:val="24"/>
          <w:lang w:val="es-PR"/>
        </w:rPr>
        <w:tab/>
        <w:t>Demuestre poseer una patente municipal o permiso provisional expedido por el municipio correspondiente con fecha anterior a la aprobación de esta medida.</w:t>
      </w:r>
    </w:p>
    <w:p w14:paraId="2C9C3722" w14:textId="77777777" w:rsidR="00660578" w:rsidRDefault="00A517C2" w:rsidP="00C74196">
      <w:pPr>
        <w:spacing w:line="480" w:lineRule="auto"/>
        <w:ind w:left="1440" w:hanging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(b)</w:t>
      </w:r>
      <w:r>
        <w:rPr>
          <w:rFonts w:ascii="Book Antiqua" w:hAnsi="Book Antiqua"/>
          <w:szCs w:val="24"/>
          <w:lang w:val="es-PR"/>
        </w:rPr>
        <w:tab/>
        <w:t>La ubicación de la estructura no represente un peligro inminente y documentado que obstruya la visibilidad vehicular o amenace directamente la vida y seguridad de los transeúntes y conductores.</w:t>
      </w:r>
    </w:p>
    <w:p w14:paraId="7FFBCC4B" w14:textId="77777777" w:rsidR="00660578" w:rsidRDefault="00A517C2" w:rsidP="00C7419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4.-La moratoria dispuesta en la Sección 3 tiene como fin exclusivo proveer un espacio de tiempo para que los negocios puedan </w:t>
      </w:r>
      <w:proofErr w:type="spellStart"/>
      <w:r>
        <w:rPr>
          <w:rFonts w:ascii="Book Antiqua" w:hAnsi="Book Antiqua"/>
          <w:szCs w:val="24"/>
          <w:lang w:val="es-PR"/>
        </w:rPr>
        <w:t>transicionar</w:t>
      </w:r>
      <w:proofErr w:type="spellEnd"/>
      <w:r>
        <w:rPr>
          <w:rFonts w:ascii="Book Antiqua" w:hAnsi="Book Antiqua"/>
          <w:szCs w:val="24"/>
          <w:lang w:val="es-PR"/>
        </w:rPr>
        <w:t xml:space="preserve">, ser reubicados </w:t>
      </w:r>
      <w:r>
        <w:rPr>
          <w:rFonts w:ascii="Book Antiqua" w:hAnsi="Book Antiqua"/>
          <w:szCs w:val="24"/>
          <w:lang w:val="es-PR"/>
        </w:rPr>
        <w:lastRenderedPageBreak/>
        <w:t>o regularizados bajo el plan creado en la Sección 2, sin menoscabar su capacidad inmediata de generar ingresos.</w:t>
      </w:r>
    </w:p>
    <w:p w14:paraId="79D95B3E" w14:textId="77777777" w:rsidR="00660578" w:rsidRDefault="00A517C2" w:rsidP="00C7419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Sección 5.-El DTOP y el DDEC deberán someter a las Secretarías de ambos cuerpos de la Asamblea Legislativa un informe detallado sobre los avances del “Plan de Transición y Asistencia al Comerciante Ambulante” en un término de sesenta (60) días luego de aprobada esta Resolución Conjunta.</w:t>
      </w:r>
    </w:p>
    <w:p w14:paraId="228E5F6C" w14:textId="77777777" w:rsidR="00660578" w:rsidRDefault="00A517C2" w:rsidP="00C7419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Sección 6.-Esta Resolución Conjunta comenzará a regir inmediatamente después de su aprobación.</w:t>
      </w:r>
    </w:p>
    <w:sectPr w:rsidR="00660578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BCE65" w14:textId="77777777" w:rsidR="00DC00BD" w:rsidRDefault="00DC00BD">
      <w:r>
        <w:separator/>
      </w:r>
    </w:p>
  </w:endnote>
  <w:endnote w:type="continuationSeparator" w:id="0">
    <w:p w14:paraId="2BE1D514" w14:textId="77777777" w:rsidR="00DC00BD" w:rsidRDefault="00DC0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A470C" w14:textId="77777777" w:rsidR="00DC00BD" w:rsidRDefault="00DC00BD">
      <w:r>
        <w:separator/>
      </w:r>
    </w:p>
  </w:footnote>
  <w:footnote w:type="continuationSeparator" w:id="0">
    <w:p w14:paraId="469AF577" w14:textId="77777777" w:rsidR="00DC00BD" w:rsidRDefault="00DC0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DF12" w14:textId="77777777" w:rsidR="00D500B7" w:rsidRDefault="009B5E39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391B" w14:textId="77777777" w:rsidR="00D500B7" w:rsidRDefault="00D500B7">
    <w:pPr>
      <w:pStyle w:val="Encabezado"/>
      <w:jc w:val="center"/>
      <w:rPr>
        <w:rFonts w:ascii="Book Antiqua" w:hAnsi="Book Antiqua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837AE"/>
    <w:rsid w:val="0008580E"/>
    <w:rsid w:val="000B02E8"/>
    <w:rsid w:val="000D4EA4"/>
    <w:rsid w:val="000D5FD8"/>
    <w:rsid w:val="000F294D"/>
    <w:rsid w:val="000F6D0C"/>
    <w:rsid w:val="00117687"/>
    <w:rsid w:val="00117CF1"/>
    <w:rsid w:val="001341B3"/>
    <w:rsid w:val="00162236"/>
    <w:rsid w:val="00172E90"/>
    <w:rsid w:val="001738E8"/>
    <w:rsid w:val="00187C1A"/>
    <w:rsid w:val="00190D0E"/>
    <w:rsid w:val="00192A08"/>
    <w:rsid w:val="001C5D78"/>
    <w:rsid w:val="001D5452"/>
    <w:rsid w:val="001E3EF2"/>
    <w:rsid w:val="001E67FD"/>
    <w:rsid w:val="001F5565"/>
    <w:rsid w:val="001F7B36"/>
    <w:rsid w:val="00213027"/>
    <w:rsid w:val="00222686"/>
    <w:rsid w:val="002372D6"/>
    <w:rsid w:val="00265F1C"/>
    <w:rsid w:val="002755A4"/>
    <w:rsid w:val="002901E8"/>
    <w:rsid w:val="002967D1"/>
    <w:rsid w:val="002C0760"/>
    <w:rsid w:val="002C731B"/>
    <w:rsid w:val="002E54D6"/>
    <w:rsid w:val="002E6E00"/>
    <w:rsid w:val="00316D5C"/>
    <w:rsid w:val="00332A69"/>
    <w:rsid w:val="00332DB1"/>
    <w:rsid w:val="00333668"/>
    <w:rsid w:val="0033527B"/>
    <w:rsid w:val="003724FD"/>
    <w:rsid w:val="00374A16"/>
    <w:rsid w:val="00377579"/>
    <w:rsid w:val="0038034F"/>
    <w:rsid w:val="00381BB4"/>
    <w:rsid w:val="00382204"/>
    <w:rsid w:val="003920F4"/>
    <w:rsid w:val="00394B92"/>
    <w:rsid w:val="003A4CD5"/>
    <w:rsid w:val="003B1B37"/>
    <w:rsid w:val="003D1C66"/>
    <w:rsid w:val="003E154A"/>
    <w:rsid w:val="003E2B61"/>
    <w:rsid w:val="003E3074"/>
    <w:rsid w:val="003F1E33"/>
    <w:rsid w:val="003F771C"/>
    <w:rsid w:val="0040571D"/>
    <w:rsid w:val="004440CB"/>
    <w:rsid w:val="00450C11"/>
    <w:rsid w:val="00473422"/>
    <w:rsid w:val="00473CD3"/>
    <w:rsid w:val="004853A8"/>
    <w:rsid w:val="00486CB1"/>
    <w:rsid w:val="004A1D79"/>
    <w:rsid w:val="004A2D5E"/>
    <w:rsid w:val="004B141C"/>
    <w:rsid w:val="004C3733"/>
    <w:rsid w:val="004E0AF2"/>
    <w:rsid w:val="004F0848"/>
    <w:rsid w:val="004F6513"/>
    <w:rsid w:val="00510943"/>
    <w:rsid w:val="00531E0D"/>
    <w:rsid w:val="00542612"/>
    <w:rsid w:val="00543CB2"/>
    <w:rsid w:val="00547117"/>
    <w:rsid w:val="00560695"/>
    <w:rsid w:val="005653DE"/>
    <w:rsid w:val="00580588"/>
    <w:rsid w:val="005842F8"/>
    <w:rsid w:val="005A0445"/>
    <w:rsid w:val="005A2A11"/>
    <w:rsid w:val="005C52BF"/>
    <w:rsid w:val="005D6020"/>
    <w:rsid w:val="006468A9"/>
    <w:rsid w:val="00660578"/>
    <w:rsid w:val="00660704"/>
    <w:rsid w:val="00665139"/>
    <w:rsid w:val="00672C3F"/>
    <w:rsid w:val="0068219D"/>
    <w:rsid w:val="00686E92"/>
    <w:rsid w:val="0069334D"/>
    <w:rsid w:val="006A1EF0"/>
    <w:rsid w:val="006C617E"/>
    <w:rsid w:val="00707035"/>
    <w:rsid w:val="0070763D"/>
    <w:rsid w:val="00721932"/>
    <w:rsid w:val="007221A0"/>
    <w:rsid w:val="007257A2"/>
    <w:rsid w:val="00735DBC"/>
    <w:rsid w:val="007373D5"/>
    <w:rsid w:val="00740741"/>
    <w:rsid w:val="00743712"/>
    <w:rsid w:val="0074707F"/>
    <w:rsid w:val="0075415D"/>
    <w:rsid w:val="00754D36"/>
    <w:rsid w:val="00773E23"/>
    <w:rsid w:val="00776CC9"/>
    <w:rsid w:val="0077733D"/>
    <w:rsid w:val="0078082F"/>
    <w:rsid w:val="007A2CBA"/>
    <w:rsid w:val="007A3943"/>
    <w:rsid w:val="007D6CF1"/>
    <w:rsid w:val="007E035F"/>
    <w:rsid w:val="007F0DAF"/>
    <w:rsid w:val="007F6FF1"/>
    <w:rsid w:val="00802CFF"/>
    <w:rsid w:val="008243BA"/>
    <w:rsid w:val="00835E09"/>
    <w:rsid w:val="0085410B"/>
    <w:rsid w:val="00860610"/>
    <w:rsid w:val="00867FC5"/>
    <w:rsid w:val="0087199D"/>
    <w:rsid w:val="00874DFC"/>
    <w:rsid w:val="00877803"/>
    <w:rsid w:val="008A00E8"/>
    <w:rsid w:val="008B6928"/>
    <w:rsid w:val="008C6D7D"/>
    <w:rsid w:val="008D29EF"/>
    <w:rsid w:val="008E605C"/>
    <w:rsid w:val="00901C46"/>
    <w:rsid w:val="00902AA5"/>
    <w:rsid w:val="0090426C"/>
    <w:rsid w:val="009278E9"/>
    <w:rsid w:val="00943EE1"/>
    <w:rsid w:val="009565D6"/>
    <w:rsid w:val="00970CD6"/>
    <w:rsid w:val="009816B3"/>
    <w:rsid w:val="00983899"/>
    <w:rsid w:val="00985925"/>
    <w:rsid w:val="009905C7"/>
    <w:rsid w:val="009959C1"/>
    <w:rsid w:val="009A04E7"/>
    <w:rsid w:val="009B3FF1"/>
    <w:rsid w:val="009B5E39"/>
    <w:rsid w:val="009C3A71"/>
    <w:rsid w:val="009C5CC4"/>
    <w:rsid w:val="009D57E6"/>
    <w:rsid w:val="009E15A6"/>
    <w:rsid w:val="009E2241"/>
    <w:rsid w:val="009F6DDD"/>
    <w:rsid w:val="00A10B03"/>
    <w:rsid w:val="00A16669"/>
    <w:rsid w:val="00A3000E"/>
    <w:rsid w:val="00A368E5"/>
    <w:rsid w:val="00A43EFA"/>
    <w:rsid w:val="00A517C2"/>
    <w:rsid w:val="00A53316"/>
    <w:rsid w:val="00A72A3D"/>
    <w:rsid w:val="00A75D60"/>
    <w:rsid w:val="00A87231"/>
    <w:rsid w:val="00A9070D"/>
    <w:rsid w:val="00AA1212"/>
    <w:rsid w:val="00AB6BD9"/>
    <w:rsid w:val="00AC1C2F"/>
    <w:rsid w:val="00AC2DA6"/>
    <w:rsid w:val="00AC6F85"/>
    <w:rsid w:val="00B4145D"/>
    <w:rsid w:val="00B83364"/>
    <w:rsid w:val="00B97B80"/>
    <w:rsid w:val="00BA1C67"/>
    <w:rsid w:val="00BC26D6"/>
    <w:rsid w:val="00BC2FCC"/>
    <w:rsid w:val="00BC3856"/>
    <w:rsid w:val="00BC5847"/>
    <w:rsid w:val="00BC5D7F"/>
    <w:rsid w:val="00BC6657"/>
    <w:rsid w:val="00BD0EE1"/>
    <w:rsid w:val="00BD29E1"/>
    <w:rsid w:val="00BD43BA"/>
    <w:rsid w:val="00BF4B16"/>
    <w:rsid w:val="00C24246"/>
    <w:rsid w:val="00C34CF5"/>
    <w:rsid w:val="00C47321"/>
    <w:rsid w:val="00C55921"/>
    <w:rsid w:val="00C74196"/>
    <w:rsid w:val="00CA6677"/>
    <w:rsid w:val="00CB18A7"/>
    <w:rsid w:val="00CB22F2"/>
    <w:rsid w:val="00CD00DF"/>
    <w:rsid w:val="00CE3DBD"/>
    <w:rsid w:val="00CF50DF"/>
    <w:rsid w:val="00D0034A"/>
    <w:rsid w:val="00D0310F"/>
    <w:rsid w:val="00D039E4"/>
    <w:rsid w:val="00D10D23"/>
    <w:rsid w:val="00D2738A"/>
    <w:rsid w:val="00D27BF1"/>
    <w:rsid w:val="00D33AAB"/>
    <w:rsid w:val="00D34C21"/>
    <w:rsid w:val="00D412B1"/>
    <w:rsid w:val="00D47681"/>
    <w:rsid w:val="00D500B7"/>
    <w:rsid w:val="00D57544"/>
    <w:rsid w:val="00D613DC"/>
    <w:rsid w:val="00D71038"/>
    <w:rsid w:val="00D812B9"/>
    <w:rsid w:val="00D83769"/>
    <w:rsid w:val="00D95C43"/>
    <w:rsid w:val="00DB36D3"/>
    <w:rsid w:val="00DB63C4"/>
    <w:rsid w:val="00DB6D76"/>
    <w:rsid w:val="00DC00BD"/>
    <w:rsid w:val="00DC2DF7"/>
    <w:rsid w:val="00DD61CD"/>
    <w:rsid w:val="00DD6356"/>
    <w:rsid w:val="00DE3C91"/>
    <w:rsid w:val="00DE546A"/>
    <w:rsid w:val="00DF1BAC"/>
    <w:rsid w:val="00E03084"/>
    <w:rsid w:val="00E5125A"/>
    <w:rsid w:val="00E60B3A"/>
    <w:rsid w:val="00E805DA"/>
    <w:rsid w:val="00EB436E"/>
    <w:rsid w:val="00EC4274"/>
    <w:rsid w:val="00EF44A5"/>
    <w:rsid w:val="00F11759"/>
    <w:rsid w:val="00F3646E"/>
    <w:rsid w:val="00F46137"/>
    <w:rsid w:val="00F55C58"/>
    <w:rsid w:val="00F575F5"/>
    <w:rsid w:val="00F64335"/>
    <w:rsid w:val="00F666FA"/>
    <w:rsid w:val="00F818CA"/>
    <w:rsid w:val="00F90A97"/>
    <w:rsid w:val="00F91A27"/>
    <w:rsid w:val="00F97895"/>
    <w:rsid w:val="00FA35F7"/>
    <w:rsid w:val="00FA3A4C"/>
    <w:rsid w:val="00FA7E24"/>
    <w:rsid w:val="00FC47E7"/>
    <w:rsid w:val="00FC5E9B"/>
    <w:rsid w:val="00FE0024"/>
    <w:rsid w:val="12BD714C"/>
    <w:rsid w:val="2F806FFC"/>
    <w:rsid w:val="7EC1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0E3A30E"/>
  <w15:docId w15:val="{E4550A96-9330-4BD2-88BE-0B9DAE06F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uiPriority="0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Pr>
      <w:rFonts w:ascii="Courier New" w:hAnsi="Courier New" w:cs="Courier New"/>
      <w:sz w:val="20"/>
    </w:rPr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Nmerodelnea">
    <w:name w:val="line number"/>
    <w:basedOn w:val="Fuentedeprrafopredeter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styleId="Nmerodepgina">
    <w:name w:val="pag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TextodegloboCar">
    <w:name w:val="Texto de globo Ca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HTMLconformatoprevioCar">
    <w:name w:val="HTML con formato previo Car"/>
    <w:link w:val="HTMLconformatoprevio"/>
    <w:uiPriority w:val="99"/>
    <w:semiHidden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">
    <w:uiPriority w:val="99"/>
    <w:semiHidden/>
    <w:unhideWhenUsed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6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21CB714757E245B50DB7FD6D339E05" ma:contentTypeVersion="9" ma:contentTypeDescription="Create a new document." ma:contentTypeScope="" ma:versionID="2dcee14acb34be2be036b4be4657b6c3">
  <xsd:schema xmlns:xsd="http://www.w3.org/2001/XMLSchema" xmlns:xs="http://www.w3.org/2001/XMLSchema" xmlns:p="http://schemas.microsoft.com/office/2006/metadata/properties" xmlns:ns3="7cc5aa8f-3ac6-41e0-8b8a-6db49defa7b2" targetNamespace="http://schemas.microsoft.com/office/2006/metadata/properties" ma:root="true" ma:fieldsID="d055dc22691f7bdf8330981e6eb5848f" ns3:_="">
    <xsd:import namespace="7cc5aa8f-3ac6-41e0-8b8a-6db49defa7b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c5aa8f-3ac6-41e0-8b8a-6db49defa7b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01DD57-0251-4ABD-BF0A-28C3F720B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c5aa8f-3ac6-41e0-8b8a-6db49defa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15535A-F528-4F09-9964-EAA3925D8C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2B9A50-1690-4196-A7B6-AFC915BF8DD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36</TotalTime>
  <Pages>4</Pages>
  <Words>872</Words>
  <Characters>4973</Characters>
  <Application>Microsoft Office Word</Application>
  <DocSecurity>0</DocSecurity>
  <Lines>41</Lines>
  <Paragraphs>11</Paragraphs>
  <ScaleCrop>false</ScaleCrop>
  <Company> 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TReyes</dc:creator>
  <cp:lastModifiedBy>Rocío Alayón Morell</cp:lastModifiedBy>
  <cp:revision>4</cp:revision>
  <cp:lastPrinted>2026-06-04T19:59:00Z</cp:lastPrinted>
  <dcterms:created xsi:type="dcterms:W3CDTF">2026-06-04T20:27:00Z</dcterms:created>
  <dcterms:modified xsi:type="dcterms:W3CDTF">2026-06-05T18:56:00Z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1033-12.1.0.26372</vt:lpwstr>
  </property>
  <property fmtid="{D5CDD505-2E9C-101B-9397-08002B2CF9AE}" pid="3" name="ICV">
    <vt:lpwstr>844F4F5C2E9549CDBB4ACE1E710D7606_13</vt:lpwstr>
  </property>
  <property fmtid="{D5CDD505-2E9C-101B-9397-08002B2CF9AE}" pid="4" name="KSOTemplateDocerSaveRecord">
    <vt:lpwstr>eyJoZGlkIjoiOGY2NzVmMjIyMWRkZmJhMTdiMzA1N2E2MzljZDE4ZjAifQ==</vt:lpwstr>
  </property>
  <property fmtid="{D5CDD505-2E9C-101B-9397-08002B2CF9AE}" pid="5" name="ContentTypeId">
    <vt:lpwstr>0x0101007021CB714757E245B50DB7FD6D339E05</vt:lpwstr>
  </property>
</Properties>
</file>