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FD003" w14:textId="78FC41BD" w:rsidR="00BF4815" w:rsidRDefault="005930C3" w:rsidP="00BF4815">
      <w:pPr>
        <w:pStyle w:val="Title"/>
        <w:rPr>
          <w:rFonts w:ascii="Book Antiqua" w:hAnsi="Book Antiqua"/>
          <w:b w:val="0"/>
          <w:sz w:val="28"/>
          <w:szCs w:val="28"/>
        </w:rPr>
      </w:pPr>
      <w:r>
        <w:rPr>
          <w:rFonts w:ascii="Book Antiqua" w:hAnsi="Book Antiqua"/>
          <w:b w:val="0"/>
          <w:sz w:val="28"/>
          <w:szCs w:val="28"/>
        </w:rPr>
        <w:t xml:space="preserve">GOBIERNO DE </w:t>
      </w:r>
      <w:r w:rsidR="00BF4815" w:rsidRPr="00C40F63">
        <w:rPr>
          <w:rFonts w:ascii="Book Antiqua" w:hAnsi="Book Antiqua"/>
          <w:b w:val="0"/>
          <w:sz w:val="28"/>
          <w:szCs w:val="28"/>
        </w:rPr>
        <w:t>PUERTO RICO</w:t>
      </w:r>
    </w:p>
    <w:p w14:paraId="51DBDA88" w14:textId="77777777" w:rsidR="00BF4815" w:rsidRDefault="00BF4815" w:rsidP="00BF4815">
      <w:pPr>
        <w:pStyle w:val="Title"/>
        <w:rPr>
          <w:rFonts w:ascii="Book Antiqua" w:hAnsi="Book Antiqua"/>
          <w:b w:val="0"/>
          <w:sz w:val="28"/>
          <w:szCs w:val="28"/>
        </w:rPr>
      </w:pPr>
    </w:p>
    <w:p w14:paraId="7A5B6C45" w14:textId="77777777" w:rsidR="00BF4815" w:rsidRPr="00C40F63" w:rsidRDefault="00BF4815" w:rsidP="00BF4815">
      <w:pPr>
        <w:pStyle w:val="Title"/>
        <w:rPr>
          <w:rFonts w:ascii="Book Antiqua" w:hAnsi="Book Antiqua"/>
          <w:b w:val="0"/>
          <w:sz w:val="28"/>
          <w:szCs w:val="28"/>
        </w:rPr>
      </w:pPr>
    </w:p>
    <w:p w14:paraId="20557D3E" w14:textId="206765DF" w:rsidR="00BF4815" w:rsidRPr="00ED5788" w:rsidRDefault="005930C3" w:rsidP="00BF4815">
      <w:pPr>
        <w:pStyle w:val="Title2"/>
        <w:tabs>
          <w:tab w:val="clear" w:pos="648"/>
          <w:tab w:val="left" w:pos="600"/>
        </w:tabs>
        <w:rPr>
          <w:rFonts w:ascii="Book Antiqua" w:hAnsi="Book Antiqua"/>
          <w:szCs w:val="24"/>
          <w:lang w:val="es-ES_tradnl"/>
        </w:rPr>
      </w:pPr>
      <w:r>
        <w:rPr>
          <w:rFonts w:ascii="Book Antiqua" w:hAnsi="Book Antiqua"/>
          <w:szCs w:val="24"/>
          <w:lang w:val="es-ES_tradnl"/>
        </w:rPr>
        <w:t>2</w:t>
      </w:r>
      <w:r w:rsidR="00AA0248">
        <w:rPr>
          <w:rFonts w:ascii="Book Antiqua" w:hAnsi="Book Antiqua"/>
          <w:szCs w:val="24"/>
          <w:lang w:val="es-ES_tradnl"/>
        </w:rPr>
        <w:t xml:space="preserve">0ma. </w:t>
      </w:r>
      <w:r w:rsidR="00BF4815" w:rsidRPr="00ED5788">
        <w:rPr>
          <w:rFonts w:ascii="Book Antiqua" w:hAnsi="Book Antiqua"/>
          <w:szCs w:val="24"/>
          <w:lang w:val="es-ES_tradnl"/>
        </w:rPr>
        <w:t>Asamblea</w:t>
      </w:r>
      <w:r w:rsidR="00BF4815" w:rsidRPr="00ED5788">
        <w:rPr>
          <w:rFonts w:ascii="Book Antiqua" w:hAnsi="Book Antiqua"/>
          <w:szCs w:val="24"/>
          <w:lang w:val="es-ES_tradnl"/>
        </w:rPr>
        <w:tab/>
      </w:r>
      <w:r w:rsidR="00D72801">
        <w:rPr>
          <w:rFonts w:ascii="Book Antiqua" w:hAnsi="Book Antiqua"/>
          <w:szCs w:val="24"/>
          <w:lang w:val="es-ES_tradnl"/>
        </w:rPr>
        <w:t>3</w:t>
      </w:r>
      <w:r w:rsidR="00AA0248">
        <w:rPr>
          <w:rFonts w:ascii="Book Antiqua" w:hAnsi="Book Antiqua"/>
          <w:szCs w:val="24"/>
          <w:lang w:val="es-ES_tradnl"/>
        </w:rPr>
        <w:t>ra.</w:t>
      </w:r>
      <w:r w:rsidR="00BF4815" w:rsidRPr="00ED5788">
        <w:rPr>
          <w:rFonts w:ascii="Book Antiqua" w:hAnsi="Book Antiqua"/>
          <w:szCs w:val="24"/>
          <w:lang w:val="es-ES_tradnl"/>
        </w:rPr>
        <w:tab/>
        <w:t>Sesión</w:t>
      </w:r>
    </w:p>
    <w:p w14:paraId="0AB275D7" w14:textId="77777777" w:rsidR="00BF4815" w:rsidRPr="00ED5788" w:rsidRDefault="00BF4815" w:rsidP="00BF4815">
      <w:pPr>
        <w:pStyle w:val="Title2"/>
        <w:tabs>
          <w:tab w:val="clear" w:pos="648"/>
          <w:tab w:val="left" w:pos="600"/>
        </w:tabs>
        <w:rPr>
          <w:rFonts w:ascii="Book Antiqua" w:hAnsi="Book Antiqua"/>
          <w:szCs w:val="24"/>
          <w:lang w:val="es-ES_tradnl"/>
        </w:rPr>
      </w:pPr>
      <w:r w:rsidRPr="00ED5788">
        <w:rPr>
          <w:rFonts w:ascii="Book Antiqua" w:hAnsi="Book Antiqua"/>
          <w:szCs w:val="24"/>
          <w:lang w:val="es-ES_tradnl"/>
        </w:rPr>
        <w:tab/>
        <w:t>Legislativa</w:t>
      </w:r>
      <w:r w:rsidRPr="00ED5788">
        <w:rPr>
          <w:rFonts w:ascii="Book Antiqua" w:hAnsi="Book Antiqua"/>
          <w:szCs w:val="24"/>
          <w:lang w:val="es-ES_tradnl"/>
        </w:rPr>
        <w:tab/>
      </w:r>
      <w:r w:rsidRPr="00ED5788">
        <w:rPr>
          <w:rFonts w:ascii="Book Antiqua" w:hAnsi="Book Antiqua"/>
          <w:szCs w:val="24"/>
          <w:lang w:val="es-ES_tradnl"/>
        </w:rPr>
        <w:tab/>
        <w:t>Ordinaria</w:t>
      </w:r>
    </w:p>
    <w:p w14:paraId="7B5F6310" w14:textId="77777777" w:rsidR="00BF4815" w:rsidRPr="00ED5788" w:rsidRDefault="00BF4815" w:rsidP="00BF4815">
      <w:pPr>
        <w:jc w:val="center"/>
        <w:rPr>
          <w:rFonts w:ascii="Book Antiqua" w:hAnsi="Book Antiqua"/>
          <w:b/>
          <w:sz w:val="24"/>
          <w:szCs w:val="24"/>
          <w:lang w:val="es-ES_tradnl"/>
        </w:rPr>
      </w:pPr>
    </w:p>
    <w:p w14:paraId="1568523A" w14:textId="77777777" w:rsidR="00BF4815" w:rsidRDefault="00BF4815" w:rsidP="00BF4815">
      <w:pPr>
        <w:jc w:val="center"/>
        <w:rPr>
          <w:rFonts w:ascii="Book Antiqua" w:hAnsi="Book Antiqua"/>
          <w:b/>
          <w:szCs w:val="28"/>
          <w:lang w:val="es-ES_tradnl"/>
        </w:rPr>
      </w:pPr>
      <w:r>
        <w:rPr>
          <w:rFonts w:ascii="Book Antiqua" w:hAnsi="Book Antiqua"/>
          <w:b/>
          <w:szCs w:val="28"/>
          <w:lang w:val="es-ES_tradnl"/>
        </w:rPr>
        <w:t>CÁMARA DE REPRESENTANTES</w:t>
      </w:r>
    </w:p>
    <w:p w14:paraId="5E2746D2" w14:textId="77777777" w:rsidR="00BF4815" w:rsidRPr="00A959E7" w:rsidRDefault="00BF4815" w:rsidP="00BF4815">
      <w:pPr>
        <w:jc w:val="center"/>
        <w:rPr>
          <w:rFonts w:ascii="Book Antiqua" w:hAnsi="Book Antiqua"/>
          <w:b/>
          <w:sz w:val="22"/>
          <w:szCs w:val="28"/>
          <w:lang w:val="es-ES_tradnl"/>
        </w:rPr>
      </w:pPr>
    </w:p>
    <w:p w14:paraId="3787795F" w14:textId="33FB0B15" w:rsidR="00BF4815" w:rsidRDefault="00A06183" w:rsidP="00BF4815">
      <w:pPr>
        <w:jc w:val="center"/>
        <w:rPr>
          <w:rFonts w:ascii="Book Antiqua" w:hAnsi="Book Antiqua"/>
          <w:b/>
          <w:sz w:val="48"/>
          <w:szCs w:val="48"/>
        </w:rPr>
      </w:pPr>
      <w:r>
        <w:rPr>
          <w:rFonts w:ascii="Book Antiqua" w:hAnsi="Book Antiqua"/>
          <w:b/>
          <w:sz w:val="48"/>
          <w:szCs w:val="48"/>
        </w:rPr>
        <w:t xml:space="preserve">P. </w:t>
      </w:r>
      <w:r w:rsidR="00BF4815" w:rsidRPr="00AD69A6">
        <w:rPr>
          <w:rFonts w:ascii="Book Antiqua" w:hAnsi="Book Antiqua"/>
          <w:b/>
          <w:sz w:val="48"/>
          <w:szCs w:val="48"/>
        </w:rPr>
        <w:t>de la C.</w:t>
      </w:r>
      <w:r w:rsidR="00F14781">
        <w:rPr>
          <w:rFonts w:ascii="Book Antiqua" w:hAnsi="Book Antiqua"/>
          <w:b/>
          <w:sz w:val="48"/>
          <w:szCs w:val="48"/>
        </w:rPr>
        <w:t xml:space="preserve"> </w:t>
      </w:r>
      <w:r>
        <w:rPr>
          <w:rFonts w:ascii="Book Antiqua" w:hAnsi="Book Antiqua"/>
          <w:b/>
          <w:sz w:val="48"/>
          <w:szCs w:val="48"/>
        </w:rPr>
        <w:t>12</w:t>
      </w:r>
      <w:r w:rsidR="00F07111">
        <w:rPr>
          <w:rFonts w:ascii="Book Antiqua" w:hAnsi="Book Antiqua"/>
          <w:b/>
          <w:sz w:val="48"/>
          <w:szCs w:val="48"/>
        </w:rPr>
        <w:t>98</w:t>
      </w:r>
    </w:p>
    <w:p w14:paraId="63480607" w14:textId="77777777" w:rsidR="00BF4815" w:rsidRPr="00A959E7" w:rsidRDefault="00BF4815" w:rsidP="00BF4815">
      <w:pPr>
        <w:jc w:val="center"/>
        <w:rPr>
          <w:rFonts w:ascii="Book Antiqua" w:hAnsi="Book Antiqua"/>
          <w:b/>
          <w:sz w:val="22"/>
          <w:szCs w:val="28"/>
          <w:lang w:val="es-ES_tradnl"/>
        </w:rPr>
      </w:pPr>
      <w:r w:rsidRPr="00AD69A6">
        <w:rPr>
          <w:rFonts w:ascii="Book Antiqua" w:hAnsi="Book Antiqua"/>
          <w:b/>
          <w:sz w:val="48"/>
          <w:szCs w:val="48"/>
        </w:rPr>
        <w:t xml:space="preserve">Informe </w:t>
      </w:r>
      <w:r>
        <w:rPr>
          <w:rFonts w:ascii="Book Antiqua" w:hAnsi="Book Antiqua"/>
          <w:b/>
          <w:sz w:val="48"/>
          <w:szCs w:val="48"/>
        </w:rPr>
        <w:t>Positivo</w:t>
      </w:r>
    </w:p>
    <w:p w14:paraId="5D1C368C" w14:textId="77777777" w:rsidR="00BF4815" w:rsidRPr="00A959E7" w:rsidRDefault="00BF4815" w:rsidP="00BF4815">
      <w:pPr>
        <w:rPr>
          <w:sz w:val="22"/>
          <w:lang w:val="es-ES_tradnl"/>
        </w:rPr>
      </w:pPr>
    </w:p>
    <w:p w14:paraId="1E658A4E" w14:textId="45AB2C59" w:rsidR="00BF4815" w:rsidRPr="00ED5788" w:rsidRDefault="00863D89" w:rsidP="00BF4815">
      <w:pPr>
        <w:jc w:val="center"/>
        <w:rPr>
          <w:rFonts w:ascii="Book Antiqua" w:hAnsi="Book Antiqua"/>
          <w:bCs/>
          <w:sz w:val="24"/>
          <w:szCs w:val="24"/>
          <w:lang w:val="es-ES_tradnl"/>
        </w:rPr>
      </w:pPr>
      <w:r>
        <w:rPr>
          <w:rFonts w:ascii="Book Antiqua" w:hAnsi="Book Antiqua"/>
          <w:bCs/>
          <w:sz w:val="24"/>
          <w:szCs w:val="24"/>
          <w:lang w:val="es-ES_tradnl"/>
        </w:rPr>
        <w:t>23</w:t>
      </w:r>
      <w:r w:rsidR="00BF4815">
        <w:rPr>
          <w:rFonts w:ascii="Book Antiqua" w:hAnsi="Book Antiqua"/>
          <w:bCs/>
          <w:sz w:val="24"/>
          <w:szCs w:val="24"/>
          <w:lang w:val="es-ES_tradnl"/>
        </w:rPr>
        <w:t xml:space="preserve"> de junio de 202</w:t>
      </w:r>
      <w:r w:rsidR="005930C3">
        <w:rPr>
          <w:rFonts w:ascii="Book Antiqua" w:hAnsi="Book Antiqua"/>
          <w:bCs/>
          <w:sz w:val="24"/>
          <w:szCs w:val="24"/>
          <w:lang w:val="es-ES_tradnl"/>
        </w:rPr>
        <w:t>5</w:t>
      </w:r>
    </w:p>
    <w:p w14:paraId="387785F6" w14:textId="77777777" w:rsidR="00BF4815" w:rsidRPr="00ED5788" w:rsidRDefault="00BF4815" w:rsidP="00BF4815">
      <w:pPr>
        <w:rPr>
          <w:rFonts w:ascii="Book Antiqua" w:hAnsi="Book Antiqua"/>
          <w:b/>
          <w:bCs/>
          <w:sz w:val="24"/>
          <w:szCs w:val="24"/>
          <w:lang w:val="es-ES_tradnl"/>
        </w:rPr>
      </w:pPr>
    </w:p>
    <w:p w14:paraId="5C5B0DF9" w14:textId="77777777" w:rsidR="00BF4815" w:rsidRDefault="00BF4815" w:rsidP="00BF4815">
      <w:pPr>
        <w:rPr>
          <w:rFonts w:ascii="Book Antiqua" w:hAnsi="Book Antiqua"/>
          <w:b/>
          <w:bCs/>
          <w:sz w:val="24"/>
          <w:szCs w:val="24"/>
          <w:lang w:val="es-ES_tradnl"/>
        </w:rPr>
      </w:pPr>
      <w:r>
        <w:rPr>
          <w:rFonts w:ascii="Book Antiqua" w:hAnsi="Book Antiqua"/>
          <w:b/>
          <w:bCs/>
          <w:sz w:val="24"/>
          <w:szCs w:val="24"/>
          <w:lang w:val="es-ES_tradnl"/>
        </w:rPr>
        <w:t xml:space="preserve"> A LA CÁMARA DE REPRESENTANTES </w:t>
      </w:r>
      <w:r w:rsidRPr="00ED5788">
        <w:rPr>
          <w:rFonts w:ascii="Book Antiqua" w:hAnsi="Book Antiqua"/>
          <w:b/>
          <w:bCs/>
          <w:sz w:val="24"/>
          <w:szCs w:val="24"/>
          <w:lang w:val="es-ES_tradnl"/>
        </w:rPr>
        <w:t xml:space="preserve">DE PUERTO RICO: </w:t>
      </w:r>
    </w:p>
    <w:p w14:paraId="2C3400F8" w14:textId="77777777" w:rsidR="00BF4815" w:rsidRDefault="00BF4815" w:rsidP="00BF4815">
      <w:pPr>
        <w:rPr>
          <w:rFonts w:ascii="Book Antiqua" w:hAnsi="Book Antiqua"/>
          <w:b/>
          <w:bCs/>
          <w:sz w:val="24"/>
          <w:szCs w:val="24"/>
          <w:lang w:val="es-ES_tradnl"/>
        </w:rPr>
      </w:pPr>
    </w:p>
    <w:p w14:paraId="766CA1BA" w14:textId="426F332E" w:rsidR="00461DC5" w:rsidRPr="00700566" w:rsidRDefault="00BF4815" w:rsidP="00D22CE3">
      <w:pPr>
        <w:rPr>
          <w:rFonts w:ascii="Book Antiqua" w:eastAsia="Book Antiqua" w:hAnsi="Book Antiqua" w:cs="Book Antiqua"/>
        </w:rPr>
      </w:pPr>
      <w:r w:rsidRPr="00863370">
        <w:rPr>
          <w:rFonts w:ascii="Book Antiqua" w:hAnsi="Book Antiqua"/>
          <w:sz w:val="24"/>
          <w:szCs w:val="24"/>
        </w:rPr>
        <w:t>La Comisión de Hacienda</w:t>
      </w:r>
      <w:r w:rsidR="00722B6E">
        <w:rPr>
          <w:rFonts w:ascii="Book Antiqua" w:hAnsi="Book Antiqua"/>
          <w:sz w:val="24"/>
          <w:szCs w:val="24"/>
        </w:rPr>
        <w:t xml:space="preserve"> </w:t>
      </w:r>
      <w:r w:rsidRPr="00863370">
        <w:rPr>
          <w:rFonts w:ascii="Book Antiqua" w:hAnsi="Book Antiqua"/>
          <w:sz w:val="24"/>
          <w:szCs w:val="24"/>
        </w:rPr>
        <w:t>de la Cámara de Representantes</w:t>
      </w:r>
      <w:r>
        <w:rPr>
          <w:rFonts w:ascii="Book Antiqua" w:hAnsi="Book Antiqua"/>
          <w:sz w:val="24"/>
          <w:szCs w:val="24"/>
        </w:rPr>
        <w:t xml:space="preserve"> del </w:t>
      </w:r>
      <w:r w:rsidR="00722B6E">
        <w:rPr>
          <w:rFonts w:ascii="Book Antiqua" w:hAnsi="Book Antiqua"/>
          <w:sz w:val="24"/>
          <w:szCs w:val="24"/>
        </w:rPr>
        <w:t xml:space="preserve">Gobierno de </w:t>
      </w:r>
      <w:r w:rsidRPr="00863370">
        <w:rPr>
          <w:rFonts w:ascii="Book Antiqua" w:hAnsi="Book Antiqua"/>
          <w:sz w:val="24"/>
          <w:szCs w:val="24"/>
        </w:rPr>
        <w:t>Puerto Rico, tiene el honor de recomendar a este Honorable Cuerpo la aprobación de</w:t>
      </w:r>
      <w:r w:rsidR="00A06183">
        <w:rPr>
          <w:rFonts w:ascii="Book Antiqua" w:hAnsi="Book Antiqua"/>
          <w:sz w:val="24"/>
          <w:szCs w:val="24"/>
        </w:rPr>
        <w:t xml:space="preserve">l Proyecto de la </w:t>
      </w:r>
      <w:r w:rsidR="00F14781">
        <w:rPr>
          <w:rFonts w:ascii="Book Antiqua" w:hAnsi="Book Antiqua"/>
          <w:sz w:val="24"/>
          <w:szCs w:val="24"/>
          <w:lang w:val="es-ES_tradnl"/>
        </w:rPr>
        <w:t xml:space="preserve">Cámara </w:t>
      </w:r>
      <w:r w:rsidR="00A06183">
        <w:rPr>
          <w:rFonts w:ascii="Book Antiqua" w:hAnsi="Book Antiqua"/>
          <w:sz w:val="24"/>
          <w:szCs w:val="24"/>
          <w:lang w:val="es-ES_tradnl"/>
        </w:rPr>
        <w:t>12</w:t>
      </w:r>
      <w:r w:rsidR="00F07111">
        <w:rPr>
          <w:rFonts w:ascii="Book Antiqua" w:hAnsi="Book Antiqua"/>
          <w:sz w:val="24"/>
          <w:szCs w:val="24"/>
          <w:lang w:val="es-ES_tradnl"/>
        </w:rPr>
        <w:t>98</w:t>
      </w:r>
      <w:r w:rsidR="0030331D">
        <w:rPr>
          <w:rFonts w:ascii="Book Antiqua" w:hAnsi="Book Antiqua"/>
          <w:sz w:val="24"/>
          <w:szCs w:val="24"/>
          <w:lang w:val="es-ES_tradnl"/>
        </w:rPr>
        <w:t xml:space="preserve"> sin enmiendas</w:t>
      </w:r>
      <w:r w:rsidR="0004572D" w:rsidRPr="0004572D">
        <w:rPr>
          <w:rFonts w:ascii="Book Antiqua" w:hAnsi="Book Antiqua"/>
          <w:sz w:val="24"/>
          <w:szCs w:val="24"/>
        </w:rPr>
        <w:t>.</w:t>
      </w:r>
      <w:r w:rsidR="00461DC5">
        <w:rPr>
          <w:rFonts w:ascii="Book Antiqua" w:hAnsi="Book Antiqua"/>
          <w:sz w:val="24"/>
          <w:szCs w:val="24"/>
        </w:rPr>
        <w:t xml:space="preserve"> </w:t>
      </w:r>
      <w:r w:rsidR="00461DC5" w:rsidRPr="00700566">
        <w:rPr>
          <w:rFonts w:ascii="Book Antiqua" w:eastAsia="Book Antiqua" w:hAnsi="Book Antiqua" w:cs="Book Antiqua"/>
        </w:rPr>
        <w:t xml:space="preserve"> </w:t>
      </w:r>
    </w:p>
    <w:p w14:paraId="0000EC41" w14:textId="77777777" w:rsidR="00BF4815" w:rsidRPr="00863370" w:rsidRDefault="00BF4815" w:rsidP="00BF4815">
      <w:pPr>
        <w:rPr>
          <w:rFonts w:ascii="Book Antiqua" w:hAnsi="Book Antiqua"/>
          <w:sz w:val="24"/>
          <w:szCs w:val="24"/>
        </w:rPr>
      </w:pPr>
    </w:p>
    <w:p w14:paraId="3E741C61" w14:textId="77777777" w:rsidR="00BF4815" w:rsidRDefault="00BF4815" w:rsidP="00BF4815">
      <w:pPr>
        <w:pStyle w:val="BodyText"/>
        <w:spacing w:line="240" w:lineRule="auto"/>
        <w:jc w:val="center"/>
        <w:outlineLvl w:val="0"/>
        <w:rPr>
          <w:rFonts w:ascii="Book Antiqua" w:hAnsi="Book Antiqua"/>
          <w:b/>
          <w:bCs/>
        </w:rPr>
      </w:pPr>
      <w:r w:rsidRPr="00736567">
        <w:rPr>
          <w:rFonts w:ascii="Book Antiqua" w:hAnsi="Book Antiqua"/>
          <w:b/>
          <w:bCs/>
          <w:szCs w:val="24"/>
        </w:rPr>
        <w:t xml:space="preserve">ALCANCE DE </w:t>
      </w:r>
      <w:r w:rsidRPr="00DE5E3D">
        <w:rPr>
          <w:rFonts w:ascii="Book Antiqua" w:hAnsi="Book Antiqua"/>
          <w:b/>
          <w:bCs/>
        </w:rPr>
        <w:t>LA</w:t>
      </w:r>
      <w:r>
        <w:rPr>
          <w:rFonts w:ascii="Book Antiqua" w:hAnsi="Book Antiqua"/>
          <w:b/>
          <w:bCs/>
        </w:rPr>
        <w:t>S MEDIDAS</w:t>
      </w:r>
    </w:p>
    <w:p w14:paraId="2C661CCE" w14:textId="77777777" w:rsidR="00024EB2" w:rsidRDefault="00024EB2" w:rsidP="00BF4815">
      <w:pPr>
        <w:pStyle w:val="BodyText"/>
        <w:spacing w:line="240" w:lineRule="auto"/>
        <w:jc w:val="center"/>
        <w:outlineLvl w:val="0"/>
        <w:rPr>
          <w:rFonts w:ascii="Book Antiqua" w:hAnsi="Book Antiqua"/>
          <w:b/>
          <w:bCs/>
          <w:szCs w:val="24"/>
        </w:rPr>
      </w:pPr>
    </w:p>
    <w:p w14:paraId="3CA63B9A" w14:textId="77777777" w:rsidR="00F07111" w:rsidRPr="00F07111" w:rsidRDefault="0099575B" w:rsidP="00F07111">
      <w:pPr>
        <w:rPr>
          <w:rFonts w:ascii="Book Antiqua" w:hAnsi="Book Antiqua"/>
          <w:bCs/>
          <w:sz w:val="24"/>
          <w:szCs w:val="24"/>
          <w:lang w:val="es-PR"/>
        </w:rPr>
      </w:pPr>
      <w:r>
        <w:rPr>
          <w:rFonts w:ascii="Book Antiqua" w:hAnsi="Book Antiqua"/>
          <w:sz w:val="24"/>
          <w:szCs w:val="24"/>
        </w:rPr>
        <w:t xml:space="preserve">El Proyecto de la </w:t>
      </w:r>
      <w:r w:rsidR="00BF4815" w:rsidRPr="00175BFE">
        <w:rPr>
          <w:rFonts w:ascii="Book Antiqua" w:hAnsi="Book Antiqua"/>
          <w:sz w:val="24"/>
          <w:szCs w:val="24"/>
        </w:rPr>
        <w:t>Cámara</w:t>
      </w:r>
      <w:r w:rsidR="002970C8" w:rsidRPr="00175BFE">
        <w:rPr>
          <w:rFonts w:ascii="Book Antiqua" w:hAnsi="Book Antiqua"/>
          <w:sz w:val="24"/>
          <w:szCs w:val="24"/>
        </w:rPr>
        <w:t xml:space="preserve"> Número</w:t>
      </w:r>
      <w:r w:rsidR="00F14781">
        <w:rPr>
          <w:rFonts w:ascii="Book Antiqua" w:hAnsi="Book Antiqua"/>
          <w:sz w:val="24"/>
          <w:szCs w:val="24"/>
        </w:rPr>
        <w:t xml:space="preserve"> </w:t>
      </w:r>
      <w:r>
        <w:rPr>
          <w:rFonts w:ascii="Book Antiqua" w:hAnsi="Book Antiqua"/>
          <w:sz w:val="24"/>
          <w:szCs w:val="24"/>
        </w:rPr>
        <w:t>12</w:t>
      </w:r>
      <w:r w:rsidR="00F07111">
        <w:rPr>
          <w:rFonts w:ascii="Book Antiqua" w:hAnsi="Book Antiqua"/>
          <w:sz w:val="24"/>
          <w:szCs w:val="24"/>
        </w:rPr>
        <w:t>98</w:t>
      </w:r>
      <w:r w:rsidR="00BF4815" w:rsidRPr="00175BFE">
        <w:rPr>
          <w:rFonts w:ascii="Book Antiqua" w:hAnsi="Book Antiqua"/>
          <w:sz w:val="24"/>
          <w:szCs w:val="24"/>
        </w:rPr>
        <w:t xml:space="preserve"> tiene el propósito</w:t>
      </w:r>
      <w:r>
        <w:rPr>
          <w:rFonts w:ascii="Book Antiqua" w:hAnsi="Book Antiqua"/>
          <w:sz w:val="24"/>
          <w:szCs w:val="24"/>
        </w:rPr>
        <w:t xml:space="preserve"> de </w:t>
      </w:r>
      <w:r w:rsidR="00F07111" w:rsidRPr="00F07111">
        <w:rPr>
          <w:rFonts w:ascii="Book Antiqua" w:hAnsi="Book Antiqua"/>
          <w:bCs/>
          <w:sz w:val="24"/>
          <w:szCs w:val="24"/>
          <w:lang w:val="es-PR"/>
        </w:rPr>
        <w:t xml:space="preserve">enmendar </w:t>
      </w:r>
      <w:bookmarkStart w:id="0" w:name="_Hlk203039972"/>
      <w:r w:rsidR="00F07111" w:rsidRPr="00F07111">
        <w:rPr>
          <w:rFonts w:ascii="Book Antiqua" w:hAnsi="Book Antiqua"/>
          <w:bCs/>
          <w:sz w:val="24"/>
          <w:szCs w:val="24"/>
          <w:lang w:val="es-PR"/>
        </w:rPr>
        <w:t xml:space="preserve">el sub inciso (5) del inciso (C) de la </w:t>
      </w:r>
      <w:bookmarkStart w:id="1" w:name="_Hlk203131325"/>
      <w:r w:rsidR="00F07111" w:rsidRPr="00F07111">
        <w:rPr>
          <w:rFonts w:ascii="Book Antiqua" w:hAnsi="Book Antiqua"/>
          <w:bCs/>
          <w:sz w:val="24"/>
          <w:szCs w:val="24"/>
          <w:lang w:val="es-PR"/>
        </w:rPr>
        <w:t xml:space="preserve">Sección </w:t>
      </w:r>
      <w:bookmarkEnd w:id="1"/>
      <w:r w:rsidR="00F07111" w:rsidRPr="00F07111">
        <w:rPr>
          <w:rFonts w:ascii="Book Antiqua" w:hAnsi="Book Antiqua"/>
          <w:bCs/>
          <w:sz w:val="24"/>
          <w:szCs w:val="24"/>
          <w:lang w:val="es-PR"/>
        </w:rPr>
        <w:t xml:space="preserve">5 </w:t>
      </w:r>
      <w:r w:rsidR="00F07111" w:rsidRPr="00F07111">
        <w:rPr>
          <w:rFonts w:ascii="Book Antiqua" w:hAnsi="Book Antiqua"/>
          <w:sz w:val="24"/>
          <w:szCs w:val="24"/>
          <w:lang w:val="es-PR"/>
        </w:rPr>
        <w:t>de la Ley Núm. 221 de 15 de mayo de 1948, según enmendada, mejor conocida como “Ley de Juegos de Azar y Autorización de Máquinas Tragamonedas en los Casinos”,</w:t>
      </w:r>
      <w:r w:rsidR="00F07111" w:rsidRPr="00F07111">
        <w:rPr>
          <w:rFonts w:ascii="Book Antiqua" w:hAnsi="Book Antiqua"/>
          <w:bCs/>
          <w:sz w:val="24"/>
          <w:szCs w:val="24"/>
          <w:lang w:val="es-PR"/>
        </w:rPr>
        <w:t xml:space="preserve"> a</w:t>
      </w:r>
      <w:r w:rsidR="00F07111" w:rsidRPr="00F07111">
        <w:rPr>
          <w:rFonts w:ascii="Book Antiqua" w:hAnsi="Book Antiqua"/>
          <w:sz w:val="24"/>
          <w:szCs w:val="24"/>
          <w:lang w:val="es-PR"/>
        </w:rPr>
        <w:t xml:space="preserve"> los fines de aumentar la asignación de fondos recurrentes destinados a la celebración de eventos hípicos en Puerto Rico con el objetivo fomentar el turismo ecuestre e hípico; consolidar a Puerto Rico como sede de eventos hípicos de prestigio internacional; y para otros fines relacionados.</w:t>
      </w:r>
      <w:bookmarkEnd w:id="0"/>
    </w:p>
    <w:p w14:paraId="5196BDDE" w14:textId="77777777" w:rsidR="00067194" w:rsidRDefault="00067194" w:rsidP="00461B74">
      <w:pPr>
        <w:rPr>
          <w:rFonts w:ascii="Book Antiqua" w:hAnsi="Book Antiqua"/>
          <w:sz w:val="24"/>
          <w:szCs w:val="24"/>
        </w:rPr>
      </w:pPr>
    </w:p>
    <w:p w14:paraId="5AC331AC" w14:textId="77777777" w:rsidR="00F07111" w:rsidRPr="00F07111" w:rsidRDefault="002047CB" w:rsidP="00F07111">
      <w:pPr>
        <w:rPr>
          <w:rFonts w:ascii="Book Antiqua" w:hAnsi="Book Antiqua"/>
          <w:sz w:val="24"/>
          <w:szCs w:val="24"/>
        </w:rPr>
      </w:pPr>
      <w:r>
        <w:rPr>
          <w:rFonts w:ascii="Book Antiqua" w:hAnsi="Book Antiqua"/>
          <w:sz w:val="24"/>
          <w:szCs w:val="24"/>
        </w:rPr>
        <w:t xml:space="preserve">Según se desprende de la exposición de motivos, </w:t>
      </w:r>
      <w:r w:rsidR="00F07111" w:rsidRPr="00F07111">
        <w:rPr>
          <w:rFonts w:ascii="Book Antiqua" w:hAnsi="Book Antiqua"/>
          <w:sz w:val="24"/>
          <w:szCs w:val="24"/>
        </w:rPr>
        <w:t>La Ley Núm. 192-2004 enmendó la Ley de Juegos de Azar y Autorización de Máquinas Tragamonedas en los Casinos con el propósito de proveer una fuente recurrente de financiamiento para la celebración del Clásico Internacional del Caribe y otros eventos hípicos de carácter internacional, reconociendo la importancia de estas actividades para la industria hípica puertorriqueña.</w:t>
      </w:r>
    </w:p>
    <w:p w14:paraId="0D5585D4" w14:textId="77777777" w:rsidR="00F07111" w:rsidRDefault="00F07111" w:rsidP="00F07111">
      <w:pPr>
        <w:rPr>
          <w:rFonts w:ascii="Book Antiqua" w:hAnsi="Book Antiqua"/>
          <w:sz w:val="24"/>
          <w:szCs w:val="24"/>
          <w:lang w:val="es-PR"/>
        </w:rPr>
      </w:pPr>
      <w:r w:rsidRPr="00F07111">
        <w:rPr>
          <w:rFonts w:ascii="Book Antiqua" w:hAnsi="Book Antiqua"/>
          <w:sz w:val="24"/>
          <w:szCs w:val="24"/>
          <w:lang w:val="es-PR"/>
        </w:rPr>
        <w:lastRenderedPageBreak/>
        <w:t>A más de veinte años de su aprobación, los cambios experimentados por la industria, el aumento en los costos operacionales y el potencial económico, turístico y agrícola asociado a los eventos hípicos internacionales justifican la revisión de los mecanismos de apoyo establecidos por la legislación vigente. La medida persigue fortalecer la capacidad de Puerto Rico para continuar celebrando competencias de alto nivel y maximizar los beneficios económicos derivados de estas actividades.</w:t>
      </w:r>
    </w:p>
    <w:p w14:paraId="681A6FB5" w14:textId="77777777" w:rsidR="00F07111" w:rsidRPr="00F07111" w:rsidRDefault="00F07111" w:rsidP="00F07111">
      <w:pPr>
        <w:rPr>
          <w:rFonts w:ascii="Book Antiqua" w:hAnsi="Book Antiqua"/>
          <w:sz w:val="24"/>
          <w:szCs w:val="24"/>
          <w:lang w:val="es-PR"/>
        </w:rPr>
      </w:pPr>
    </w:p>
    <w:p w14:paraId="24FBD089" w14:textId="77777777" w:rsidR="00F07111" w:rsidRDefault="00F07111" w:rsidP="00F07111">
      <w:pPr>
        <w:rPr>
          <w:rFonts w:ascii="Book Antiqua" w:hAnsi="Book Antiqua"/>
          <w:sz w:val="24"/>
          <w:szCs w:val="24"/>
          <w:lang w:val="es-PR"/>
        </w:rPr>
      </w:pPr>
      <w:r w:rsidRPr="00F07111">
        <w:rPr>
          <w:rFonts w:ascii="Book Antiqua" w:hAnsi="Book Antiqua"/>
          <w:sz w:val="24"/>
          <w:szCs w:val="24"/>
          <w:lang w:val="es-PR"/>
        </w:rPr>
        <w:t>La industria hípica constituye un sector económico de amplia relevancia para Puerto Rico, con un impacto que trasciende el ámbito deportivo al generar actividad económica en áreas como la agricultura, la crianza y cuido de caballos, la medicina veterinaria, la hostelería, el turismo, el transporte, los servicios profesionales y el comercio. Asimismo, contribuye al erario mediante diversas fuentes de recaudos y sostiene una red de empleos directos e indirectos vinculados a la actividad ecuestre.</w:t>
      </w:r>
    </w:p>
    <w:p w14:paraId="7A13CC39" w14:textId="77777777" w:rsidR="00F07111" w:rsidRPr="00F07111" w:rsidRDefault="00F07111" w:rsidP="00F07111">
      <w:pPr>
        <w:rPr>
          <w:rFonts w:ascii="Book Antiqua" w:hAnsi="Book Antiqua"/>
          <w:sz w:val="24"/>
          <w:szCs w:val="24"/>
          <w:lang w:val="es-PR"/>
        </w:rPr>
      </w:pPr>
    </w:p>
    <w:p w14:paraId="6B7BEC49" w14:textId="77777777" w:rsidR="00F07111" w:rsidRDefault="00F07111" w:rsidP="00F07111">
      <w:pPr>
        <w:rPr>
          <w:rFonts w:ascii="Book Antiqua" w:hAnsi="Book Antiqua"/>
          <w:sz w:val="24"/>
          <w:szCs w:val="24"/>
          <w:lang w:val="es-PR"/>
        </w:rPr>
      </w:pPr>
      <w:r w:rsidRPr="00F07111">
        <w:rPr>
          <w:rFonts w:ascii="Book Antiqua" w:hAnsi="Book Antiqua"/>
          <w:sz w:val="24"/>
          <w:szCs w:val="24"/>
          <w:lang w:val="es-PR"/>
        </w:rPr>
        <w:t>Desde la celebración del primer Clásico Internacional del Caribe en Puerto Rico en 1966, y la posterior incorporación de otras competencias regionales, la Isla se ha consolidado como una de las principales sedes de la actividad hípica caribeña. Estos eventos atraen participantes, propietarios, criadores, inversionistas y visitantes de diversas jurisdicciones, generando un efecto positivo sobre la ocupación hotelera, el comercio y la actividad turística en general.</w:t>
      </w:r>
    </w:p>
    <w:p w14:paraId="4E727827" w14:textId="77777777" w:rsidR="00F07111" w:rsidRPr="00F07111" w:rsidRDefault="00F07111" w:rsidP="00F07111">
      <w:pPr>
        <w:rPr>
          <w:rFonts w:ascii="Book Antiqua" w:hAnsi="Book Antiqua"/>
          <w:sz w:val="24"/>
          <w:szCs w:val="24"/>
          <w:lang w:val="es-PR"/>
        </w:rPr>
      </w:pPr>
    </w:p>
    <w:p w14:paraId="0C24A888" w14:textId="77777777" w:rsidR="00F07111" w:rsidRPr="00F07111" w:rsidRDefault="00F07111" w:rsidP="00F07111">
      <w:pPr>
        <w:rPr>
          <w:rFonts w:ascii="Book Antiqua" w:hAnsi="Book Antiqua"/>
          <w:sz w:val="24"/>
          <w:szCs w:val="24"/>
          <w:lang w:val="es-PR"/>
        </w:rPr>
      </w:pPr>
      <w:r w:rsidRPr="00F07111">
        <w:rPr>
          <w:rFonts w:ascii="Book Antiqua" w:hAnsi="Book Antiqua"/>
          <w:sz w:val="24"/>
          <w:szCs w:val="24"/>
          <w:lang w:val="es-PR"/>
        </w:rPr>
        <w:t>Ante la importancia económica y promocional de estas competencias, la medida propone aumentar de quinientos mil dólares ($500,000) a un millón de dólares ($1,000,000) la asignación anual proveniente del Fondo para el Desarrollo de la Industria Turística. El propósito es fortalecer la promoción y celebración de eventos hípicos locales e internacionales, incentivar la inversión privada, ampliar la oferta turística y deportiva del país y contribuir al desarrollo económico asociado a esta industria.</w:t>
      </w:r>
    </w:p>
    <w:p w14:paraId="1B053592" w14:textId="13E8D6CA" w:rsidR="002047CB" w:rsidRDefault="002047CB" w:rsidP="00461B74">
      <w:pPr>
        <w:rPr>
          <w:rFonts w:ascii="Book Antiqua" w:hAnsi="Book Antiqua"/>
          <w:sz w:val="24"/>
          <w:szCs w:val="24"/>
        </w:rPr>
      </w:pPr>
    </w:p>
    <w:p w14:paraId="4A6DF478" w14:textId="77777777" w:rsidR="00BF4815" w:rsidRDefault="00BF4815" w:rsidP="00BF4815">
      <w:pPr>
        <w:suppressLineNumbers/>
        <w:jc w:val="center"/>
        <w:rPr>
          <w:rFonts w:ascii="Book Antiqua" w:hAnsi="Book Antiqua"/>
          <w:b/>
          <w:bCs/>
          <w:sz w:val="24"/>
          <w:szCs w:val="24"/>
          <w:lang w:val="es-PR"/>
        </w:rPr>
      </w:pPr>
      <w:r w:rsidRPr="009A5CDB">
        <w:rPr>
          <w:rFonts w:ascii="Book Antiqua" w:hAnsi="Book Antiqua"/>
          <w:b/>
          <w:bCs/>
          <w:sz w:val="24"/>
          <w:szCs w:val="24"/>
          <w:lang w:val="es-PR"/>
        </w:rPr>
        <w:t>ANÁLISIS DE LA MEDIDA</w:t>
      </w:r>
    </w:p>
    <w:p w14:paraId="7879AF27" w14:textId="77777777" w:rsidR="00E26B1C" w:rsidRDefault="00E26B1C" w:rsidP="00BF4815">
      <w:pPr>
        <w:suppressLineNumbers/>
        <w:jc w:val="center"/>
        <w:rPr>
          <w:rFonts w:ascii="Book Antiqua" w:hAnsi="Book Antiqua"/>
          <w:b/>
          <w:bCs/>
          <w:sz w:val="24"/>
          <w:szCs w:val="24"/>
          <w:lang w:val="es-PR"/>
        </w:rPr>
      </w:pPr>
    </w:p>
    <w:p w14:paraId="1C951617" w14:textId="323EE120" w:rsidR="009C6686" w:rsidRDefault="0045660E" w:rsidP="00AF1682">
      <w:pPr>
        <w:suppressLineNumbers/>
        <w:rPr>
          <w:rFonts w:ascii="Book Antiqua" w:hAnsi="Book Antiqua"/>
          <w:sz w:val="24"/>
          <w:szCs w:val="24"/>
        </w:rPr>
      </w:pPr>
      <w:r w:rsidRPr="00A94150">
        <w:rPr>
          <w:rFonts w:ascii="Book Antiqua" w:eastAsia="MS Mincho" w:hAnsi="Book Antiqua"/>
          <w:color w:val="000000"/>
          <w:sz w:val="24"/>
          <w:szCs w:val="24"/>
          <w:lang w:val="es-PR"/>
        </w:rPr>
        <w:t>Para el análisis</w:t>
      </w:r>
      <w:r>
        <w:rPr>
          <w:rFonts w:ascii="Book Antiqua" w:eastAsia="MS Mincho" w:hAnsi="Book Antiqua"/>
          <w:color w:val="000000"/>
          <w:sz w:val="24"/>
          <w:szCs w:val="24"/>
          <w:lang w:val="es-PR"/>
        </w:rPr>
        <w:t xml:space="preserve"> y dar </w:t>
      </w:r>
      <w:r w:rsidRPr="00A94150">
        <w:rPr>
          <w:rFonts w:ascii="Book Antiqua" w:hAnsi="Book Antiqua"/>
          <w:sz w:val="24"/>
          <w:szCs w:val="24"/>
        </w:rPr>
        <w:t>cumplimiento a las disposiciones de</w:t>
      </w:r>
      <w:r w:rsidR="00482558">
        <w:rPr>
          <w:rFonts w:ascii="Book Antiqua" w:hAnsi="Book Antiqua"/>
          <w:sz w:val="24"/>
          <w:szCs w:val="24"/>
        </w:rPr>
        <w:t>l P. de la C. 12</w:t>
      </w:r>
      <w:r w:rsidR="00F07111">
        <w:rPr>
          <w:rFonts w:ascii="Book Antiqua" w:hAnsi="Book Antiqua"/>
          <w:sz w:val="24"/>
          <w:szCs w:val="24"/>
        </w:rPr>
        <w:t>98</w:t>
      </w:r>
      <w:r w:rsidR="00482558">
        <w:rPr>
          <w:rFonts w:ascii="Book Antiqua" w:hAnsi="Book Antiqua"/>
          <w:sz w:val="24"/>
          <w:szCs w:val="24"/>
        </w:rPr>
        <w:t xml:space="preserve"> la </w:t>
      </w:r>
      <w:r w:rsidRPr="00A94150">
        <w:rPr>
          <w:rFonts w:ascii="Book Antiqua" w:eastAsia="MS Mincho" w:hAnsi="Book Antiqua"/>
          <w:color w:val="000000"/>
          <w:sz w:val="24"/>
          <w:szCs w:val="24"/>
          <w:lang w:val="es-PR"/>
        </w:rPr>
        <w:t xml:space="preserve">Comisión de Hacienda </w:t>
      </w:r>
      <w:r w:rsidRPr="00592B5A">
        <w:rPr>
          <w:rFonts w:ascii="Book Antiqua" w:hAnsi="Book Antiqua"/>
          <w:sz w:val="24"/>
          <w:szCs w:val="24"/>
          <w:lang w:val="es-ES_tradnl"/>
        </w:rPr>
        <w:t>de la Cámara de Representantes de Puerto Rico,</w:t>
      </w:r>
      <w:r w:rsidR="00482558">
        <w:rPr>
          <w:rFonts w:ascii="Book Antiqua" w:hAnsi="Book Antiqua"/>
          <w:sz w:val="24"/>
          <w:szCs w:val="24"/>
          <w:lang w:val="es-ES_tradnl"/>
        </w:rPr>
        <w:t xml:space="preserve"> </w:t>
      </w:r>
      <w:r w:rsidR="00482558" w:rsidRPr="00482558">
        <w:rPr>
          <w:rFonts w:ascii="Book Antiqua" w:hAnsi="Book Antiqua"/>
          <w:sz w:val="24"/>
          <w:szCs w:val="24"/>
        </w:rPr>
        <w:t>solicitó los memoriales explicativos</w:t>
      </w:r>
      <w:r w:rsidR="00E225E0">
        <w:rPr>
          <w:rFonts w:ascii="Book Antiqua" w:hAnsi="Book Antiqua"/>
          <w:sz w:val="24"/>
          <w:szCs w:val="24"/>
        </w:rPr>
        <w:t xml:space="preserve"> </w:t>
      </w:r>
      <w:r w:rsidR="002047CB">
        <w:rPr>
          <w:rFonts w:ascii="Book Antiqua" w:hAnsi="Book Antiqua"/>
          <w:sz w:val="24"/>
          <w:szCs w:val="24"/>
        </w:rPr>
        <w:t xml:space="preserve">a la </w:t>
      </w:r>
      <w:r w:rsidR="002047CB" w:rsidRPr="00E26B1C">
        <w:rPr>
          <w:rFonts w:ascii="Book Antiqua" w:hAnsi="Book Antiqua"/>
          <w:sz w:val="24"/>
          <w:szCs w:val="24"/>
        </w:rPr>
        <w:t>Oficina de Gerencia y Presupuesto (OGP), la Autoridad de Asesoría Financiera y Agencia Fiscal (AAFAF)</w:t>
      </w:r>
      <w:r w:rsidR="00F07111">
        <w:rPr>
          <w:rFonts w:ascii="Book Antiqua" w:hAnsi="Book Antiqua"/>
          <w:sz w:val="24"/>
          <w:szCs w:val="24"/>
        </w:rPr>
        <w:t>,</w:t>
      </w:r>
      <w:r w:rsidR="002047CB" w:rsidRPr="00E26B1C">
        <w:rPr>
          <w:rFonts w:ascii="Book Antiqua" w:hAnsi="Book Antiqua"/>
          <w:sz w:val="24"/>
          <w:szCs w:val="24"/>
        </w:rPr>
        <w:t xml:space="preserve"> </w:t>
      </w:r>
      <w:r w:rsidR="002047CB">
        <w:rPr>
          <w:rFonts w:ascii="Book Antiqua" w:hAnsi="Book Antiqua"/>
          <w:sz w:val="24"/>
          <w:szCs w:val="24"/>
        </w:rPr>
        <w:t xml:space="preserve">al </w:t>
      </w:r>
      <w:r w:rsidR="002047CB" w:rsidRPr="00E26B1C">
        <w:rPr>
          <w:rFonts w:ascii="Book Antiqua" w:hAnsi="Book Antiqua"/>
          <w:sz w:val="24"/>
          <w:szCs w:val="24"/>
        </w:rPr>
        <w:t>Departamento de Hacienda</w:t>
      </w:r>
      <w:r w:rsidR="00F07111">
        <w:rPr>
          <w:rFonts w:ascii="Book Antiqua" w:hAnsi="Book Antiqua"/>
          <w:sz w:val="24"/>
          <w:szCs w:val="24"/>
        </w:rPr>
        <w:t>, a la Comisión de Juegos y a la Compañía de Turismo</w:t>
      </w:r>
      <w:r w:rsidR="002047CB">
        <w:rPr>
          <w:rFonts w:ascii="Book Antiqua" w:hAnsi="Book Antiqua"/>
          <w:sz w:val="24"/>
          <w:szCs w:val="24"/>
        </w:rPr>
        <w:t xml:space="preserve">.  Esta Comisión recibió un memorial explicativo </w:t>
      </w:r>
      <w:r w:rsidR="00F07111">
        <w:rPr>
          <w:rFonts w:ascii="Book Antiqua" w:hAnsi="Book Antiqua"/>
          <w:sz w:val="24"/>
          <w:szCs w:val="24"/>
        </w:rPr>
        <w:t>de la OG</w:t>
      </w:r>
      <w:r w:rsidR="00031BB6">
        <w:rPr>
          <w:rFonts w:ascii="Book Antiqua" w:hAnsi="Book Antiqua"/>
          <w:sz w:val="24"/>
          <w:szCs w:val="24"/>
        </w:rPr>
        <w:t>P y de la Comisión de Juegos</w:t>
      </w:r>
      <w:r w:rsidR="002047CB">
        <w:rPr>
          <w:rFonts w:ascii="Book Antiqua" w:hAnsi="Book Antiqua"/>
          <w:sz w:val="24"/>
          <w:szCs w:val="24"/>
        </w:rPr>
        <w:t>.</w:t>
      </w:r>
    </w:p>
    <w:p w14:paraId="5B4AB8D5" w14:textId="77777777" w:rsidR="001659E1" w:rsidRDefault="001659E1" w:rsidP="00AF1682">
      <w:pPr>
        <w:suppressLineNumbers/>
        <w:rPr>
          <w:rFonts w:ascii="Book Antiqua" w:hAnsi="Book Antiqua"/>
          <w:sz w:val="24"/>
          <w:szCs w:val="24"/>
        </w:rPr>
      </w:pPr>
    </w:p>
    <w:p w14:paraId="42AC0A5A" w14:textId="4E8C94E0" w:rsidR="009C6686" w:rsidRPr="002047CB" w:rsidRDefault="002047CB" w:rsidP="00AF1682">
      <w:pPr>
        <w:suppressLineNumbers/>
        <w:rPr>
          <w:rFonts w:ascii="Book Antiqua" w:hAnsi="Book Antiqua"/>
          <w:b/>
          <w:bCs/>
          <w:sz w:val="24"/>
          <w:szCs w:val="24"/>
        </w:rPr>
      </w:pPr>
      <w:r w:rsidRPr="002047CB">
        <w:rPr>
          <w:rFonts w:ascii="Book Antiqua" w:hAnsi="Book Antiqua"/>
          <w:b/>
          <w:bCs/>
          <w:sz w:val="24"/>
          <w:szCs w:val="24"/>
        </w:rPr>
        <w:lastRenderedPageBreak/>
        <w:t xml:space="preserve">Oficina de Gerencia y Presupuesto (OGP) </w:t>
      </w:r>
    </w:p>
    <w:p w14:paraId="5FD78D89" w14:textId="77777777" w:rsidR="002047CB" w:rsidRDefault="002047CB" w:rsidP="00AF1682">
      <w:pPr>
        <w:suppressLineNumbers/>
        <w:rPr>
          <w:rFonts w:ascii="Book Antiqua" w:hAnsi="Book Antiqua"/>
          <w:sz w:val="24"/>
          <w:szCs w:val="24"/>
        </w:rPr>
      </w:pPr>
    </w:p>
    <w:p w14:paraId="053B4C93" w14:textId="77777777" w:rsidR="00031BB6" w:rsidRDefault="00031BB6" w:rsidP="00031BB6">
      <w:pPr>
        <w:suppressLineNumbers/>
        <w:rPr>
          <w:rFonts w:ascii="Book Antiqua" w:eastAsia="Calibri" w:hAnsi="Book Antiqua" w:cs="Courier New"/>
          <w:color w:val="000000" w:themeColor="text1"/>
          <w:sz w:val="24"/>
          <w:szCs w:val="24"/>
          <w:lang w:val="es-PR"/>
        </w:rPr>
      </w:pPr>
      <w:r w:rsidRPr="00031BB6">
        <w:rPr>
          <w:rFonts w:ascii="Book Antiqua" w:eastAsia="Calibri" w:hAnsi="Book Antiqua" w:cs="Courier New"/>
          <w:color w:val="000000" w:themeColor="text1"/>
          <w:sz w:val="24"/>
          <w:szCs w:val="24"/>
          <w:lang w:val="es-PR"/>
        </w:rPr>
        <w:t>La Oficina de Gerencia y Presupuesto (OGP) evaluó el Proyecto de la Cámara 1298, medida que propone enmendar la Ley de Juegos de Azar y Autorización de Máquinas Tragamonedas en los Casinos con el propósito de aumentar de quinientos mil dólares ($500,000) a un millón de dólares ($1,000,000) la asignación anual destinada a la celebración del Clásico Internacional del Caribe y otros eventos hípicos de carácter internacional o invitacional celebrados en Puerto Rico.</w:t>
      </w:r>
    </w:p>
    <w:p w14:paraId="16CDD900" w14:textId="77777777" w:rsidR="00031BB6" w:rsidRPr="00031BB6" w:rsidRDefault="00031BB6" w:rsidP="00031BB6">
      <w:pPr>
        <w:suppressLineNumbers/>
        <w:rPr>
          <w:rFonts w:ascii="Book Antiqua" w:eastAsia="Calibri" w:hAnsi="Book Antiqua" w:cs="Courier New"/>
          <w:color w:val="000000" w:themeColor="text1"/>
          <w:sz w:val="24"/>
          <w:szCs w:val="24"/>
          <w:lang w:val="es-PR"/>
        </w:rPr>
      </w:pPr>
    </w:p>
    <w:p w14:paraId="4EF564BD" w14:textId="77777777" w:rsidR="00031BB6" w:rsidRDefault="00031BB6" w:rsidP="00031BB6">
      <w:pPr>
        <w:suppressLineNumbers/>
        <w:rPr>
          <w:rFonts w:ascii="Book Antiqua" w:eastAsia="Calibri" w:hAnsi="Book Antiqua" w:cs="Courier New"/>
          <w:color w:val="000000" w:themeColor="text1"/>
          <w:sz w:val="24"/>
          <w:szCs w:val="24"/>
          <w:lang w:val="es-PR"/>
        </w:rPr>
      </w:pPr>
      <w:r w:rsidRPr="00031BB6">
        <w:rPr>
          <w:rFonts w:ascii="Book Antiqua" w:eastAsia="Calibri" w:hAnsi="Book Antiqua" w:cs="Courier New"/>
          <w:color w:val="000000" w:themeColor="text1"/>
          <w:sz w:val="24"/>
          <w:szCs w:val="24"/>
          <w:lang w:val="es-PR"/>
        </w:rPr>
        <w:t>En su análisis, la OGP señala que la medida responde al reconocimiento de que los costos asociados a la organización de estos eventos han aumentado considerablemente desde la aprobación de la Ley 192-2004, mientras que el potencial económico, turístico y promocional de la industria hípica continúa creciendo. La propuesta persigue fortalecer la capacidad de Puerto Rico para atraer y retener competencias hípicas de prestigio internacional, promoviendo a la Isla como un destino de relevancia dentro del ámbito ecuestre y deportivo.</w:t>
      </w:r>
    </w:p>
    <w:p w14:paraId="1BB1E482" w14:textId="77777777" w:rsidR="00031BB6" w:rsidRPr="00031BB6" w:rsidRDefault="00031BB6" w:rsidP="00031BB6">
      <w:pPr>
        <w:suppressLineNumbers/>
        <w:rPr>
          <w:rFonts w:ascii="Book Antiqua" w:eastAsia="Calibri" w:hAnsi="Book Antiqua" w:cs="Courier New"/>
          <w:color w:val="000000" w:themeColor="text1"/>
          <w:sz w:val="24"/>
          <w:szCs w:val="24"/>
          <w:lang w:val="es-PR"/>
        </w:rPr>
      </w:pPr>
    </w:p>
    <w:p w14:paraId="37268F7C" w14:textId="77777777" w:rsidR="00031BB6" w:rsidRDefault="00031BB6" w:rsidP="00031BB6">
      <w:pPr>
        <w:suppressLineNumbers/>
        <w:rPr>
          <w:rFonts w:ascii="Book Antiqua" w:eastAsia="Calibri" w:hAnsi="Book Antiqua" w:cs="Courier New"/>
          <w:color w:val="000000" w:themeColor="text1"/>
          <w:sz w:val="24"/>
          <w:szCs w:val="24"/>
          <w:lang w:val="es-PR"/>
        </w:rPr>
      </w:pPr>
      <w:r w:rsidRPr="00031BB6">
        <w:rPr>
          <w:rFonts w:ascii="Book Antiqua" w:eastAsia="Calibri" w:hAnsi="Book Antiqua" w:cs="Courier New"/>
          <w:color w:val="000000" w:themeColor="text1"/>
          <w:sz w:val="24"/>
          <w:szCs w:val="24"/>
          <w:lang w:val="es-PR"/>
        </w:rPr>
        <w:t>La OGP destaca que la actividad hípica genera efectos económicos en diversos sectores, incluyendo la agricultura, la crianza y cuido de caballos, los servicios veterinarios, la hostelería, la transportación, el comercio y el turismo. Asimismo, señala que la celebración de eventos internacionales atrae delegaciones, propietarios, inversionistas y aficionados, produciendo actividad económica directa e indirecta y contribuyendo a la promoción de Puerto Rico en mercados internacionales.</w:t>
      </w:r>
    </w:p>
    <w:p w14:paraId="6BEE1D19" w14:textId="77777777" w:rsidR="00031BB6" w:rsidRPr="00031BB6" w:rsidRDefault="00031BB6" w:rsidP="00031BB6">
      <w:pPr>
        <w:suppressLineNumbers/>
        <w:rPr>
          <w:rFonts w:ascii="Book Antiqua" w:eastAsia="Calibri" w:hAnsi="Book Antiqua" w:cs="Courier New"/>
          <w:color w:val="000000" w:themeColor="text1"/>
          <w:sz w:val="24"/>
          <w:szCs w:val="24"/>
          <w:lang w:val="es-PR"/>
        </w:rPr>
      </w:pPr>
    </w:p>
    <w:p w14:paraId="5D5B664E" w14:textId="77777777" w:rsidR="00031BB6" w:rsidRDefault="00031BB6" w:rsidP="00031BB6">
      <w:pPr>
        <w:suppressLineNumbers/>
        <w:rPr>
          <w:rFonts w:ascii="Book Antiqua" w:eastAsia="Calibri" w:hAnsi="Book Antiqua" w:cs="Courier New"/>
          <w:color w:val="000000" w:themeColor="text1"/>
          <w:sz w:val="24"/>
          <w:szCs w:val="24"/>
          <w:lang w:val="es-PR"/>
        </w:rPr>
      </w:pPr>
      <w:r w:rsidRPr="00031BB6">
        <w:rPr>
          <w:rFonts w:ascii="Book Antiqua" w:eastAsia="Calibri" w:hAnsi="Book Antiqua" w:cs="Courier New"/>
          <w:color w:val="000000" w:themeColor="text1"/>
          <w:sz w:val="24"/>
          <w:szCs w:val="24"/>
          <w:lang w:val="es-PR"/>
        </w:rPr>
        <w:t>Desde el punto de vista fiscal y presupuestario, la Oficina indica que la medida no requiere asignaciones adicionales del Fondo General ni crea una nueva fuente de financiamiento, ya que los recursos provendrían del Fondo para el Desarrollo de la Industria Turística de Puerto Rico, un fondo especial creado precisamente para apoyar iniciativas relacionadas con el fortalecimiento de la actividad turística. En consecuencia, la OGP no identificó objeciones presupuestarias que impidan la consideración de la medida.</w:t>
      </w:r>
    </w:p>
    <w:p w14:paraId="6F8C63F4" w14:textId="77777777" w:rsidR="00031BB6" w:rsidRPr="00031BB6" w:rsidRDefault="00031BB6" w:rsidP="00031BB6">
      <w:pPr>
        <w:suppressLineNumbers/>
        <w:rPr>
          <w:rFonts w:ascii="Book Antiqua" w:eastAsia="Calibri" w:hAnsi="Book Antiqua" w:cs="Courier New"/>
          <w:color w:val="000000" w:themeColor="text1"/>
          <w:sz w:val="24"/>
          <w:szCs w:val="24"/>
          <w:lang w:val="es-PR"/>
        </w:rPr>
      </w:pPr>
    </w:p>
    <w:p w14:paraId="1670AB82" w14:textId="77777777" w:rsidR="00031BB6" w:rsidRDefault="00031BB6" w:rsidP="00031BB6">
      <w:pPr>
        <w:suppressLineNumbers/>
        <w:rPr>
          <w:rFonts w:ascii="Book Antiqua" w:eastAsia="Calibri" w:hAnsi="Book Antiqua" w:cs="Courier New"/>
          <w:color w:val="000000" w:themeColor="text1"/>
          <w:sz w:val="24"/>
          <w:szCs w:val="24"/>
          <w:lang w:val="es-PR"/>
        </w:rPr>
      </w:pPr>
      <w:r w:rsidRPr="00031BB6">
        <w:rPr>
          <w:rFonts w:ascii="Book Antiqua" w:eastAsia="Calibri" w:hAnsi="Book Antiqua" w:cs="Courier New"/>
          <w:color w:val="000000" w:themeColor="text1"/>
          <w:sz w:val="24"/>
          <w:szCs w:val="24"/>
          <w:lang w:val="es-PR"/>
        </w:rPr>
        <w:t xml:space="preserve">Finalmente, la agencia reconoció la pericia de la Comisión de Juegos de Puerto Rico y de su Negociado del Deporte Hípico en los aspectos sustantivos relacionados con la propuesta, por lo que otorgó deferencia a las recomendaciones que dichas entidades estimen pertinentes. A base de su evaluación, la OGP expresó que la medida promueve </w:t>
      </w:r>
      <w:r w:rsidRPr="00031BB6">
        <w:rPr>
          <w:rFonts w:ascii="Book Antiqua" w:eastAsia="Calibri" w:hAnsi="Book Antiqua" w:cs="Courier New"/>
          <w:color w:val="000000" w:themeColor="text1"/>
          <w:sz w:val="24"/>
          <w:szCs w:val="24"/>
          <w:lang w:val="es-PR"/>
        </w:rPr>
        <w:lastRenderedPageBreak/>
        <w:t>objetivos de desarrollo económico, turístico y deportivo y, por consiguiente, no presentó objeción a su trámite legislativo.</w:t>
      </w:r>
    </w:p>
    <w:p w14:paraId="13007678" w14:textId="77777777" w:rsidR="00D12DFB" w:rsidRDefault="00D12DFB" w:rsidP="00031BB6">
      <w:pPr>
        <w:suppressLineNumbers/>
        <w:rPr>
          <w:rFonts w:ascii="Book Antiqua" w:eastAsia="Calibri" w:hAnsi="Book Antiqua" w:cs="Courier New"/>
          <w:color w:val="000000" w:themeColor="text1"/>
          <w:sz w:val="24"/>
          <w:szCs w:val="24"/>
          <w:lang w:val="es-PR"/>
        </w:rPr>
      </w:pPr>
    </w:p>
    <w:p w14:paraId="7710FDEC" w14:textId="0BD67AFD" w:rsidR="00D12DFB" w:rsidRDefault="00D12DFB" w:rsidP="00D12DFB">
      <w:pPr>
        <w:suppressLineNumbers/>
        <w:rPr>
          <w:rFonts w:ascii="Book Antiqua" w:hAnsi="Book Antiqua"/>
          <w:b/>
          <w:bCs/>
          <w:sz w:val="24"/>
          <w:szCs w:val="24"/>
        </w:rPr>
      </w:pPr>
      <w:r>
        <w:rPr>
          <w:rFonts w:ascii="Book Antiqua" w:hAnsi="Book Antiqua"/>
          <w:b/>
          <w:bCs/>
          <w:sz w:val="24"/>
          <w:szCs w:val="24"/>
        </w:rPr>
        <w:t>Comisión de Juegos</w:t>
      </w:r>
    </w:p>
    <w:p w14:paraId="5DD5B73D" w14:textId="77777777" w:rsidR="00D12DFB" w:rsidRPr="002047CB" w:rsidRDefault="00D12DFB" w:rsidP="00D12DFB">
      <w:pPr>
        <w:suppressLineNumbers/>
        <w:rPr>
          <w:rFonts w:ascii="Book Antiqua" w:hAnsi="Book Antiqua"/>
          <w:b/>
          <w:bCs/>
          <w:sz w:val="24"/>
          <w:szCs w:val="24"/>
        </w:rPr>
      </w:pPr>
    </w:p>
    <w:p w14:paraId="00592CB8" w14:textId="77777777" w:rsidR="00D12DFB" w:rsidRPr="00D12DFB" w:rsidRDefault="00D12DFB" w:rsidP="00D12DFB">
      <w:pPr>
        <w:suppressLineNumbers/>
        <w:rPr>
          <w:rFonts w:ascii="Book Antiqua" w:eastAsia="Calibri" w:hAnsi="Book Antiqua" w:cs="Courier New"/>
          <w:color w:val="000000" w:themeColor="text1"/>
          <w:sz w:val="24"/>
          <w:szCs w:val="24"/>
          <w:lang w:val="es-PR"/>
        </w:rPr>
      </w:pPr>
      <w:r w:rsidRPr="00D12DFB">
        <w:rPr>
          <w:rFonts w:ascii="Book Antiqua" w:eastAsia="Calibri" w:hAnsi="Book Antiqua" w:cs="Courier New"/>
          <w:color w:val="000000" w:themeColor="text1"/>
          <w:sz w:val="24"/>
          <w:szCs w:val="24"/>
          <w:lang w:val="es-PR"/>
        </w:rPr>
        <w:t xml:space="preserve">El Memorial Explicativo presentado por la Comisión de Juegos del Gobierno de Puerto Rico respecto al Proyecto de la Cámara 1298 ofrece una evaluación exhaustiva del impacto regulatorio, económico y administrativo que tendría la aprobación de esta medida. El proyecto propone aumentar la asignación anual destinada a la celebración de eventos hípicos internacionales o invitacionales y actualizar la referencia institucional para que estos fondos sean administrados por el Negociado del Deporte Hípico. La Comisión de Juegos contextualiza la medida dentro de la evolución reciente del marco legal y la reorganización gubernamental que colocó bajo una misma entidad la fiscalización de casinos, apuestas deportivas, </w:t>
      </w:r>
      <w:proofErr w:type="spellStart"/>
      <w:r w:rsidRPr="00D12DFB">
        <w:rPr>
          <w:rFonts w:ascii="Book Antiqua" w:eastAsia="Calibri" w:hAnsi="Book Antiqua" w:cs="Courier New"/>
          <w:color w:val="000000" w:themeColor="text1"/>
          <w:sz w:val="24"/>
          <w:szCs w:val="24"/>
          <w:lang w:val="es-PR"/>
        </w:rPr>
        <w:t>eSports</w:t>
      </w:r>
      <w:proofErr w:type="spellEnd"/>
      <w:r w:rsidRPr="00D12DFB">
        <w:rPr>
          <w:rFonts w:ascii="Book Antiqua" w:eastAsia="Calibri" w:hAnsi="Book Antiqua" w:cs="Courier New"/>
          <w:color w:val="000000" w:themeColor="text1"/>
          <w:sz w:val="24"/>
          <w:szCs w:val="24"/>
          <w:lang w:val="es-PR"/>
        </w:rPr>
        <w:t>, concursos de fantasía y la industria hípica, cumpliendo con las disposiciones de la Ley 81-2019. Esta estructura integradora refleja la intención legislativa de centralizar la supervisión de la industria del juego en una agencia especializada, capaz de responder a un sector en constante crecimiento y transformación.</w:t>
      </w:r>
    </w:p>
    <w:p w14:paraId="78153C9F" w14:textId="6AE38356" w:rsidR="00D12DFB" w:rsidRPr="00D12DFB" w:rsidRDefault="00D12DFB" w:rsidP="00D12DFB">
      <w:pPr>
        <w:suppressLineNumbers/>
        <w:rPr>
          <w:rFonts w:ascii="Book Antiqua" w:eastAsia="Calibri" w:hAnsi="Book Antiqua" w:cs="Courier New"/>
          <w:color w:val="000000" w:themeColor="text1"/>
          <w:sz w:val="24"/>
          <w:szCs w:val="24"/>
          <w:lang w:val="es-PR"/>
        </w:rPr>
      </w:pPr>
    </w:p>
    <w:p w14:paraId="61C39F4A" w14:textId="77777777" w:rsidR="00D12DFB" w:rsidRPr="00D12DFB" w:rsidRDefault="00D12DFB" w:rsidP="00D12DFB">
      <w:pPr>
        <w:suppressLineNumbers/>
        <w:rPr>
          <w:rFonts w:ascii="Book Antiqua" w:eastAsia="Calibri" w:hAnsi="Book Antiqua" w:cs="Courier New"/>
          <w:color w:val="000000" w:themeColor="text1"/>
          <w:sz w:val="24"/>
          <w:szCs w:val="24"/>
          <w:lang w:val="es-PR"/>
        </w:rPr>
      </w:pPr>
      <w:r w:rsidRPr="00D12DFB">
        <w:rPr>
          <w:rFonts w:ascii="Book Antiqua" w:eastAsia="Calibri" w:hAnsi="Book Antiqua" w:cs="Courier New"/>
          <w:color w:val="000000" w:themeColor="text1"/>
          <w:sz w:val="24"/>
          <w:szCs w:val="24"/>
          <w:lang w:val="es-PR"/>
        </w:rPr>
        <w:t>El análisis de la Comisión destaca la importancia económica y multisectorial de la industria hípica. De manera consistente, el memorial argumenta que esta industria no debe ser vista únicamente como una actividad deportiva, sino como un motor económico que genera actividad en sectores como la agricultura, la veterinaria, el transporte, el comercio, la hostelería y los servicios profesionales. Los eventos hípicos internacionales, como el Clásico Internacional del Caribe y sus competencias asociadas, atraen delegaciones, propietarios, criadores y aficionados de múltiples jurisdicciones, lo que a su vez provoca un incremento en la actividad turística, hotelera y comercial. La Comisión coincide con la exposición de motivos del proyecto al reconocer que, ante el aumento en los costos operacionales y las oportunidades que representa la industria, resulta necesario actualizar los recursos disponibles para promover y sostener la celebración de este tipo de eventos en Puerto Rico.</w:t>
      </w:r>
    </w:p>
    <w:p w14:paraId="28C2C7F4" w14:textId="353274D3" w:rsidR="00D12DFB" w:rsidRPr="00D12DFB" w:rsidRDefault="00D12DFB" w:rsidP="00D12DFB">
      <w:pPr>
        <w:suppressLineNumbers/>
        <w:rPr>
          <w:rFonts w:ascii="Book Antiqua" w:eastAsia="Calibri" w:hAnsi="Book Antiqua" w:cs="Courier New"/>
          <w:color w:val="000000" w:themeColor="text1"/>
          <w:sz w:val="24"/>
          <w:szCs w:val="24"/>
          <w:lang w:val="es-PR"/>
        </w:rPr>
      </w:pPr>
    </w:p>
    <w:p w14:paraId="537DAEF6" w14:textId="77777777" w:rsidR="00D12DFB" w:rsidRPr="00D12DFB" w:rsidRDefault="00D12DFB" w:rsidP="00D12DFB">
      <w:pPr>
        <w:suppressLineNumbers/>
        <w:rPr>
          <w:rFonts w:ascii="Book Antiqua" w:eastAsia="Calibri" w:hAnsi="Book Antiqua" w:cs="Courier New"/>
          <w:color w:val="000000" w:themeColor="text1"/>
          <w:sz w:val="24"/>
          <w:szCs w:val="24"/>
          <w:lang w:val="es-PR"/>
        </w:rPr>
      </w:pPr>
      <w:r w:rsidRPr="00D12DFB">
        <w:rPr>
          <w:rFonts w:ascii="Book Antiqua" w:eastAsia="Calibri" w:hAnsi="Book Antiqua" w:cs="Courier New"/>
          <w:color w:val="000000" w:themeColor="text1"/>
          <w:sz w:val="24"/>
          <w:szCs w:val="24"/>
          <w:lang w:val="es-PR"/>
        </w:rPr>
        <w:t xml:space="preserve">Asimismo, la Comisión de Juegos reafirma que el PC 1298 no altera la operación ni la fiscalización de los casinos ni la estructura vigente de distribución de ingresos destinada al Fondo para el Desarrollo de la Industria Turística. La medida se limita a aumentar la asignación interna para el Negociado del Deporte Hípico y a permitir el uso de hasta cien mil dólares para gastos de logística y transportación de ejemplares, un elemento que la </w:t>
      </w:r>
      <w:r w:rsidRPr="00D12DFB">
        <w:rPr>
          <w:rFonts w:ascii="Book Antiqua" w:eastAsia="Calibri" w:hAnsi="Book Antiqua" w:cs="Courier New"/>
          <w:color w:val="000000" w:themeColor="text1"/>
          <w:sz w:val="24"/>
          <w:szCs w:val="24"/>
          <w:lang w:val="es-PR"/>
        </w:rPr>
        <w:lastRenderedPageBreak/>
        <w:t>Comisión considera esencial para garantizar la participación internacional y la competitividad de los eventos celebrados en la isla. Esta disposición, según el memorial, es prudente y necesaria, ya que posibilita atraer caballos de alto nivel y participantes de otras jurisdicciones, lo cual fortalece el prestigio y la viabilidad de los eventos hípicos locales.</w:t>
      </w:r>
    </w:p>
    <w:p w14:paraId="17ADEC9C" w14:textId="6BB8A2C8" w:rsidR="00D12DFB" w:rsidRPr="00D12DFB" w:rsidRDefault="00D12DFB" w:rsidP="00D12DFB">
      <w:pPr>
        <w:suppressLineNumbers/>
        <w:rPr>
          <w:rFonts w:ascii="Book Antiqua" w:eastAsia="Calibri" w:hAnsi="Book Antiqua" w:cs="Courier New"/>
          <w:color w:val="000000" w:themeColor="text1"/>
          <w:sz w:val="24"/>
          <w:szCs w:val="24"/>
          <w:lang w:val="es-PR"/>
        </w:rPr>
      </w:pPr>
    </w:p>
    <w:p w14:paraId="065ADCF7" w14:textId="77777777" w:rsidR="00D12DFB" w:rsidRPr="00D12DFB" w:rsidRDefault="00D12DFB" w:rsidP="00D12DFB">
      <w:pPr>
        <w:suppressLineNumbers/>
        <w:rPr>
          <w:rFonts w:ascii="Book Antiqua" w:eastAsia="Calibri" w:hAnsi="Book Antiqua" w:cs="Courier New"/>
          <w:color w:val="000000" w:themeColor="text1"/>
          <w:sz w:val="24"/>
          <w:szCs w:val="24"/>
          <w:lang w:val="es-PR"/>
        </w:rPr>
      </w:pPr>
      <w:r w:rsidRPr="00D12DFB">
        <w:rPr>
          <w:rFonts w:ascii="Book Antiqua" w:eastAsia="Calibri" w:hAnsi="Book Antiqua" w:cs="Courier New"/>
          <w:color w:val="000000" w:themeColor="text1"/>
          <w:sz w:val="24"/>
          <w:szCs w:val="24"/>
          <w:lang w:val="es-PR"/>
        </w:rPr>
        <w:t>Finalmente, la Comisión expresa su apoyo total a la aprobación del proyecto, al entender que la medida articula adecuadamente la política pública vigente, fortalece el marco institucional y operacional de la industria hípica y contribuye al desarrollo económico, turístico y deportivo de Puerto Rico. Además, la Comisión subraya que el proyecto mantiene salvaguardas importantes, como limitar la asignación a los eventos que realmente se celebren en Puerto Rico y asegurar que los fondos se utilicen para fines directamente relacionados con la premiación y logística de los eventos. En su conjunto, el memorial posiciona al PC 1298 como una pieza legislativa coherente y estratégica, capaz de ampliar el alcance de una industria con altas capacidades de impacto económico y proyección internacional.</w:t>
      </w:r>
    </w:p>
    <w:p w14:paraId="40BDE3B2" w14:textId="77777777" w:rsidR="003A0E7D" w:rsidRDefault="003A0E7D" w:rsidP="00AF1682">
      <w:pPr>
        <w:suppressLineNumbers/>
        <w:rPr>
          <w:rFonts w:ascii="Book Antiqua" w:eastAsia="Calibri" w:hAnsi="Book Antiqua" w:cs="Courier New"/>
          <w:color w:val="000000" w:themeColor="text1"/>
          <w:sz w:val="24"/>
          <w:szCs w:val="24"/>
          <w:lang w:val="es-PR"/>
        </w:rPr>
      </w:pPr>
    </w:p>
    <w:p w14:paraId="23F4CAD6" w14:textId="34B5E477" w:rsidR="00D12DFB" w:rsidRDefault="00D12DFB" w:rsidP="00D12DFB">
      <w:pPr>
        <w:suppressLineNumbers/>
        <w:jc w:val="center"/>
        <w:rPr>
          <w:rFonts w:ascii="Book Antiqua" w:hAnsi="Book Antiqua"/>
          <w:b/>
          <w:bCs/>
          <w:sz w:val="24"/>
          <w:szCs w:val="24"/>
          <w:lang w:val="es-PR"/>
        </w:rPr>
      </w:pPr>
      <w:r w:rsidRPr="00D12DFB">
        <w:rPr>
          <w:rFonts w:ascii="Book Antiqua" w:hAnsi="Book Antiqua"/>
          <w:b/>
          <w:bCs/>
          <w:sz w:val="24"/>
          <w:szCs w:val="24"/>
          <w:lang w:val="es-PR"/>
        </w:rPr>
        <w:t>IMPACTO FISCAL</w:t>
      </w:r>
    </w:p>
    <w:p w14:paraId="1A19C452" w14:textId="77777777" w:rsidR="0022741B" w:rsidRPr="00D12DFB" w:rsidRDefault="0022741B" w:rsidP="00D12DFB">
      <w:pPr>
        <w:suppressLineNumbers/>
        <w:jc w:val="center"/>
        <w:rPr>
          <w:rFonts w:ascii="Book Antiqua" w:hAnsi="Book Antiqua"/>
          <w:b/>
          <w:bCs/>
          <w:sz w:val="24"/>
          <w:szCs w:val="24"/>
          <w:lang w:val="es-PR"/>
        </w:rPr>
      </w:pPr>
    </w:p>
    <w:p w14:paraId="0F08C157" w14:textId="77777777" w:rsidR="0022741B" w:rsidRPr="0022741B" w:rsidRDefault="0022741B" w:rsidP="0022741B">
      <w:pPr>
        <w:suppressLineNumbers/>
        <w:rPr>
          <w:rFonts w:ascii="Book Antiqua" w:eastAsia="Calibri" w:hAnsi="Book Antiqua" w:cs="Courier New"/>
          <w:color w:val="000000" w:themeColor="text1"/>
          <w:sz w:val="24"/>
          <w:szCs w:val="24"/>
          <w:lang w:val="es-PR"/>
        </w:rPr>
      </w:pPr>
      <w:r w:rsidRPr="0022741B">
        <w:rPr>
          <w:rFonts w:ascii="Book Antiqua" w:eastAsia="Calibri" w:hAnsi="Book Antiqua" w:cs="Courier New"/>
          <w:color w:val="000000" w:themeColor="text1"/>
          <w:sz w:val="24"/>
          <w:szCs w:val="24"/>
          <w:lang w:val="es-PR"/>
        </w:rPr>
        <w:t xml:space="preserve">El Proyecto de la Cámara 1298 no representa un impacto fiscal adverso para el </w:t>
      </w:r>
      <w:proofErr w:type="gramStart"/>
      <w:r w:rsidRPr="0022741B">
        <w:rPr>
          <w:rFonts w:ascii="Book Antiqua" w:eastAsia="Calibri" w:hAnsi="Book Antiqua" w:cs="Courier New"/>
          <w:color w:val="000000" w:themeColor="text1"/>
          <w:sz w:val="24"/>
          <w:szCs w:val="24"/>
          <w:lang w:val="es-PR"/>
        </w:rPr>
        <w:t>erario público</w:t>
      </w:r>
      <w:proofErr w:type="gramEnd"/>
      <w:r w:rsidRPr="0022741B">
        <w:rPr>
          <w:rFonts w:ascii="Book Antiqua" w:eastAsia="Calibri" w:hAnsi="Book Antiqua" w:cs="Courier New"/>
          <w:color w:val="000000" w:themeColor="text1"/>
          <w:sz w:val="24"/>
          <w:szCs w:val="24"/>
          <w:lang w:val="es-PR"/>
        </w:rPr>
        <w:t>, ya que no requiere asignaciones adicionales del Fondo General ni la creación de nuevas fuentes de financiamiento. Según la Oficina de Gerencia y Presupuesto (OGP), los recursos necesarios para aumentar la asignación anual de $500,000 a $1,000,000 provendrán del Fondo para el Desarrollo de la Industria Turística de Puerto Rico, un fondo especial cuya finalidad es precisamente apoyar iniciativas que fortalezcan la actividad turística del país. Por tanto, la medida se financia mediante un mecanismo ya existente y destinado por ley a estos fines, eliminando la posibilidad de presiones fiscales adicionales.</w:t>
      </w:r>
    </w:p>
    <w:p w14:paraId="6201E24A" w14:textId="77777777" w:rsidR="0022741B" w:rsidRDefault="0022741B" w:rsidP="0022741B">
      <w:pPr>
        <w:suppressLineNumbers/>
        <w:jc w:val="center"/>
        <w:rPr>
          <w:rFonts w:ascii="Book Antiqua" w:hAnsi="Book Antiqua"/>
          <w:b/>
          <w:bCs/>
          <w:sz w:val="24"/>
          <w:szCs w:val="24"/>
          <w:lang w:val="es-PR"/>
        </w:rPr>
      </w:pPr>
    </w:p>
    <w:p w14:paraId="69CC1F57" w14:textId="780B3BCB" w:rsidR="0022741B" w:rsidRPr="0022741B" w:rsidRDefault="0022741B" w:rsidP="0022741B">
      <w:pPr>
        <w:suppressLineNumbers/>
        <w:rPr>
          <w:rFonts w:ascii="Book Antiqua" w:eastAsia="Calibri" w:hAnsi="Book Antiqua" w:cs="Courier New"/>
          <w:color w:val="000000" w:themeColor="text1"/>
          <w:sz w:val="24"/>
          <w:szCs w:val="24"/>
          <w:lang w:val="es-PR"/>
        </w:rPr>
      </w:pPr>
      <w:r w:rsidRPr="0022741B">
        <w:rPr>
          <w:rFonts w:ascii="Book Antiqua" w:eastAsia="Calibri" w:hAnsi="Book Antiqua" w:cs="Courier New"/>
          <w:color w:val="000000" w:themeColor="text1"/>
          <w:sz w:val="24"/>
          <w:szCs w:val="24"/>
          <w:lang w:val="es-PR"/>
        </w:rPr>
        <w:t>Asimismo, tanto la OGP como la Comisión de Juegos destacan que la propuesta no altera el esquema vigente de distribución del ingreso neto remanente que nutre dicho fondo, ni modifica la operación o regulación de los casinos. La asignación adicional se limita a redistribuir internamente recursos ya presupuestados dentro del marco estatutario actual.</w:t>
      </w:r>
    </w:p>
    <w:p w14:paraId="0B332684" w14:textId="77777777" w:rsidR="00D12DFB" w:rsidRDefault="00D12DFB" w:rsidP="00D12DFB">
      <w:pPr>
        <w:suppressLineNumbers/>
        <w:jc w:val="center"/>
        <w:rPr>
          <w:rFonts w:ascii="Book Antiqua" w:hAnsi="Book Antiqua"/>
          <w:b/>
          <w:bCs/>
          <w:sz w:val="24"/>
          <w:szCs w:val="24"/>
          <w:lang w:val="es-PR"/>
        </w:rPr>
      </w:pPr>
    </w:p>
    <w:p w14:paraId="1FA8BAE3" w14:textId="77777777" w:rsidR="0022741B" w:rsidRDefault="0022741B" w:rsidP="00D12DFB">
      <w:pPr>
        <w:suppressLineNumbers/>
        <w:jc w:val="center"/>
        <w:rPr>
          <w:rFonts w:ascii="Book Antiqua" w:hAnsi="Book Antiqua"/>
          <w:b/>
          <w:bCs/>
          <w:sz w:val="24"/>
          <w:szCs w:val="24"/>
          <w:lang w:val="es-PR"/>
        </w:rPr>
      </w:pPr>
    </w:p>
    <w:p w14:paraId="1D89CF71" w14:textId="77777777" w:rsidR="0022741B" w:rsidRPr="00D12DFB" w:rsidRDefault="0022741B" w:rsidP="00D12DFB">
      <w:pPr>
        <w:suppressLineNumbers/>
        <w:jc w:val="center"/>
        <w:rPr>
          <w:rFonts w:ascii="Book Antiqua" w:hAnsi="Book Antiqua"/>
          <w:b/>
          <w:bCs/>
          <w:sz w:val="24"/>
          <w:szCs w:val="24"/>
          <w:lang w:val="es-PR"/>
        </w:rPr>
      </w:pPr>
    </w:p>
    <w:p w14:paraId="2496A557" w14:textId="4DE95736" w:rsidR="00BF4815" w:rsidRDefault="00BF4815" w:rsidP="001F0982">
      <w:pPr>
        <w:spacing w:after="237"/>
        <w:ind w:left="18" w:right="13"/>
        <w:jc w:val="center"/>
        <w:rPr>
          <w:rFonts w:ascii="Book Antiqua" w:hAnsi="Book Antiqua"/>
          <w:b/>
          <w:bCs/>
          <w:sz w:val="24"/>
          <w:szCs w:val="24"/>
          <w:lang w:val="es-PR"/>
        </w:rPr>
      </w:pPr>
      <w:r w:rsidRPr="009A5CDB">
        <w:rPr>
          <w:rFonts w:ascii="Book Antiqua" w:hAnsi="Book Antiqua"/>
          <w:b/>
          <w:bCs/>
          <w:sz w:val="24"/>
          <w:szCs w:val="24"/>
          <w:lang w:val="es-PR"/>
        </w:rPr>
        <w:lastRenderedPageBreak/>
        <w:t>CONCLUSIÓN</w:t>
      </w:r>
    </w:p>
    <w:p w14:paraId="0FFADF92" w14:textId="7AF9FAD4" w:rsidR="007E6DF0" w:rsidRPr="007E6DF0" w:rsidRDefault="00EF76CC" w:rsidP="007E6DF0">
      <w:pPr>
        <w:suppressLineNumbers/>
        <w:rPr>
          <w:rFonts w:ascii="Book Antiqua" w:eastAsia="Calibri" w:hAnsi="Book Antiqua" w:cs="Courier New"/>
          <w:color w:val="000000" w:themeColor="text1"/>
          <w:sz w:val="24"/>
          <w:szCs w:val="24"/>
          <w:lang w:val="es-PR"/>
        </w:rPr>
      </w:pPr>
      <w:r w:rsidRPr="007E6DF0">
        <w:rPr>
          <w:rFonts w:ascii="Book Antiqua" w:eastAsia="Calibri" w:hAnsi="Book Antiqua" w:cs="Courier New"/>
          <w:color w:val="000000" w:themeColor="text1"/>
          <w:sz w:val="24"/>
          <w:szCs w:val="24"/>
          <w:lang w:val="es-PR"/>
        </w:rPr>
        <w:t xml:space="preserve">En conclusión, </w:t>
      </w:r>
      <w:r w:rsidR="007E6DF0" w:rsidRPr="007E6DF0">
        <w:rPr>
          <w:rFonts w:ascii="Book Antiqua" w:eastAsia="Calibri" w:hAnsi="Book Antiqua" w:cs="Courier New"/>
          <w:color w:val="000000" w:themeColor="text1"/>
          <w:sz w:val="24"/>
          <w:szCs w:val="24"/>
          <w:lang w:val="es-PR"/>
        </w:rPr>
        <w:t xml:space="preserve">el Proyecto de la Cámara 1298 constituye una medida fiscalmente viable y alineada con los objetivos de desarrollo económico y turístico del Gobierno de Puerto Rico. </w:t>
      </w:r>
      <w:r w:rsidR="007E6DF0">
        <w:rPr>
          <w:rFonts w:ascii="Book Antiqua" w:eastAsia="Calibri" w:hAnsi="Book Antiqua" w:cs="Courier New"/>
          <w:color w:val="000000" w:themeColor="text1"/>
          <w:sz w:val="24"/>
          <w:szCs w:val="24"/>
          <w:lang w:val="es-PR"/>
        </w:rPr>
        <w:t xml:space="preserve"> Esta Comisión coincide con la OGP y </w:t>
      </w:r>
      <w:r w:rsidR="007E6DF0" w:rsidRPr="007E6DF0">
        <w:rPr>
          <w:rFonts w:ascii="Book Antiqua" w:eastAsia="Calibri" w:hAnsi="Book Antiqua" w:cs="Courier New"/>
          <w:color w:val="000000" w:themeColor="text1"/>
          <w:sz w:val="24"/>
          <w:szCs w:val="24"/>
          <w:lang w:val="es-PR"/>
        </w:rPr>
        <w:t>la Comisión de Juegos en que el aumento propuesto a la asignación anual destinada a la celebración de eventos hípicos responde a las necesidades actuales de la industria, a los crecientes costos operacionales y al potencial de estos eventos para atraer visitantes, promover el turismo especializado y generar actividad económica multisectorial.</w:t>
      </w:r>
    </w:p>
    <w:p w14:paraId="3ED0F745" w14:textId="2B9EFEB7" w:rsidR="007E6DF0" w:rsidRPr="007E6DF0" w:rsidRDefault="007E6DF0" w:rsidP="007E6DF0">
      <w:pPr>
        <w:suppressLineNumbers/>
        <w:rPr>
          <w:rFonts w:ascii="Book Antiqua" w:eastAsia="Calibri" w:hAnsi="Book Antiqua" w:cs="Courier New"/>
          <w:color w:val="000000" w:themeColor="text1"/>
          <w:sz w:val="24"/>
          <w:szCs w:val="24"/>
          <w:lang w:val="es-PR"/>
        </w:rPr>
      </w:pPr>
    </w:p>
    <w:p w14:paraId="71AADCB1" w14:textId="67EE9A0A" w:rsidR="007E6DF0" w:rsidRPr="007E6DF0" w:rsidRDefault="007E6DF0" w:rsidP="007E6DF0">
      <w:pPr>
        <w:suppressLineNumbers/>
        <w:rPr>
          <w:rFonts w:ascii="Book Antiqua" w:eastAsia="Calibri" w:hAnsi="Book Antiqua" w:cs="Courier New"/>
          <w:color w:val="000000" w:themeColor="text1"/>
          <w:sz w:val="24"/>
          <w:szCs w:val="24"/>
          <w:lang w:val="es-PR"/>
        </w:rPr>
      </w:pPr>
      <w:r>
        <w:rPr>
          <w:rFonts w:ascii="Book Antiqua" w:eastAsia="Calibri" w:hAnsi="Book Antiqua" w:cs="Courier New"/>
          <w:color w:val="000000" w:themeColor="text1"/>
          <w:sz w:val="24"/>
          <w:szCs w:val="24"/>
          <w:lang w:val="es-PR"/>
        </w:rPr>
        <w:t>E</w:t>
      </w:r>
      <w:r w:rsidRPr="007E6DF0">
        <w:rPr>
          <w:rFonts w:ascii="Book Antiqua" w:eastAsia="Calibri" w:hAnsi="Book Antiqua" w:cs="Courier New"/>
          <w:color w:val="000000" w:themeColor="text1"/>
          <w:sz w:val="24"/>
          <w:szCs w:val="24"/>
          <w:lang w:val="es-PR"/>
        </w:rPr>
        <w:t>l PC 1298 se presenta como una acción legislativa prudente y estratégica que promueve la continuidad y expansión de una industria con significativa importancia económica, cultural y turística para Puerto Rico.</w:t>
      </w:r>
    </w:p>
    <w:p w14:paraId="1945B521" w14:textId="77777777" w:rsidR="00EF76CC" w:rsidRDefault="00EF76CC" w:rsidP="00E330A8">
      <w:pPr>
        <w:rPr>
          <w:rFonts w:ascii="Book Antiqua" w:hAnsi="Book Antiqua"/>
          <w:sz w:val="24"/>
          <w:szCs w:val="24"/>
          <w:lang w:val="es-PR"/>
        </w:rPr>
      </w:pPr>
    </w:p>
    <w:p w14:paraId="15303101" w14:textId="1BCC8D94" w:rsidR="001F575B" w:rsidRDefault="00BF4815" w:rsidP="00E330A8">
      <w:pPr>
        <w:rPr>
          <w:rFonts w:ascii="Book Antiqua" w:eastAsia="Book Antiqua" w:hAnsi="Book Antiqua" w:cs="Book Antiqua"/>
          <w:sz w:val="24"/>
          <w:szCs w:val="24"/>
        </w:rPr>
      </w:pPr>
      <w:r w:rsidRPr="0030331D">
        <w:rPr>
          <w:rFonts w:ascii="Book Antiqua" w:hAnsi="Book Antiqua"/>
          <w:sz w:val="24"/>
          <w:szCs w:val="24"/>
          <w:lang w:val="es-PR"/>
        </w:rPr>
        <w:t>Por los fundamentos antes expuestos, la Comisión de Hacienda</w:t>
      </w:r>
      <w:r w:rsidR="001F575B" w:rsidRPr="0030331D">
        <w:rPr>
          <w:rFonts w:ascii="Book Antiqua" w:hAnsi="Book Antiqua"/>
          <w:sz w:val="24"/>
          <w:szCs w:val="24"/>
          <w:lang w:val="es-PR"/>
        </w:rPr>
        <w:t xml:space="preserve"> de la Cámara de Representante de Puerto Rico, </w:t>
      </w:r>
      <w:r w:rsidRPr="0030331D">
        <w:rPr>
          <w:rFonts w:ascii="Book Antiqua" w:hAnsi="Book Antiqua"/>
          <w:sz w:val="24"/>
          <w:szCs w:val="24"/>
          <w:lang w:val="es-PR"/>
        </w:rPr>
        <w:t>somete el presente Informe Positivo en el que recomendamos a este Honorable Cuerpo la aprobación de</w:t>
      </w:r>
      <w:r w:rsidR="00E225E0" w:rsidRPr="0030331D">
        <w:rPr>
          <w:rFonts w:ascii="Book Antiqua" w:hAnsi="Book Antiqua"/>
          <w:sz w:val="24"/>
          <w:szCs w:val="24"/>
          <w:lang w:val="es-PR"/>
        </w:rPr>
        <w:t>l P. de la C. 12</w:t>
      </w:r>
      <w:r w:rsidR="007E6DF0" w:rsidRPr="0030331D">
        <w:rPr>
          <w:rFonts w:ascii="Book Antiqua" w:hAnsi="Book Antiqua"/>
          <w:sz w:val="24"/>
          <w:szCs w:val="24"/>
          <w:lang w:val="es-PR"/>
        </w:rPr>
        <w:t>98</w:t>
      </w:r>
      <w:r w:rsidR="00E225E0" w:rsidRPr="0030331D">
        <w:rPr>
          <w:rFonts w:ascii="Book Antiqua" w:hAnsi="Book Antiqua"/>
          <w:sz w:val="24"/>
          <w:szCs w:val="24"/>
          <w:lang w:val="es-PR"/>
        </w:rPr>
        <w:t xml:space="preserve">, </w:t>
      </w:r>
      <w:r w:rsidR="0030331D" w:rsidRPr="0030331D">
        <w:rPr>
          <w:rFonts w:ascii="Book Antiqua" w:eastAsia="Book Antiqua" w:hAnsi="Book Antiqua" w:cs="Book Antiqua"/>
          <w:sz w:val="24"/>
          <w:szCs w:val="24"/>
          <w:lang w:val="es-PR"/>
        </w:rPr>
        <w:t xml:space="preserve">sin </w:t>
      </w:r>
      <w:r w:rsidR="001F575B" w:rsidRPr="0030331D">
        <w:rPr>
          <w:rFonts w:ascii="Book Antiqua" w:eastAsia="Book Antiqua" w:hAnsi="Book Antiqua" w:cs="Book Antiqua"/>
          <w:sz w:val="24"/>
          <w:szCs w:val="24"/>
        </w:rPr>
        <w:t>enmiendas</w:t>
      </w:r>
      <w:r w:rsidR="0030331D" w:rsidRPr="0030331D">
        <w:rPr>
          <w:rFonts w:ascii="Book Antiqua" w:eastAsia="Book Antiqua" w:hAnsi="Book Antiqua" w:cs="Book Antiqua"/>
          <w:sz w:val="24"/>
          <w:szCs w:val="24"/>
        </w:rPr>
        <w:t>.</w:t>
      </w:r>
    </w:p>
    <w:p w14:paraId="2B4EA270" w14:textId="77777777" w:rsidR="00EA45CC" w:rsidRDefault="00EA45CC" w:rsidP="00E330A8">
      <w:pPr>
        <w:rPr>
          <w:rFonts w:ascii="Book Antiqua" w:hAnsi="Book Antiqua"/>
          <w:sz w:val="24"/>
          <w:szCs w:val="24"/>
        </w:rPr>
      </w:pPr>
    </w:p>
    <w:p w14:paraId="455F6EB3" w14:textId="77777777" w:rsidR="00EA45CC" w:rsidRDefault="00EA45CC" w:rsidP="00BF4815">
      <w:pPr>
        <w:rPr>
          <w:rFonts w:ascii="Book Antiqua" w:hAnsi="Book Antiqua"/>
          <w:sz w:val="24"/>
          <w:szCs w:val="24"/>
        </w:rPr>
      </w:pPr>
    </w:p>
    <w:p w14:paraId="31A85085" w14:textId="02BA6FCB" w:rsidR="00BF4815" w:rsidRPr="002047CB" w:rsidRDefault="00BF4815" w:rsidP="00BF4815">
      <w:pPr>
        <w:rPr>
          <w:rFonts w:ascii="Book Antiqua" w:hAnsi="Book Antiqua"/>
          <w:sz w:val="24"/>
          <w:szCs w:val="24"/>
          <w:lang w:val="it-IT"/>
        </w:rPr>
      </w:pPr>
      <w:r w:rsidRPr="002047CB">
        <w:rPr>
          <w:rFonts w:ascii="Book Antiqua" w:hAnsi="Book Antiqua"/>
          <w:sz w:val="24"/>
          <w:szCs w:val="24"/>
          <w:lang w:val="it-IT"/>
        </w:rPr>
        <w:t>Respetuosamente sometido,</w:t>
      </w:r>
    </w:p>
    <w:p w14:paraId="180F2CAF" w14:textId="77777777" w:rsidR="00940454" w:rsidRPr="002047CB" w:rsidRDefault="00940454" w:rsidP="00BF4815">
      <w:pPr>
        <w:rPr>
          <w:rFonts w:ascii="Book Antiqua" w:hAnsi="Book Antiqua"/>
          <w:sz w:val="24"/>
          <w:szCs w:val="24"/>
          <w:lang w:val="it-IT"/>
        </w:rPr>
      </w:pPr>
    </w:p>
    <w:p w14:paraId="2125D024" w14:textId="77777777" w:rsidR="00BF4815" w:rsidRPr="002047CB" w:rsidRDefault="00BF4815" w:rsidP="00BF4815">
      <w:pPr>
        <w:rPr>
          <w:rFonts w:ascii="Book Antiqua" w:hAnsi="Book Antiqua"/>
          <w:sz w:val="24"/>
          <w:szCs w:val="24"/>
          <w:lang w:val="it-IT"/>
        </w:rPr>
      </w:pPr>
    </w:p>
    <w:p w14:paraId="0BDF2245" w14:textId="77777777" w:rsidR="00FF4EF1" w:rsidRPr="002047CB" w:rsidRDefault="00FF4EF1" w:rsidP="00BF4815">
      <w:pPr>
        <w:rPr>
          <w:rFonts w:ascii="Book Antiqua" w:hAnsi="Book Antiqua"/>
          <w:sz w:val="24"/>
          <w:szCs w:val="24"/>
          <w:lang w:val="it-IT"/>
        </w:rPr>
      </w:pPr>
    </w:p>
    <w:p w14:paraId="6CC1D031" w14:textId="77777777" w:rsidR="00EA45CC" w:rsidRPr="002047CB" w:rsidRDefault="00EA45CC" w:rsidP="00BF4815">
      <w:pPr>
        <w:rPr>
          <w:rFonts w:ascii="Book Antiqua" w:hAnsi="Book Antiqua"/>
          <w:sz w:val="24"/>
          <w:szCs w:val="24"/>
          <w:lang w:val="it-IT"/>
        </w:rPr>
      </w:pPr>
    </w:p>
    <w:p w14:paraId="34DC2EB0" w14:textId="2CB2A1C8" w:rsidR="00BF4815" w:rsidRPr="002047CB" w:rsidRDefault="00F95B5E" w:rsidP="00BF4815">
      <w:pPr>
        <w:pStyle w:val="BodyText"/>
        <w:spacing w:line="240" w:lineRule="auto"/>
        <w:jc w:val="left"/>
        <w:rPr>
          <w:rFonts w:ascii="Book Antiqua" w:hAnsi="Book Antiqua"/>
          <w:szCs w:val="24"/>
          <w:lang w:val="it-IT"/>
        </w:rPr>
      </w:pPr>
      <w:r w:rsidRPr="002047CB">
        <w:rPr>
          <w:rFonts w:ascii="Book Antiqua" w:hAnsi="Book Antiqua"/>
          <w:szCs w:val="24"/>
          <w:lang w:val="it-IT"/>
        </w:rPr>
        <w:t xml:space="preserve">Eddie Charbonier Chinea </w:t>
      </w:r>
      <w:r w:rsidR="00BF4815" w:rsidRPr="002047CB">
        <w:rPr>
          <w:rFonts w:ascii="Book Antiqua" w:hAnsi="Book Antiqua"/>
          <w:szCs w:val="24"/>
          <w:lang w:val="it-IT"/>
        </w:rPr>
        <w:tab/>
      </w:r>
      <w:r w:rsidR="00BF4815" w:rsidRPr="002047CB">
        <w:rPr>
          <w:rFonts w:ascii="Book Antiqua" w:hAnsi="Book Antiqua"/>
          <w:szCs w:val="24"/>
          <w:lang w:val="it-IT"/>
        </w:rPr>
        <w:tab/>
      </w:r>
      <w:r w:rsidR="00BF4815" w:rsidRPr="002047CB">
        <w:rPr>
          <w:rFonts w:ascii="Book Antiqua" w:hAnsi="Book Antiqua"/>
          <w:szCs w:val="24"/>
          <w:lang w:val="it-IT"/>
        </w:rPr>
        <w:tab/>
      </w:r>
      <w:r w:rsidR="00BF4815" w:rsidRPr="002047CB">
        <w:rPr>
          <w:rFonts w:ascii="Book Antiqua" w:hAnsi="Book Antiqua"/>
          <w:szCs w:val="24"/>
          <w:lang w:val="it-IT"/>
        </w:rPr>
        <w:tab/>
      </w:r>
      <w:r w:rsidR="00BF4815" w:rsidRPr="002047CB">
        <w:rPr>
          <w:rFonts w:ascii="Book Antiqua" w:hAnsi="Book Antiqua"/>
          <w:szCs w:val="24"/>
          <w:lang w:val="it-IT"/>
        </w:rPr>
        <w:tab/>
      </w:r>
    </w:p>
    <w:p w14:paraId="7DF7DADE" w14:textId="77777777" w:rsidR="00BF4815" w:rsidRPr="0006791A" w:rsidRDefault="00BF4815" w:rsidP="00BF4815">
      <w:pPr>
        <w:pStyle w:val="BodyText"/>
        <w:spacing w:line="240" w:lineRule="auto"/>
        <w:jc w:val="left"/>
        <w:rPr>
          <w:rFonts w:ascii="Book Antiqua" w:hAnsi="Book Antiqua"/>
          <w:szCs w:val="24"/>
        </w:rPr>
      </w:pPr>
      <w:r w:rsidRPr="0006791A">
        <w:rPr>
          <w:rFonts w:ascii="Book Antiqua" w:hAnsi="Book Antiqua"/>
          <w:szCs w:val="24"/>
        </w:rPr>
        <w:t>Presidente</w:t>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r w:rsidRPr="0006791A">
        <w:rPr>
          <w:rFonts w:ascii="Book Antiqua" w:hAnsi="Book Antiqua"/>
          <w:szCs w:val="24"/>
        </w:rPr>
        <w:tab/>
      </w:r>
    </w:p>
    <w:p w14:paraId="28947B0C" w14:textId="3584B293" w:rsidR="00BF4815" w:rsidRPr="0006791A" w:rsidRDefault="00BF4815" w:rsidP="00BF4815">
      <w:pPr>
        <w:pStyle w:val="BodyText"/>
        <w:spacing w:line="240" w:lineRule="auto"/>
        <w:ind w:left="5760" w:hanging="5760"/>
        <w:jc w:val="left"/>
        <w:rPr>
          <w:rFonts w:ascii="Book Antiqua" w:hAnsi="Book Antiqua"/>
          <w:szCs w:val="24"/>
        </w:rPr>
      </w:pPr>
      <w:r w:rsidRPr="0006791A">
        <w:rPr>
          <w:rFonts w:ascii="Book Antiqua" w:hAnsi="Book Antiqua"/>
          <w:szCs w:val="24"/>
        </w:rPr>
        <w:t xml:space="preserve">Comisión de Hacienda </w:t>
      </w:r>
    </w:p>
    <w:p w14:paraId="634153B3" w14:textId="77777777" w:rsidR="00BF4815" w:rsidRPr="0006791A" w:rsidRDefault="00BF4815" w:rsidP="00BF4815">
      <w:pPr>
        <w:pStyle w:val="BodyText"/>
        <w:spacing w:line="240" w:lineRule="auto"/>
        <w:ind w:left="5760" w:hanging="5760"/>
        <w:jc w:val="left"/>
        <w:rPr>
          <w:rFonts w:ascii="Book Antiqua" w:hAnsi="Book Antiqua"/>
          <w:szCs w:val="24"/>
        </w:rPr>
      </w:pPr>
    </w:p>
    <w:p w14:paraId="5C34D9C9" w14:textId="77777777" w:rsidR="00BF4815" w:rsidRPr="0006791A" w:rsidRDefault="00BF4815" w:rsidP="00BF4815">
      <w:pPr>
        <w:pStyle w:val="BodyText"/>
        <w:spacing w:line="240" w:lineRule="auto"/>
        <w:ind w:left="5760" w:hanging="5760"/>
        <w:jc w:val="left"/>
        <w:rPr>
          <w:rFonts w:ascii="Book Antiqua" w:hAnsi="Book Antiqua"/>
          <w:szCs w:val="24"/>
        </w:rPr>
      </w:pPr>
    </w:p>
    <w:p w14:paraId="7293D31A" w14:textId="77777777" w:rsidR="00BF4815" w:rsidRDefault="00BF4815" w:rsidP="00BF4815">
      <w:pPr>
        <w:pStyle w:val="BodyText"/>
        <w:spacing w:line="240" w:lineRule="auto"/>
        <w:ind w:left="5760" w:hanging="5760"/>
        <w:jc w:val="left"/>
        <w:rPr>
          <w:rFonts w:ascii="Book Antiqua" w:hAnsi="Book Antiqua"/>
          <w:szCs w:val="24"/>
        </w:rPr>
      </w:pPr>
    </w:p>
    <w:p w14:paraId="2C16798B" w14:textId="77777777" w:rsidR="00BF4815" w:rsidRDefault="00BF4815" w:rsidP="00BF4815">
      <w:pPr>
        <w:pStyle w:val="BodyText"/>
        <w:spacing w:line="240" w:lineRule="auto"/>
        <w:ind w:left="5760" w:hanging="5760"/>
        <w:jc w:val="left"/>
        <w:rPr>
          <w:rFonts w:ascii="Book Antiqua" w:hAnsi="Book Antiqua"/>
          <w:szCs w:val="24"/>
        </w:rPr>
      </w:pPr>
    </w:p>
    <w:p w14:paraId="75418EF4" w14:textId="77777777" w:rsidR="00BF4815" w:rsidRDefault="00BF4815" w:rsidP="00BF4815">
      <w:pPr>
        <w:pStyle w:val="BodyText"/>
        <w:spacing w:line="240" w:lineRule="auto"/>
        <w:ind w:left="5760" w:hanging="5760"/>
        <w:jc w:val="left"/>
        <w:rPr>
          <w:rFonts w:ascii="Book Antiqua" w:hAnsi="Book Antiqua"/>
          <w:szCs w:val="24"/>
        </w:rPr>
      </w:pPr>
    </w:p>
    <w:p w14:paraId="6F160F17" w14:textId="77777777" w:rsidR="00BF4815" w:rsidRDefault="00BF4815" w:rsidP="00BF4815">
      <w:pPr>
        <w:pStyle w:val="BodyText"/>
        <w:spacing w:line="240" w:lineRule="auto"/>
        <w:ind w:left="5760" w:hanging="5760"/>
        <w:jc w:val="left"/>
        <w:rPr>
          <w:rFonts w:ascii="Book Antiqua" w:hAnsi="Book Antiqua"/>
          <w:szCs w:val="24"/>
        </w:rPr>
      </w:pPr>
    </w:p>
    <w:p w14:paraId="3C4DC74A" w14:textId="77777777" w:rsidR="00BF4815" w:rsidRDefault="00BF4815" w:rsidP="00BF4815">
      <w:pPr>
        <w:pStyle w:val="BodyText"/>
        <w:spacing w:line="240" w:lineRule="auto"/>
        <w:ind w:left="5760" w:hanging="5760"/>
        <w:jc w:val="left"/>
        <w:rPr>
          <w:rFonts w:ascii="Book Antiqua" w:hAnsi="Book Antiqua"/>
          <w:szCs w:val="24"/>
        </w:rPr>
      </w:pPr>
    </w:p>
    <w:p w14:paraId="78EE7A7F" w14:textId="77777777" w:rsidR="00BF4815" w:rsidRDefault="00BF4815"/>
    <w:p w14:paraId="406A8B49" w14:textId="7BEE79F9" w:rsidR="00BF4815" w:rsidRDefault="00BF4815"/>
    <w:p w14:paraId="7A5A6F5E" w14:textId="77777777" w:rsidR="002456F4" w:rsidRDefault="002456F4"/>
    <w:sectPr w:rsidR="002456F4" w:rsidSect="00424EF4">
      <w:footerReference w:type="default" r:id="rId11"/>
      <w:footerReference w:type="first" r:id="rId12"/>
      <w:pgSz w:w="12240" w:h="15840"/>
      <w:pgMar w:top="1440" w:right="1440" w:bottom="1440" w:left="144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871208" w14:textId="77777777" w:rsidR="005268F8" w:rsidRDefault="005268F8" w:rsidP="007A6CEE">
      <w:r>
        <w:separator/>
      </w:r>
    </w:p>
  </w:endnote>
  <w:endnote w:type="continuationSeparator" w:id="0">
    <w:p w14:paraId="33A899FF" w14:textId="77777777" w:rsidR="005268F8" w:rsidRDefault="005268F8" w:rsidP="007A6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Book Antiqua">
    <w:altName w:val="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1134349"/>
      <w:docPartObj>
        <w:docPartGallery w:val="Page Numbers (Bottom of Page)"/>
        <w:docPartUnique/>
      </w:docPartObj>
    </w:sdtPr>
    <w:sdtEndPr>
      <w:rPr>
        <w:noProof/>
      </w:rPr>
    </w:sdtEndPr>
    <w:sdtContent>
      <w:p w14:paraId="0C7F005E" w14:textId="13BBE559" w:rsidR="00424EF4" w:rsidRDefault="00424E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F07AD6" w14:textId="2FA104F1" w:rsidR="00424EF4" w:rsidRPr="00424EF4" w:rsidRDefault="00424EF4" w:rsidP="00424E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D398B" w14:textId="49714195" w:rsidR="00424EF4" w:rsidRDefault="00424EF4">
    <w:pPr>
      <w:pStyle w:val="Footer"/>
      <w:jc w:val="center"/>
    </w:pPr>
  </w:p>
  <w:p w14:paraId="3B65757B" w14:textId="77777777" w:rsidR="00424EF4" w:rsidRDefault="00424E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9D475" w14:textId="77777777" w:rsidR="005268F8" w:rsidRDefault="005268F8" w:rsidP="007A6CEE">
      <w:r>
        <w:separator/>
      </w:r>
    </w:p>
  </w:footnote>
  <w:footnote w:type="continuationSeparator" w:id="0">
    <w:p w14:paraId="045D0129" w14:textId="77777777" w:rsidR="005268F8" w:rsidRDefault="005268F8" w:rsidP="007A6C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3B52"/>
    <w:multiLevelType w:val="hybridMultilevel"/>
    <w:tmpl w:val="0038DB3E"/>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 w15:restartNumberingAfterBreak="0">
    <w:nsid w:val="08612DCF"/>
    <w:multiLevelType w:val="hybridMultilevel"/>
    <w:tmpl w:val="250CA9EC"/>
    <w:lvl w:ilvl="0" w:tplc="04090001">
      <w:start w:val="1"/>
      <w:numFmt w:val="bullet"/>
      <w:lvlText w:val=""/>
      <w:lvlJc w:val="left"/>
      <w:pPr>
        <w:ind w:left="733" w:hanging="360"/>
      </w:pPr>
      <w:rPr>
        <w:rFonts w:ascii="Symbol" w:hAnsi="Symbol" w:hint="default"/>
      </w:rPr>
    </w:lvl>
    <w:lvl w:ilvl="1" w:tplc="04090003" w:tentative="1">
      <w:start w:val="1"/>
      <w:numFmt w:val="bullet"/>
      <w:lvlText w:val="o"/>
      <w:lvlJc w:val="left"/>
      <w:pPr>
        <w:ind w:left="1453" w:hanging="360"/>
      </w:pPr>
      <w:rPr>
        <w:rFonts w:ascii="Courier New" w:hAnsi="Courier New" w:cs="Courier New" w:hint="default"/>
      </w:rPr>
    </w:lvl>
    <w:lvl w:ilvl="2" w:tplc="04090005" w:tentative="1">
      <w:start w:val="1"/>
      <w:numFmt w:val="bullet"/>
      <w:lvlText w:val=""/>
      <w:lvlJc w:val="left"/>
      <w:pPr>
        <w:ind w:left="2173" w:hanging="360"/>
      </w:pPr>
      <w:rPr>
        <w:rFonts w:ascii="Wingdings" w:hAnsi="Wingdings" w:hint="default"/>
      </w:rPr>
    </w:lvl>
    <w:lvl w:ilvl="3" w:tplc="04090001" w:tentative="1">
      <w:start w:val="1"/>
      <w:numFmt w:val="bullet"/>
      <w:lvlText w:val=""/>
      <w:lvlJc w:val="left"/>
      <w:pPr>
        <w:ind w:left="2893" w:hanging="360"/>
      </w:pPr>
      <w:rPr>
        <w:rFonts w:ascii="Symbol" w:hAnsi="Symbol" w:hint="default"/>
      </w:rPr>
    </w:lvl>
    <w:lvl w:ilvl="4" w:tplc="04090003" w:tentative="1">
      <w:start w:val="1"/>
      <w:numFmt w:val="bullet"/>
      <w:lvlText w:val="o"/>
      <w:lvlJc w:val="left"/>
      <w:pPr>
        <w:ind w:left="3613" w:hanging="360"/>
      </w:pPr>
      <w:rPr>
        <w:rFonts w:ascii="Courier New" w:hAnsi="Courier New" w:cs="Courier New" w:hint="default"/>
      </w:rPr>
    </w:lvl>
    <w:lvl w:ilvl="5" w:tplc="04090005" w:tentative="1">
      <w:start w:val="1"/>
      <w:numFmt w:val="bullet"/>
      <w:lvlText w:val=""/>
      <w:lvlJc w:val="left"/>
      <w:pPr>
        <w:ind w:left="4333" w:hanging="360"/>
      </w:pPr>
      <w:rPr>
        <w:rFonts w:ascii="Wingdings" w:hAnsi="Wingdings" w:hint="default"/>
      </w:rPr>
    </w:lvl>
    <w:lvl w:ilvl="6" w:tplc="04090001" w:tentative="1">
      <w:start w:val="1"/>
      <w:numFmt w:val="bullet"/>
      <w:lvlText w:val=""/>
      <w:lvlJc w:val="left"/>
      <w:pPr>
        <w:ind w:left="5053" w:hanging="360"/>
      </w:pPr>
      <w:rPr>
        <w:rFonts w:ascii="Symbol" w:hAnsi="Symbol" w:hint="default"/>
      </w:rPr>
    </w:lvl>
    <w:lvl w:ilvl="7" w:tplc="04090003" w:tentative="1">
      <w:start w:val="1"/>
      <w:numFmt w:val="bullet"/>
      <w:lvlText w:val="o"/>
      <w:lvlJc w:val="left"/>
      <w:pPr>
        <w:ind w:left="5773" w:hanging="360"/>
      </w:pPr>
      <w:rPr>
        <w:rFonts w:ascii="Courier New" w:hAnsi="Courier New" w:cs="Courier New" w:hint="default"/>
      </w:rPr>
    </w:lvl>
    <w:lvl w:ilvl="8" w:tplc="04090005" w:tentative="1">
      <w:start w:val="1"/>
      <w:numFmt w:val="bullet"/>
      <w:lvlText w:val=""/>
      <w:lvlJc w:val="left"/>
      <w:pPr>
        <w:ind w:left="6493" w:hanging="360"/>
      </w:pPr>
      <w:rPr>
        <w:rFonts w:ascii="Wingdings" w:hAnsi="Wingdings" w:hint="default"/>
      </w:rPr>
    </w:lvl>
  </w:abstractNum>
  <w:abstractNum w:abstractNumId="2" w15:restartNumberingAfterBreak="0">
    <w:nsid w:val="11CF6CAC"/>
    <w:multiLevelType w:val="multilevel"/>
    <w:tmpl w:val="C4267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854719"/>
    <w:multiLevelType w:val="multilevel"/>
    <w:tmpl w:val="AF143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AD74ED"/>
    <w:multiLevelType w:val="hybridMultilevel"/>
    <w:tmpl w:val="FC609F90"/>
    <w:lvl w:ilvl="0" w:tplc="D3645B92">
      <w:start w:val="1"/>
      <w:numFmt w:val="bullet"/>
      <w:lvlText w:val="•"/>
      <w:lvlJc w:val="left"/>
      <w:pPr>
        <w:ind w:left="1253"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5B78998A">
      <w:start w:val="1"/>
      <w:numFmt w:val="bullet"/>
      <w:lvlText w:val="o"/>
      <w:lvlJc w:val="left"/>
      <w:pPr>
        <w:ind w:left="180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EA042C3C">
      <w:start w:val="1"/>
      <w:numFmt w:val="bullet"/>
      <w:lvlText w:val="▪"/>
      <w:lvlJc w:val="left"/>
      <w:pPr>
        <w:ind w:left="252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4B186D96">
      <w:start w:val="1"/>
      <w:numFmt w:val="bullet"/>
      <w:lvlText w:val="•"/>
      <w:lvlJc w:val="left"/>
      <w:pPr>
        <w:ind w:left="324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AAEEDFBE">
      <w:start w:val="1"/>
      <w:numFmt w:val="bullet"/>
      <w:lvlText w:val="o"/>
      <w:lvlJc w:val="left"/>
      <w:pPr>
        <w:ind w:left="396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3D0C58FC">
      <w:start w:val="1"/>
      <w:numFmt w:val="bullet"/>
      <w:lvlText w:val="▪"/>
      <w:lvlJc w:val="left"/>
      <w:pPr>
        <w:ind w:left="468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136EBDBE">
      <w:start w:val="1"/>
      <w:numFmt w:val="bullet"/>
      <w:lvlText w:val="•"/>
      <w:lvlJc w:val="left"/>
      <w:pPr>
        <w:ind w:left="540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B4DE16A4">
      <w:start w:val="1"/>
      <w:numFmt w:val="bullet"/>
      <w:lvlText w:val="o"/>
      <w:lvlJc w:val="left"/>
      <w:pPr>
        <w:ind w:left="612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E9701D38">
      <w:start w:val="1"/>
      <w:numFmt w:val="bullet"/>
      <w:lvlText w:val="▪"/>
      <w:lvlJc w:val="left"/>
      <w:pPr>
        <w:ind w:left="684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5" w15:restartNumberingAfterBreak="0">
    <w:nsid w:val="20B60B88"/>
    <w:multiLevelType w:val="hybridMultilevel"/>
    <w:tmpl w:val="1FE61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AD1271"/>
    <w:multiLevelType w:val="multilevel"/>
    <w:tmpl w:val="3522E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C54738"/>
    <w:multiLevelType w:val="hybridMultilevel"/>
    <w:tmpl w:val="1CAAF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223AED"/>
    <w:multiLevelType w:val="hybridMultilevel"/>
    <w:tmpl w:val="80060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1F0CB7"/>
    <w:multiLevelType w:val="multilevel"/>
    <w:tmpl w:val="09068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A64484"/>
    <w:multiLevelType w:val="hybridMultilevel"/>
    <w:tmpl w:val="28582536"/>
    <w:lvl w:ilvl="0" w:tplc="04090001">
      <w:start w:val="1"/>
      <w:numFmt w:val="bullet"/>
      <w:lvlText w:val=""/>
      <w:lvlJc w:val="left"/>
      <w:pPr>
        <w:ind w:left="720" w:hanging="360"/>
      </w:pPr>
      <w:rPr>
        <w:rFonts w:ascii="Symbol" w:hAnsi="Symbol"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887490C"/>
    <w:multiLevelType w:val="hybridMultilevel"/>
    <w:tmpl w:val="141012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E97323"/>
    <w:multiLevelType w:val="multilevel"/>
    <w:tmpl w:val="CE32D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9B16D4"/>
    <w:multiLevelType w:val="multilevel"/>
    <w:tmpl w:val="08DC4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4305C3"/>
    <w:multiLevelType w:val="hybridMultilevel"/>
    <w:tmpl w:val="75281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25231F"/>
    <w:multiLevelType w:val="multilevel"/>
    <w:tmpl w:val="4D9E1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7FF38DB"/>
    <w:multiLevelType w:val="hybridMultilevel"/>
    <w:tmpl w:val="62BE6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D6E2C09"/>
    <w:multiLevelType w:val="hybridMultilevel"/>
    <w:tmpl w:val="86AE4D5A"/>
    <w:lvl w:ilvl="0" w:tplc="04090001">
      <w:start w:val="1"/>
      <w:numFmt w:val="bullet"/>
      <w:lvlText w:val=""/>
      <w:lvlJc w:val="left"/>
      <w:pPr>
        <w:ind w:left="715" w:hanging="360"/>
      </w:pPr>
      <w:rPr>
        <w:rFonts w:ascii="Symbol" w:hAnsi="Symbol" w:hint="default"/>
      </w:rPr>
    </w:lvl>
    <w:lvl w:ilvl="1" w:tplc="04090003" w:tentative="1">
      <w:start w:val="1"/>
      <w:numFmt w:val="bullet"/>
      <w:lvlText w:val="o"/>
      <w:lvlJc w:val="left"/>
      <w:pPr>
        <w:ind w:left="1435" w:hanging="360"/>
      </w:pPr>
      <w:rPr>
        <w:rFonts w:ascii="Courier New" w:hAnsi="Courier New" w:cs="Courier New" w:hint="default"/>
      </w:rPr>
    </w:lvl>
    <w:lvl w:ilvl="2" w:tplc="04090005" w:tentative="1">
      <w:start w:val="1"/>
      <w:numFmt w:val="bullet"/>
      <w:lvlText w:val=""/>
      <w:lvlJc w:val="left"/>
      <w:pPr>
        <w:ind w:left="2155" w:hanging="360"/>
      </w:pPr>
      <w:rPr>
        <w:rFonts w:ascii="Wingdings" w:hAnsi="Wingdings" w:hint="default"/>
      </w:rPr>
    </w:lvl>
    <w:lvl w:ilvl="3" w:tplc="04090001" w:tentative="1">
      <w:start w:val="1"/>
      <w:numFmt w:val="bullet"/>
      <w:lvlText w:val=""/>
      <w:lvlJc w:val="left"/>
      <w:pPr>
        <w:ind w:left="2875" w:hanging="360"/>
      </w:pPr>
      <w:rPr>
        <w:rFonts w:ascii="Symbol" w:hAnsi="Symbol" w:hint="default"/>
      </w:rPr>
    </w:lvl>
    <w:lvl w:ilvl="4" w:tplc="04090003" w:tentative="1">
      <w:start w:val="1"/>
      <w:numFmt w:val="bullet"/>
      <w:lvlText w:val="o"/>
      <w:lvlJc w:val="left"/>
      <w:pPr>
        <w:ind w:left="3595" w:hanging="360"/>
      </w:pPr>
      <w:rPr>
        <w:rFonts w:ascii="Courier New" w:hAnsi="Courier New" w:cs="Courier New" w:hint="default"/>
      </w:rPr>
    </w:lvl>
    <w:lvl w:ilvl="5" w:tplc="04090005" w:tentative="1">
      <w:start w:val="1"/>
      <w:numFmt w:val="bullet"/>
      <w:lvlText w:val=""/>
      <w:lvlJc w:val="left"/>
      <w:pPr>
        <w:ind w:left="4315" w:hanging="360"/>
      </w:pPr>
      <w:rPr>
        <w:rFonts w:ascii="Wingdings" w:hAnsi="Wingdings" w:hint="default"/>
      </w:rPr>
    </w:lvl>
    <w:lvl w:ilvl="6" w:tplc="04090001" w:tentative="1">
      <w:start w:val="1"/>
      <w:numFmt w:val="bullet"/>
      <w:lvlText w:val=""/>
      <w:lvlJc w:val="left"/>
      <w:pPr>
        <w:ind w:left="5035" w:hanging="360"/>
      </w:pPr>
      <w:rPr>
        <w:rFonts w:ascii="Symbol" w:hAnsi="Symbol" w:hint="default"/>
      </w:rPr>
    </w:lvl>
    <w:lvl w:ilvl="7" w:tplc="04090003" w:tentative="1">
      <w:start w:val="1"/>
      <w:numFmt w:val="bullet"/>
      <w:lvlText w:val="o"/>
      <w:lvlJc w:val="left"/>
      <w:pPr>
        <w:ind w:left="5755" w:hanging="360"/>
      </w:pPr>
      <w:rPr>
        <w:rFonts w:ascii="Courier New" w:hAnsi="Courier New" w:cs="Courier New" w:hint="default"/>
      </w:rPr>
    </w:lvl>
    <w:lvl w:ilvl="8" w:tplc="04090005" w:tentative="1">
      <w:start w:val="1"/>
      <w:numFmt w:val="bullet"/>
      <w:lvlText w:val=""/>
      <w:lvlJc w:val="left"/>
      <w:pPr>
        <w:ind w:left="6475" w:hanging="360"/>
      </w:pPr>
      <w:rPr>
        <w:rFonts w:ascii="Wingdings" w:hAnsi="Wingdings" w:hint="default"/>
      </w:rPr>
    </w:lvl>
  </w:abstractNum>
  <w:abstractNum w:abstractNumId="18" w15:restartNumberingAfterBreak="0">
    <w:nsid w:val="51381336"/>
    <w:multiLevelType w:val="hybridMultilevel"/>
    <w:tmpl w:val="E6EEE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AD61ABE"/>
    <w:multiLevelType w:val="hybridMultilevel"/>
    <w:tmpl w:val="5EEA8A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B5F145C"/>
    <w:multiLevelType w:val="hybridMultilevel"/>
    <w:tmpl w:val="5E80C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F85427F"/>
    <w:multiLevelType w:val="multilevel"/>
    <w:tmpl w:val="28582536"/>
    <w:styleLink w:val="CurrentList1"/>
    <w:lvl w:ilvl="0">
      <w:start w:val="1"/>
      <w:numFmt w:val="bullet"/>
      <w:lvlText w:val=""/>
      <w:lvlJc w:val="left"/>
      <w:pPr>
        <w:ind w:left="720" w:hanging="360"/>
      </w:pPr>
      <w:rPr>
        <w:rFonts w:ascii="Symbol" w:hAnsi="Symbol" w:hint="default"/>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61156FF"/>
    <w:multiLevelType w:val="multilevel"/>
    <w:tmpl w:val="610C8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7C224C"/>
    <w:multiLevelType w:val="hybridMultilevel"/>
    <w:tmpl w:val="167E3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DA475CD"/>
    <w:multiLevelType w:val="hybridMultilevel"/>
    <w:tmpl w:val="98825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DD5457A"/>
    <w:multiLevelType w:val="hybridMultilevel"/>
    <w:tmpl w:val="E89AF0D4"/>
    <w:lvl w:ilvl="0" w:tplc="04090001">
      <w:start w:val="1"/>
      <w:numFmt w:val="bullet"/>
      <w:lvlText w:val=""/>
      <w:lvlJc w:val="left"/>
      <w:pPr>
        <w:ind w:left="715"/>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51B6296A">
      <w:start w:val="1"/>
      <w:numFmt w:val="lowerLetter"/>
      <w:lvlText w:val="%2"/>
      <w:lvlJc w:val="left"/>
      <w:pPr>
        <w:ind w:left="14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208D0C2">
      <w:start w:val="1"/>
      <w:numFmt w:val="lowerRoman"/>
      <w:lvlText w:val="%3"/>
      <w:lvlJc w:val="left"/>
      <w:pPr>
        <w:ind w:left="21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24A29F4">
      <w:start w:val="1"/>
      <w:numFmt w:val="decimal"/>
      <w:lvlText w:val="%4"/>
      <w:lvlJc w:val="left"/>
      <w:pPr>
        <w:ind w:left="28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444ACAE">
      <w:start w:val="1"/>
      <w:numFmt w:val="lowerLetter"/>
      <w:lvlText w:val="%5"/>
      <w:lvlJc w:val="left"/>
      <w:pPr>
        <w:ind w:left="35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01C8100">
      <w:start w:val="1"/>
      <w:numFmt w:val="lowerRoman"/>
      <w:lvlText w:val="%6"/>
      <w:lvlJc w:val="left"/>
      <w:pPr>
        <w:ind w:left="43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6A62ABA">
      <w:start w:val="1"/>
      <w:numFmt w:val="decimal"/>
      <w:lvlText w:val="%7"/>
      <w:lvlJc w:val="left"/>
      <w:pPr>
        <w:ind w:left="50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EAE7058">
      <w:start w:val="1"/>
      <w:numFmt w:val="lowerLetter"/>
      <w:lvlText w:val="%8"/>
      <w:lvlJc w:val="left"/>
      <w:pPr>
        <w:ind w:left="57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806928">
      <w:start w:val="1"/>
      <w:numFmt w:val="lowerRoman"/>
      <w:lvlText w:val="%9"/>
      <w:lvlJc w:val="left"/>
      <w:pPr>
        <w:ind w:left="64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DF939AF"/>
    <w:multiLevelType w:val="hybridMultilevel"/>
    <w:tmpl w:val="4A727258"/>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7" w15:restartNumberingAfterBreak="0">
    <w:nsid w:val="73321E80"/>
    <w:multiLevelType w:val="hybridMultilevel"/>
    <w:tmpl w:val="4028B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95F773A"/>
    <w:multiLevelType w:val="hybridMultilevel"/>
    <w:tmpl w:val="89505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B885CB9"/>
    <w:multiLevelType w:val="multilevel"/>
    <w:tmpl w:val="CE8EC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E334AEC"/>
    <w:multiLevelType w:val="hybridMultilevel"/>
    <w:tmpl w:val="98267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E915F94"/>
    <w:multiLevelType w:val="hybridMultilevel"/>
    <w:tmpl w:val="00F86F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F844D6E"/>
    <w:multiLevelType w:val="hybridMultilevel"/>
    <w:tmpl w:val="683656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6461161">
    <w:abstractNumId w:val="25"/>
  </w:num>
  <w:num w:numId="2" w16cid:durableId="1609773520">
    <w:abstractNumId w:val="17"/>
  </w:num>
  <w:num w:numId="3" w16cid:durableId="1152066211">
    <w:abstractNumId w:val="10"/>
  </w:num>
  <w:num w:numId="4" w16cid:durableId="606549462">
    <w:abstractNumId w:val="0"/>
  </w:num>
  <w:num w:numId="5" w16cid:durableId="2002005174">
    <w:abstractNumId w:val="30"/>
  </w:num>
  <w:num w:numId="6" w16cid:durableId="1619526196">
    <w:abstractNumId w:val="7"/>
  </w:num>
  <w:num w:numId="7" w16cid:durableId="1083260340">
    <w:abstractNumId w:val="18"/>
  </w:num>
  <w:num w:numId="8" w16cid:durableId="1081945793">
    <w:abstractNumId w:val="19"/>
  </w:num>
  <w:num w:numId="9" w16cid:durableId="247008923">
    <w:abstractNumId w:val="27"/>
  </w:num>
  <w:num w:numId="10" w16cid:durableId="771054349">
    <w:abstractNumId w:val="14"/>
  </w:num>
  <w:num w:numId="11" w16cid:durableId="148056031">
    <w:abstractNumId w:val="16"/>
  </w:num>
  <w:num w:numId="12" w16cid:durableId="797994645">
    <w:abstractNumId w:val="29"/>
  </w:num>
  <w:num w:numId="13" w16cid:durableId="1626429560">
    <w:abstractNumId w:val="15"/>
  </w:num>
  <w:num w:numId="14" w16cid:durableId="1538002169">
    <w:abstractNumId w:val="26"/>
  </w:num>
  <w:num w:numId="15" w16cid:durableId="945231708">
    <w:abstractNumId w:val="2"/>
  </w:num>
  <w:num w:numId="16" w16cid:durableId="981814250">
    <w:abstractNumId w:val="1"/>
  </w:num>
  <w:num w:numId="17" w16cid:durableId="1085228826">
    <w:abstractNumId w:val="28"/>
  </w:num>
  <w:num w:numId="18" w16cid:durableId="95247088">
    <w:abstractNumId w:val="31"/>
  </w:num>
  <w:num w:numId="19" w16cid:durableId="706563858">
    <w:abstractNumId w:val="11"/>
  </w:num>
  <w:num w:numId="20" w16cid:durableId="1108617931">
    <w:abstractNumId w:val="21"/>
  </w:num>
  <w:num w:numId="21" w16cid:durableId="1658460473">
    <w:abstractNumId w:val="4"/>
  </w:num>
  <w:num w:numId="22" w16cid:durableId="1977754565">
    <w:abstractNumId w:val="23"/>
  </w:num>
  <w:num w:numId="23" w16cid:durableId="1002124307">
    <w:abstractNumId w:val="32"/>
  </w:num>
  <w:num w:numId="24" w16cid:durableId="1734427424">
    <w:abstractNumId w:val="20"/>
  </w:num>
  <w:num w:numId="25" w16cid:durableId="1385837445">
    <w:abstractNumId w:val="13"/>
  </w:num>
  <w:num w:numId="26" w16cid:durableId="345862275">
    <w:abstractNumId w:val="12"/>
  </w:num>
  <w:num w:numId="27" w16cid:durableId="1359887763">
    <w:abstractNumId w:val="24"/>
  </w:num>
  <w:num w:numId="28" w16cid:durableId="1391884817">
    <w:abstractNumId w:val="8"/>
  </w:num>
  <w:num w:numId="29" w16cid:durableId="330448587">
    <w:abstractNumId w:val="5"/>
  </w:num>
  <w:num w:numId="30" w16cid:durableId="1978759315">
    <w:abstractNumId w:val="6"/>
  </w:num>
  <w:num w:numId="31" w16cid:durableId="678973135">
    <w:abstractNumId w:val="22"/>
  </w:num>
  <w:num w:numId="32" w16cid:durableId="1110319483">
    <w:abstractNumId w:val="9"/>
  </w:num>
  <w:num w:numId="33" w16cid:durableId="915015477">
    <w:abstractNumId w:val="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815"/>
    <w:rsid w:val="000004E5"/>
    <w:rsid w:val="00000C21"/>
    <w:rsid w:val="00000CC8"/>
    <w:rsid w:val="0000125D"/>
    <w:rsid w:val="00003B0E"/>
    <w:rsid w:val="00004331"/>
    <w:rsid w:val="00004366"/>
    <w:rsid w:val="000060EB"/>
    <w:rsid w:val="00006562"/>
    <w:rsid w:val="000130B1"/>
    <w:rsid w:val="000133B2"/>
    <w:rsid w:val="000166D3"/>
    <w:rsid w:val="00020221"/>
    <w:rsid w:val="00020535"/>
    <w:rsid w:val="0002113B"/>
    <w:rsid w:val="000221AC"/>
    <w:rsid w:val="00023A49"/>
    <w:rsid w:val="00024708"/>
    <w:rsid w:val="00024EB2"/>
    <w:rsid w:val="00025C1D"/>
    <w:rsid w:val="000268D6"/>
    <w:rsid w:val="00030087"/>
    <w:rsid w:val="00030720"/>
    <w:rsid w:val="000307DE"/>
    <w:rsid w:val="00030834"/>
    <w:rsid w:val="00031472"/>
    <w:rsid w:val="00031BB6"/>
    <w:rsid w:val="00032517"/>
    <w:rsid w:val="00032740"/>
    <w:rsid w:val="00032F1E"/>
    <w:rsid w:val="000347BC"/>
    <w:rsid w:val="00034A26"/>
    <w:rsid w:val="00035ECC"/>
    <w:rsid w:val="00041478"/>
    <w:rsid w:val="00041F7D"/>
    <w:rsid w:val="00042157"/>
    <w:rsid w:val="0004277D"/>
    <w:rsid w:val="000440AD"/>
    <w:rsid w:val="000440B1"/>
    <w:rsid w:val="0004425E"/>
    <w:rsid w:val="00044CF7"/>
    <w:rsid w:val="000455F8"/>
    <w:rsid w:val="0004572D"/>
    <w:rsid w:val="00046667"/>
    <w:rsid w:val="000476DF"/>
    <w:rsid w:val="00051CEE"/>
    <w:rsid w:val="000539A3"/>
    <w:rsid w:val="00053F37"/>
    <w:rsid w:val="00053FD4"/>
    <w:rsid w:val="00057792"/>
    <w:rsid w:val="000606C7"/>
    <w:rsid w:val="00060C07"/>
    <w:rsid w:val="00063031"/>
    <w:rsid w:val="00063990"/>
    <w:rsid w:val="00063B94"/>
    <w:rsid w:val="00064A8C"/>
    <w:rsid w:val="00065832"/>
    <w:rsid w:val="00065DC1"/>
    <w:rsid w:val="00067091"/>
    <w:rsid w:val="00067194"/>
    <w:rsid w:val="000708E2"/>
    <w:rsid w:val="00070CE3"/>
    <w:rsid w:val="00074A0F"/>
    <w:rsid w:val="000759EE"/>
    <w:rsid w:val="00075D19"/>
    <w:rsid w:val="00077ED7"/>
    <w:rsid w:val="000803C9"/>
    <w:rsid w:val="000830AF"/>
    <w:rsid w:val="00083119"/>
    <w:rsid w:val="00083A88"/>
    <w:rsid w:val="000848E8"/>
    <w:rsid w:val="00084962"/>
    <w:rsid w:val="000850B7"/>
    <w:rsid w:val="00085E9A"/>
    <w:rsid w:val="00092FFA"/>
    <w:rsid w:val="00093F5C"/>
    <w:rsid w:val="0009423B"/>
    <w:rsid w:val="000961FB"/>
    <w:rsid w:val="00096E8A"/>
    <w:rsid w:val="000A1AA6"/>
    <w:rsid w:val="000A2AA1"/>
    <w:rsid w:val="000A36B9"/>
    <w:rsid w:val="000A3A9A"/>
    <w:rsid w:val="000A7107"/>
    <w:rsid w:val="000A72E6"/>
    <w:rsid w:val="000A778A"/>
    <w:rsid w:val="000A79BF"/>
    <w:rsid w:val="000A7E6C"/>
    <w:rsid w:val="000B1351"/>
    <w:rsid w:val="000B1403"/>
    <w:rsid w:val="000B1DBC"/>
    <w:rsid w:val="000B2801"/>
    <w:rsid w:val="000B34DF"/>
    <w:rsid w:val="000B3B2E"/>
    <w:rsid w:val="000B3C8B"/>
    <w:rsid w:val="000B41CE"/>
    <w:rsid w:val="000B45F4"/>
    <w:rsid w:val="000B49E6"/>
    <w:rsid w:val="000B4CED"/>
    <w:rsid w:val="000B7A6D"/>
    <w:rsid w:val="000C1B9D"/>
    <w:rsid w:val="000C218E"/>
    <w:rsid w:val="000C2B70"/>
    <w:rsid w:val="000C33C0"/>
    <w:rsid w:val="000C3E39"/>
    <w:rsid w:val="000C411C"/>
    <w:rsid w:val="000C4AFA"/>
    <w:rsid w:val="000C5E44"/>
    <w:rsid w:val="000C77CC"/>
    <w:rsid w:val="000D1A0C"/>
    <w:rsid w:val="000D27E3"/>
    <w:rsid w:val="000D3345"/>
    <w:rsid w:val="000D40A5"/>
    <w:rsid w:val="000D6660"/>
    <w:rsid w:val="000D6A7F"/>
    <w:rsid w:val="000D7401"/>
    <w:rsid w:val="000D7E8C"/>
    <w:rsid w:val="000E11F2"/>
    <w:rsid w:val="000E1CBF"/>
    <w:rsid w:val="000E3326"/>
    <w:rsid w:val="000E38DB"/>
    <w:rsid w:val="000E4F70"/>
    <w:rsid w:val="000E5475"/>
    <w:rsid w:val="000E77AD"/>
    <w:rsid w:val="000F09F5"/>
    <w:rsid w:val="000F36AB"/>
    <w:rsid w:val="000F3915"/>
    <w:rsid w:val="000F3AD3"/>
    <w:rsid w:val="000F4448"/>
    <w:rsid w:val="000F4AD3"/>
    <w:rsid w:val="000F5B52"/>
    <w:rsid w:val="000F6F4B"/>
    <w:rsid w:val="000F74E5"/>
    <w:rsid w:val="000F7D40"/>
    <w:rsid w:val="00100938"/>
    <w:rsid w:val="0010338D"/>
    <w:rsid w:val="0010542B"/>
    <w:rsid w:val="0010544F"/>
    <w:rsid w:val="00110618"/>
    <w:rsid w:val="001128DE"/>
    <w:rsid w:val="001131AC"/>
    <w:rsid w:val="00114AAA"/>
    <w:rsid w:val="00115E73"/>
    <w:rsid w:val="00116E7E"/>
    <w:rsid w:val="001175F2"/>
    <w:rsid w:val="00117740"/>
    <w:rsid w:val="001178FB"/>
    <w:rsid w:val="00120B67"/>
    <w:rsid w:val="00121E8D"/>
    <w:rsid w:val="00123223"/>
    <w:rsid w:val="0012483E"/>
    <w:rsid w:val="001306CB"/>
    <w:rsid w:val="00130730"/>
    <w:rsid w:val="00131333"/>
    <w:rsid w:val="00132373"/>
    <w:rsid w:val="001354A8"/>
    <w:rsid w:val="00135CC9"/>
    <w:rsid w:val="00136142"/>
    <w:rsid w:val="00137ECE"/>
    <w:rsid w:val="0014062A"/>
    <w:rsid w:val="00140F10"/>
    <w:rsid w:val="001412B0"/>
    <w:rsid w:val="00142D70"/>
    <w:rsid w:val="00143AD8"/>
    <w:rsid w:val="00144C31"/>
    <w:rsid w:val="00145D14"/>
    <w:rsid w:val="00147A16"/>
    <w:rsid w:val="00152C6D"/>
    <w:rsid w:val="00152CE5"/>
    <w:rsid w:val="001536ED"/>
    <w:rsid w:val="001542C7"/>
    <w:rsid w:val="001548DC"/>
    <w:rsid w:val="00154B3D"/>
    <w:rsid w:val="001578F5"/>
    <w:rsid w:val="00163B75"/>
    <w:rsid w:val="00164D45"/>
    <w:rsid w:val="00165314"/>
    <w:rsid w:val="0016554B"/>
    <w:rsid w:val="001658F1"/>
    <w:rsid w:val="001659E1"/>
    <w:rsid w:val="00167840"/>
    <w:rsid w:val="00170915"/>
    <w:rsid w:val="0017178E"/>
    <w:rsid w:val="0017217E"/>
    <w:rsid w:val="00173ABA"/>
    <w:rsid w:val="00173BD1"/>
    <w:rsid w:val="0017492E"/>
    <w:rsid w:val="00175BFE"/>
    <w:rsid w:val="001762EC"/>
    <w:rsid w:val="001805A3"/>
    <w:rsid w:val="00180FC5"/>
    <w:rsid w:val="00181D1A"/>
    <w:rsid w:val="00181D4C"/>
    <w:rsid w:val="001845BF"/>
    <w:rsid w:val="001857BD"/>
    <w:rsid w:val="00185B73"/>
    <w:rsid w:val="001868CF"/>
    <w:rsid w:val="00187023"/>
    <w:rsid w:val="001923DD"/>
    <w:rsid w:val="001935BC"/>
    <w:rsid w:val="0019455A"/>
    <w:rsid w:val="00196380"/>
    <w:rsid w:val="00196516"/>
    <w:rsid w:val="00197895"/>
    <w:rsid w:val="001A0FA6"/>
    <w:rsid w:val="001A24D4"/>
    <w:rsid w:val="001A2646"/>
    <w:rsid w:val="001A2DF0"/>
    <w:rsid w:val="001A450D"/>
    <w:rsid w:val="001A5DE4"/>
    <w:rsid w:val="001A5FF6"/>
    <w:rsid w:val="001A7706"/>
    <w:rsid w:val="001B042E"/>
    <w:rsid w:val="001B31F3"/>
    <w:rsid w:val="001B6C76"/>
    <w:rsid w:val="001C3A7B"/>
    <w:rsid w:val="001C4E50"/>
    <w:rsid w:val="001C5C79"/>
    <w:rsid w:val="001C70EE"/>
    <w:rsid w:val="001C7996"/>
    <w:rsid w:val="001D036D"/>
    <w:rsid w:val="001D04A9"/>
    <w:rsid w:val="001D107D"/>
    <w:rsid w:val="001D34EB"/>
    <w:rsid w:val="001D59BD"/>
    <w:rsid w:val="001D62FA"/>
    <w:rsid w:val="001E0502"/>
    <w:rsid w:val="001E3748"/>
    <w:rsid w:val="001E3E1D"/>
    <w:rsid w:val="001E40FA"/>
    <w:rsid w:val="001E4E85"/>
    <w:rsid w:val="001E536D"/>
    <w:rsid w:val="001E7CF8"/>
    <w:rsid w:val="001F0982"/>
    <w:rsid w:val="001F163C"/>
    <w:rsid w:val="001F1F6B"/>
    <w:rsid w:val="001F26B1"/>
    <w:rsid w:val="001F2730"/>
    <w:rsid w:val="001F2A2B"/>
    <w:rsid w:val="001F2D29"/>
    <w:rsid w:val="001F37EA"/>
    <w:rsid w:val="001F3E9B"/>
    <w:rsid w:val="001F575B"/>
    <w:rsid w:val="001F640A"/>
    <w:rsid w:val="001F7417"/>
    <w:rsid w:val="002009F8"/>
    <w:rsid w:val="00200EDC"/>
    <w:rsid w:val="00201905"/>
    <w:rsid w:val="00202EE8"/>
    <w:rsid w:val="00203480"/>
    <w:rsid w:val="00203A18"/>
    <w:rsid w:val="002047CB"/>
    <w:rsid w:val="00205708"/>
    <w:rsid w:val="00206ECA"/>
    <w:rsid w:val="00210334"/>
    <w:rsid w:val="002107E3"/>
    <w:rsid w:val="00210ACE"/>
    <w:rsid w:val="002123E7"/>
    <w:rsid w:val="00215005"/>
    <w:rsid w:val="00215117"/>
    <w:rsid w:val="00216C35"/>
    <w:rsid w:val="00220139"/>
    <w:rsid w:val="002203B3"/>
    <w:rsid w:val="00221113"/>
    <w:rsid w:val="00223993"/>
    <w:rsid w:val="00226179"/>
    <w:rsid w:val="00226A7E"/>
    <w:rsid w:val="0022741B"/>
    <w:rsid w:val="00231BA5"/>
    <w:rsid w:val="00232B70"/>
    <w:rsid w:val="00232F5E"/>
    <w:rsid w:val="002334D9"/>
    <w:rsid w:val="002347A7"/>
    <w:rsid w:val="0023492E"/>
    <w:rsid w:val="00235300"/>
    <w:rsid w:val="00236351"/>
    <w:rsid w:val="00236B72"/>
    <w:rsid w:val="00240559"/>
    <w:rsid w:val="002410AF"/>
    <w:rsid w:val="002424D1"/>
    <w:rsid w:val="0024490A"/>
    <w:rsid w:val="00245068"/>
    <w:rsid w:val="00245418"/>
    <w:rsid w:val="002456F4"/>
    <w:rsid w:val="00247844"/>
    <w:rsid w:val="00247AFC"/>
    <w:rsid w:val="00250309"/>
    <w:rsid w:val="002518CA"/>
    <w:rsid w:val="002525AA"/>
    <w:rsid w:val="00254368"/>
    <w:rsid w:val="002554E5"/>
    <w:rsid w:val="00255C93"/>
    <w:rsid w:val="00256D66"/>
    <w:rsid w:val="002572AE"/>
    <w:rsid w:val="00260583"/>
    <w:rsid w:val="00263F1A"/>
    <w:rsid w:val="00264E5A"/>
    <w:rsid w:val="002653E2"/>
    <w:rsid w:val="00267056"/>
    <w:rsid w:val="00267B59"/>
    <w:rsid w:val="00267B74"/>
    <w:rsid w:val="002724E4"/>
    <w:rsid w:val="0027369C"/>
    <w:rsid w:val="002756BC"/>
    <w:rsid w:val="0027611B"/>
    <w:rsid w:val="002811CF"/>
    <w:rsid w:val="002817CA"/>
    <w:rsid w:val="00282860"/>
    <w:rsid w:val="00282F64"/>
    <w:rsid w:val="00285688"/>
    <w:rsid w:val="00285842"/>
    <w:rsid w:val="00285D15"/>
    <w:rsid w:val="00286FA4"/>
    <w:rsid w:val="00290D27"/>
    <w:rsid w:val="00292672"/>
    <w:rsid w:val="002938AF"/>
    <w:rsid w:val="00293920"/>
    <w:rsid w:val="0029435C"/>
    <w:rsid w:val="0029601B"/>
    <w:rsid w:val="002970C8"/>
    <w:rsid w:val="002A0B70"/>
    <w:rsid w:val="002A0CF6"/>
    <w:rsid w:val="002A0FD5"/>
    <w:rsid w:val="002A2242"/>
    <w:rsid w:val="002A2C14"/>
    <w:rsid w:val="002A40DE"/>
    <w:rsid w:val="002A4789"/>
    <w:rsid w:val="002A4866"/>
    <w:rsid w:val="002A65BF"/>
    <w:rsid w:val="002A68C6"/>
    <w:rsid w:val="002A7302"/>
    <w:rsid w:val="002B0A0D"/>
    <w:rsid w:val="002B12FB"/>
    <w:rsid w:val="002B1AB0"/>
    <w:rsid w:val="002B50F6"/>
    <w:rsid w:val="002C065C"/>
    <w:rsid w:val="002C290C"/>
    <w:rsid w:val="002C3558"/>
    <w:rsid w:val="002C3B02"/>
    <w:rsid w:val="002C3E4D"/>
    <w:rsid w:val="002C4BEF"/>
    <w:rsid w:val="002C54FB"/>
    <w:rsid w:val="002C59C5"/>
    <w:rsid w:val="002D035C"/>
    <w:rsid w:val="002D1B71"/>
    <w:rsid w:val="002D2F24"/>
    <w:rsid w:val="002D3A99"/>
    <w:rsid w:val="002D4368"/>
    <w:rsid w:val="002D5EF0"/>
    <w:rsid w:val="002E77C2"/>
    <w:rsid w:val="002F12C8"/>
    <w:rsid w:val="002F16F8"/>
    <w:rsid w:val="002F30C6"/>
    <w:rsid w:val="002F47A5"/>
    <w:rsid w:val="002F51FD"/>
    <w:rsid w:val="002F5D95"/>
    <w:rsid w:val="002F6AFD"/>
    <w:rsid w:val="002F6F77"/>
    <w:rsid w:val="002F78D2"/>
    <w:rsid w:val="003012EB"/>
    <w:rsid w:val="00301E74"/>
    <w:rsid w:val="0030331D"/>
    <w:rsid w:val="00304540"/>
    <w:rsid w:val="00304B5C"/>
    <w:rsid w:val="00305075"/>
    <w:rsid w:val="0030537F"/>
    <w:rsid w:val="00306DE5"/>
    <w:rsid w:val="00306E82"/>
    <w:rsid w:val="0030732C"/>
    <w:rsid w:val="00310029"/>
    <w:rsid w:val="003111CD"/>
    <w:rsid w:val="00311B04"/>
    <w:rsid w:val="00312138"/>
    <w:rsid w:val="00312FD5"/>
    <w:rsid w:val="00314DB4"/>
    <w:rsid w:val="003167A3"/>
    <w:rsid w:val="00317C95"/>
    <w:rsid w:val="00321252"/>
    <w:rsid w:val="00321296"/>
    <w:rsid w:val="00322139"/>
    <w:rsid w:val="00322DE5"/>
    <w:rsid w:val="003232EE"/>
    <w:rsid w:val="00325713"/>
    <w:rsid w:val="003258C5"/>
    <w:rsid w:val="0032620D"/>
    <w:rsid w:val="003273B6"/>
    <w:rsid w:val="00332ABE"/>
    <w:rsid w:val="003341E1"/>
    <w:rsid w:val="00334BC9"/>
    <w:rsid w:val="0033523E"/>
    <w:rsid w:val="003367AD"/>
    <w:rsid w:val="00336A4B"/>
    <w:rsid w:val="00337CAF"/>
    <w:rsid w:val="0034170A"/>
    <w:rsid w:val="0034201B"/>
    <w:rsid w:val="00343A0E"/>
    <w:rsid w:val="00343DB2"/>
    <w:rsid w:val="0034478F"/>
    <w:rsid w:val="00344DF5"/>
    <w:rsid w:val="00345E4F"/>
    <w:rsid w:val="0034730A"/>
    <w:rsid w:val="00347820"/>
    <w:rsid w:val="0034799A"/>
    <w:rsid w:val="00347CC3"/>
    <w:rsid w:val="0035011B"/>
    <w:rsid w:val="0035017F"/>
    <w:rsid w:val="003508FF"/>
    <w:rsid w:val="00351117"/>
    <w:rsid w:val="00351C89"/>
    <w:rsid w:val="00351DAF"/>
    <w:rsid w:val="00351E44"/>
    <w:rsid w:val="003526F0"/>
    <w:rsid w:val="00352D2D"/>
    <w:rsid w:val="00355C38"/>
    <w:rsid w:val="00357B07"/>
    <w:rsid w:val="00360BB1"/>
    <w:rsid w:val="003640BB"/>
    <w:rsid w:val="00364AA9"/>
    <w:rsid w:val="0037414F"/>
    <w:rsid w:val="003748D2"/>
    <w:rsid w:val="00374C60"/>
    <w:rsid w:val="00374FD6"/>
    <w:rsid w:val="00380350"/>
    <w:rsid w:val="00380D2A"/>
    <w:rsid w:val="00382466"/>
    <w:rsid w:val="003834E2"/>
    <w:rsid w:val="00383788"/>
    <w:rsid w:val="00383B82"/>
    <w:rsid w:val="003844C4"/>
    <w:rsid w:val="00384931"/>
    <w:rsid w:val="00391933"/>
    <w:rsid w:val="003936B9"/>
    <w:rsid w:val="003941BF"/>
    <w:rsid w:val="00396DBA"/>
    <w:rsid w:val="003971DF"/>
    <w:rsid w:val="003A061D"/>
    <w:rsid w:val="003A0E7D"/>
    <w:rsid w:val="003A287F"/>
    <w:rsid w:val="003A3C41"/>
    <w:rsid w:val="003A3CD3"/>
    <w:rsid w:val="003B1507"/>
    <w:rsid w:val="003B1BCC"/>
    <w:rsid w:val="003B4CBC"/>
    <w:rsid w:val="003B5EAE"/>
    <w:rsid w:val="003B6942"/>
    <w:rsid w:val="003B75AE"/>
    <w:rsid w:val="003B7A3F"/>
    <w:rsid w:val="003C0E10"/>
    <w:rsid w:val="003C1685"/>
    <w:rsid w:val="003C38A3"/>
    <w:rsid w:val="003C390C"/>
    <w:rsid w:val="003C4383"/>
    <w:rsid w:val="003C57BF"/>
    <w:rsid w:val="003C7749"/>
    <w:rsid w:val="003C78CF"/>
    <w:rsid w:val="003D0204"/>
    <w:rsid w:val="003D2557"/>
    <w:rsid w:val="003D4108"/>
    <w:rsid w:val="003D65F2"/>
    <w:rsid w:val="003D67A7"/>
    <w:rsid w:val="003D69EF"/>
    <w:rsid w:val="003E0096"/>
    <w:rsid w:val="003E0882"/>
    <w:rsid w:val="003E1037"/>
    <w:rsid w:val="003E290B"/>
    <w:rsid w:val="003E2F03"/>
    <w:rsid w:val="003E334B"/>
    <w:rsid w:val="003E5A22"/>
    <w:rsid w:val="003E6A56"/>
    <w:rsid w:val="003F0121"/>
    <w:rsid w:val="003F02BB"/>
    <w:rsid w:val="003F2B12"/>
    <w:rsid w:val="003F6520"/>
    <w:rsid w:val="003F6CFF"/>
    <w:rsid w:val="003F7380"/>
    <w:rsid w:val="00400DEF"/>
    <w:rsid w:val="00401E34"/>
    <w:rsid w:val="004020DD"/>
    <w:rsid w:val="00403EC2"/>
    <w:rsid w:val="004064A5"/>
    <w:rsid w:val="00406964"/>
    <w:rsid w:val="00407347"/>
    <w:rsid w:val="0040741C"/>
    <w:rsid w:val="004076DE"/>
    <w:rsid w:val="004079F0"/>
    <w:rsid w:val="00407D3B"/>
    <w:rsid w:val="00407DA4"/>
    <w:rsid w:val="00410158"/>
    <w:rsid w:val="00411AAB"/>
    <w:rsid w:val="00412E22"/>
    <w:rsid w:val="00413CCD"/>
    <w:rsid w:val="00413ED7"/>
    <w:rsid w:val="0041506F"/>
    <w:rsid w:val="00420EC1"/>
    <w:rsid w:val="004211FF"/>
    <w:rsid w:val="0042145D"/>
    <w:rsid w:val="00421AD2"/>
    <w:rsid w:val="00421C68"/>
    <w:rsid w:val="00421D17"/>
    <w:rsid w:val="00422E2F"/>
    <w:rsid w:val="0042314E"/>
    <w:rsid w:val="004241F1"/>
    <w:rsid w:val="00424EF4"/>
    <w:rsid w:val="004300B9"/>
    <w:rsid w:val="00430166"/>
    <w:rsid w:val="00432B05"/>
    <w:rsid w:val="00436FED"/>
    <w:rsid w:val="00441A32"/>
    <w:rsid w:val="00441D48"/>
    <w:rsid w:val="0044320C"/>
    <w:rsid w:val="00443356"/>
    <w:rsid w:val="004438D4"/>
    <w:rsid w:val="004444F8"/>
    <w:rsid w:val="00444B08"/>
    <w:rsid w:val="00444CD3"/>
    <w:rsid w:val="00445A40"/>
    <w:rsid w:val="00446A7A"/>
    <w:rsid w:val="0045660E"/>
    <w:rsid w:val="00460BF6"/>
    <w:rsid w:val="00461B74"/>
    <w:rsid w:val="00461D54"/>
    <w:rsid w:val="00461DC5"/>
    <w:rsid w:val="00464405"/>
    <w:rsid w:val="00464703"/>
    <w:rsid w:val="00465928"/>
    <w:rsid w:val="0047010A"/>
    <w:rsid w:val="00471C74"/>
    <w:rsid w:val="004725C3"/>
    <w:rsid w:val="00472F29"/>
    <w:rsid w:val="004736D3"/>
    <w:rsid w:val="00473D2D"/>
    <w:rsid w:val="00473F2B"/>
    <w:rsid w:val="0047531D"/>
    <w:rsid w:val="004755AC"/>
    <w:rsid w:val="00475D6C"/>
    <w:rsid w:val="004774C5"/>
    <w:rsid w:val="00477678"/>
    <w:rsid w:val="00477DD5"/>
    <w:rsid w:val="00482558"/>
    <w:rsid w:val="00482780"/>
    <w:rsid w:val="0048392A"/>
    <w:rsid w:val="00486798"/>
    <w:rsid w:val="004867AF"/>
    <w:rsid w:val="00490610"/>
    <w:rsid w:val="0049181B"/>
    <w:rsid w:val="00491C90"/>
    <w:rsid w:val="0049423C"/>
    <w:rsid w:val="004954E6"/>
    <w:rsid w:val="00495C1B"/>
    <w:rsid w:val="00496AAC"/>
    <w:rsid w:val="004A04F7"/>
    <w:rsid w:val="004A16D5"/>
    <w:rsid w:val="004A247B"/>
    <w:rsid w:val="004A298D"/>
    <w:rsid w:val="004A3464"/>
    <w:rsid w:val="004A3996"/>
    <w:rsid w:val="004A3C0E"/>
    <w:rsid w:val="004A3CA5"/>
    <w:rsid w:val="004A48D8"/>
    <w:rsid w:val="004A4BE4"/>
    <w:rsid w:val="004A4CCB"/>
    <w:rsid w:val="004A5643"/>
    <w:rsid w:val="004A5958"/>
    <w:rsid w:val="004A638B"/>
    <w:rsid w:val="004A6410"/>
    <w:rsid w:val="004B000D"/>
    <w:rsid w:val="004B18CA"/>
    <w:rsid w:val="004B2E68"/>
    <w:rsid w:val="004B3546"/>
    <w:rsid w:val="004B45A4"/>
    <w:rsid w:val="004B4AD2"/>
    <w:rsid w:val="004B5012"/>
    <w:rsid w:val="004B5233"/>
    <w:rsid w:val="004B5D3D"/>
    <w:rsid w:val="004B5D95"/>
    <w:rsid w:val="004C0106"/>
    <w:rsid w:val="004C3EA6"/>
    <w:rsid w:val="004C4816"/>
    <w:rsid w:val="004C63C8"/>
    <w:rsid w:val="004C6555"/>
    <w:rsid w:val="004C73E6"/>
    <w:rsid w:val="004D0ADB"/>
    <w:rsid w:val="004D19FB"/>
    <w:rsid w:val="004D1DD4"/>
    <w:rsid w:val="004D35C8"/>
    <w:rsid w:val="004D3629"/>
    <w:rsid w:val="004D568E"/>
    <w:rsid w:val="004D673A"/>
    <w:rsid w:val="004D728D"/>
    <w:rsid w:val="004E03FC"/>
    <w:rsid w:val="004E055C"/>
    <w:rsid w:val="004E0674"/>
    <w:rsid w:val="004E0B98"/>
    <w:rsid w:val="004E1C0A"/>
    <w:rsid w:val="004E210D"/>
    <w:rsid w:val="004E2888"/>
    <w:rsid w:val="004E2983"/>
    <w:rsid w:val="004E3263"/>
    <w:rsid w:val="004E3B94"/>
    <w:rsid w:val="004E503E"/>
    <w:rsid w:val="004E65D0"/>
    <w:rsid w:val="004F0ACE"/>
    <w:rsid w:val="004F196F"/>
    <w:rsid w:val="004F39D5"/>
    <w:rsid w:val="004F4174"/>
    <w:rsid w:val="004F6320"/>
    <w:rsid w:val="00500135"/>
    <w:rsid w:val="00501B7E"/>
    <w:rsid w:val="00503C58"/>
    <w:rsid w:val="005042AE"/>
    <w:rsid w:val="00505482"/>
    <w:rsid w:val="00507AE3"/>
    <w:rsid w:val="0051470F"/>
    <w:rsid w:val="005148B8"/>
    <w:rsid w:val="00517D6F"/>
    <w:rsid w:val="00521EA5"/>
    <w:rsid w:val="00522D11"/>
    <w:rsid w:val="00523A3F"/>
    <w:rsid w:val="00523B8C"/>
    <w:rsid w:val="00525520"/>
    <w:rsid w:val="005261CA"/>
    <w:rsid w:val="005268F8"/>
    <w:rsid w:val="00526D8A"/>
    <w:rsid w:val="00531825"/>
    <w:rsid w:val="00532381"/>
    <w:rsid w:val="005345C0"/>
    <w:rsid w:val="0053589B"/>
    <w:rsid w:val="00535DB5"/>
    <w:rsid w:val="005362C3"/>
    <w:rsid w:val="0053757C"/>
    <w:rsid w:val="00540B98"/>
    <w:rsid w:val="00541286"/>
    <w:rsid w:val="00541417"/>
    <w:rsid w:val="00541C23"/>
    <w:rsid w:val="005428A4"/>
    <w:rsid w:val="005443AE"/>
    <w:rsid w:val="00545912"/>
    <w:rsid w:val="00550085"/>
    <w:rsid w:val="00552AAF"/>
    <w:rsid w:val="00554EEE"/>
    <w:rsid w:val="00557277"/>
    <w:rsid w:val="005578B0"/>
    <w:rsid w:val="00557EEF"/>
    <w:rsid w:val="0056120C"/>
    <w:rsid w:val="00561782"/>
    <w:rsid w:val="00561A6E"/>
    <w:rsid w:val="0056208B"/>
    <w:rsid w:val="00562B2E"/>
    <w:rsid w:val="00563199"/>
    <w:rsid w:val="005639AC"/>
    <w:rsid w:val="005643C5"/>
    <w:rsid w:val="0056519D"/>
    <w:rsid w:val="005652DB"/>
    <w:rsid w:val="00567B29"/>
    <w:rsid w:val="00567EB5"/>
    <w:rsid w:val="0057404F"/>
    <w:rsid w:val="005749F4"/>
    <w:rsid w:val="00574BFD"/>
    <w:rsid w:val="00575D13"/>
    <w:rsid w:val="00575F90"/>
    <w:rsid w:val="00580BDA"/>
    <w:rsid w:val="00580DE5"/>
    <w:rsid w:val="0058131D"/>
    <w:rsid w:val="0058196B"/>
    <w:rsid w:val="00581D46"/>
    <w:rsid w:val="0058434A"/>
    <w:rsid w:val="00586213"/>
    <w:rsid w:val="00587B8C"/>
    <w:rsid w:val="00591A96"/>
    <w:rsid w:val="00593003"/>
    <w:rsid w:val="005930C3"/>
    <w:rsid w:val="00593B54"/>
    <w:rsid w:val="005951F3"/>
    <w:rsid w:val="00595AD1"/>
    <w:rsid w:val="00597373"/>
    <w:rsid w:val="005A0328"/>
    <w:rsid w:val="005A044D"/>
    <w:rsid w:val="005A0D9E"/>
    <w:rsid w:val="005A3422"/>
    <w:rsid w:val="005A3A38"/>
    <w:rsid w:val="005A508E"/>
    <w:rsid w:val="005A78B0"/>
    <w:rsid w:val="005B102C"/>
    <w:rsid w:val="005B24C5"/>
    <w:rsid w:val="005B28D5"/>
    <w:rsid w:val="005B394B"/>
    <w:rsid w:val="005B4635"/>
    <w:rsid w:val="005B4673"/>
    <w:rsid w:val="005B6097"/>
    <w:rsid w:val="005B6C1B"/>
    <w:rsid w:val="005C31DF"/>
    <w:rsid w:val="005C3CCE"/>
    <w:rsid w:val="005C45D9"/>
    <w:rsid w:val="005C45F1"/>
    <w:rsid w:val="005C4DE7"/>
    <w:rsid w:val="005C74DF"/>
    <w:rsid w:val="005C7F9D"/>
    <w:rsid w:val="005D2ED0"/>
    <w:rsid w:val="005D30B0"/>
    <w:rsid w:val="005D32D1"/>
    <w:rsid w:val="005D3430"/>
    <w:rsid w:val="005D39AE"/>
    <w:rsid w:val="005D3D33"/>
    <w:rsid w:val="005D4A53"/>
    <w:rsid w:val="005D74D1"/>
    <w:rsid w:val="005D7994"/>
    <w:rsid w:val="005E067E"/>
    <w:rsid w:val="005E1411"/>
    <w:rsid w:val="005E1E91"/>
    <w:rsid w:val="005E2346"/>
    <w:rsid w:val="005E2630"/>
    <w:rsid w:val="005E2CE7"/>
    <w:rsid w:val="005E2D5F"/>
    <w:rsid w:val="005E5CDB"/>
    <w:rsid w:val="005E6756"/>
    <w:rsid w:val="005E78AA"/>
    <w:rsid w:val="005F0936"/>
    <w:rsid w:val="005F1063"/>
    <w:rsid w:val="005F159E"/>
    <w:rsid w:val="005F3ABD"/>
    <w:rsid w:val="005F5AEC"/>
    <w:rsid w:val="005F5D7E"/>
    <w:rsid w:val="005F5DA1"/>
    <w:rsid w:val="005F6D40"/>
    <w:rsid w:val="005F6F15"/>
    <w:rsid w:val="005F796D"/>
    <w:rsid w:val="006005E7"/>
    <w:rsid w:val="00600876"/>
    <w:rsid w:val="00601739"/>
    <w:rsid w:val="00602DF5"/>
    <w:rsid w:val="006045BB"/>
    <w:rsid w:val="0060648B"/>
    <w:rsid w:val="00606BBC"/>
    <w:rsid w:val="00610C4F"/>
    <w:rsid w:val="00612CC0"/>
    <w:rsid w:val="00613597"/>
    <w:rsid w:val="0061471E"/>
    <w:rsid w:val="00614988"/>
    <w:rsid w:val="006150CF"/>
    <w:rsid w:val="00616302"/>
    <w:rsid w:val="00620633"/>
    <w:rsid w:val="006208BC"/>
    <w:rsid w:val="00622214"/>
    <w:rsid w:val="0062318C"/>
    <w:rsid w:val="00623DB8"/>
    <w:rsid w:val="0062440A"/>
    <w:rsid w:val="0062448D"/>
    <w:rsid w:val="00625534"/>
    <w:rsid w:val="00626336"/>
    <w:rsid w:val="00626EB9"/>
    <w:rsid w:val="00627FB7"/>
    <w:rsid w:val="006320C0"/>
    <w:rsid w:val="006320D2"/>
    <w:rsid w:val="00632165"/>
    <w:rsid w:val="00632A52"/>
    <w:rsid w:val="006368B9"/>
    <w:rsid w:val="0064063D"/>
    <w:rsid w:val="00640C74"/>
    <w:rsid w:val="00640DDB"/>
    <w:rsid w:val="006428E7"/>
    <w:rsid w:val="006434D4"/>
    <w:rsid w:val="00644CE7"/>
    <w:rsid w:val="00646027"/>
    <w:rsid w:val="00646CB5"/>
    <w:rsid w:val="00647F69"/>
    <w:rsid w:val="00653A18"/>
    <w:rsid w:val="00653A43"/>
    <w:rsid w:val="00653B47"/>
    <w:rsid w:val="006540A4"/>
    <w:rsid w:val="00654789"/>
    <w:rsid w:val="00654EDA"/>
    <w:rsid w:val="00655E9A"/>
    <w:rsid w:val="00660B43"/>
    <w:rsid w:val="00660F65"/>
    <w:rsid w:val="006621C4"/>
    <w:rsid w:val="006631B4"/>
    <w:rsid w:val="00667CC8"/>
    <w:rsid w:val="00671864"/>
    <w:rsid w:val="006726BA"/>
    <w:rsid w:val="006741AF"/>
    <w:rsid w:val="00674659"/>
    <w:rsid w:val="006752C8"/>
    <w:rsid w:val="0067537E"/>
    <w:rsid w:val="00675BBE"/>
    <w:rsid w:val="00675E07"/>
    <w:rsid w:val="00681095"/>
    <w:rsid w:val="00681E50"/>
    <w:rsid w:val="0068332B"/>
    <w:rsid w:val="0068424D"/>
    <w:rsid w:val="00684DE2"/>
    <w:rsid w:val="00687657"/>
    <w:rsid w:val="00687A52"/>
    <w:rsid w:val="00687BF1"/>
    <w:rsid w:val="00690A0A"/>
    <w:rsid w:val="00692617"/>
    <w:rsid w:val="00693472"/>
    <w:rsid w:val="0069397A"/>
    <w:rsid w:val="00693EC3"/>
    <w:rsid w:val="00694BEE"/>
    <w:rsid w:val="006952F0"/>
    <w:rsid w:val="00695C4D"/>
    <w:rsid w:val="00696AD4"/>
    <w:rsid w:val="0069788C"/>
    <w:rsid w:val="00697D75"/>
    <w:rsid w:val="006A3D92"/>
    <w:rsid w:val="006A666A"/>
    <w:rsid w:val="006A7825"/>
    <w:rsid w:val="006B1B76"/>
    <w:rsid w:val="006B5E87"/>
    <w:rsid w:val="006C0A06"/>
    <w:rsid w:val="006C0C77"/>
    <w:rsid w:val="006C2191"/>
    <w:rsid w:val="006C37E5"/>
    <w:rsid w:val="006C5AAF"/>
    <w:rsid w:val="006C6009"/>
    <w:rsid w:val="006C730C"/>
    <w:rsid w:val="006D1405"/>
    <w:rsid w:val="006D1654"/>
    <w:rsid w:val="006D1B7B"/>
    <w:rsid w:val="006D2C97"/>
    <w:rsid w:val="006D3806"/>
    <w:rsid w:val="006D382F"/>
    <w:rsid w:val="006D439F"/>
    <w:rsid w:val="006D49F4"/>
    <w:rsid w:val="006D7247"/>
    <w:rsid w:val="006D7941"/>
    <w:rsid w:val="006E1C65"/>
    <w:rsid w:val="006E6BDA"/>
    <w:rsid w:val="006F1D55"/>
    <w:rsid w:val="006F2520"/>
    <w:rsid w:val="006F2A33"/>
    <w:rsid w:val="006F3295"/>
    <w:rsid w:val="006F4B4B"/>
    <w:rsid w:val="006F52BC"/>
    <w:rsid w:val="006F5F83"/>
    <w:rsid w:val="006F730F"/>
    <w:rsid w:val="00703205"/>
    <w:rsid w:val="00705112"/>
    <w:rsid w:val="0070594A"/>
    <w:rsid w:val="00705ECB"/>
    <w:rsid w:val="007067E6"/>
    <w:rsid w:val="00707A54"/>
    <w:rsid w:val="0071085F"/>
    <w:rsid w:val="0071378D"/>
    <w:rsid w:val="00714194"/>
    <w:rsid w:val="0071592B"/>
    <w:rsid w:val="00716B2C"/>
    <w:rsid w:val="007174AF"/>
    <w:rsid w:val="0072119B"/>
    <w:rsid w:val="0072161F"/>
    <w:rsid w:val="00722B6E"/>
    <w:rsid w:val="00722D66"/>
    <w:rsid w:val="007262F9"/>
    <w:rsid w:val="00727345"/>
    <w:rsid w:val="0072757D"/>
    <w:rsid w:val="007316AB"/>
    <w:rsid w:val="00732A70"/>
    <w:rsid w:val="00734666"/>
    <w:rsid w:val="007358D5"/>
    <w:rsid w:val="00735BF4"/>
    <w:rsid w:val="00736495"/>
    <w:rsid w:val="00736902"/>
    <w:rsid w:val="00740846"/>
    <w:rsid w:val="00740BD7"/>
    <w:rsid w:val="00741849"/>
    <w:rsid w:val="00742ED7"/>
    <w:rsid w:val="00745533"/>
    <w:rsid w:val="00745F57"/>
    <w:rsid w:val="007462D5"/>
    <w:rsid w:val="00746A37"/>
    <w:rsid w:val="00746B0A"/>
    <w:rsid w:val="00746B0F"/>
    <w:rsid w:val="00747ED9"/>
    <w:rsid w:val="00750EE0"/>
    <w:rsid w:val="00752BAB"/>
    <w:rsid w:val="00752F6F"/>
    <w:rsid w:val="007551CD"/>
    <w:rsid w:val="00755FC0"/>
    <w:rsid w:val="00761D68"/>
    <w:rsid w:val="00764BB8"/>
    <w:rsid w:val="00765C54"/>
    <w:rsid w:val="00766FC9"/>
    <w:rsid w:val="00774561"/>
    <w:rsid w:val="00774C99"/>
    <w:rsid w:val="007770F3"/>
    <w:rsid w:val="007773CF"/>
    <w:rsid w:val="00777DDD"/>
    <w:rsid w:val="00782ADA"/>
    <w:rsid w:val="0078456A"/>
    <w:rsid w:val="00784B10"/>
    <w:rsid w:val="00786BA3"/>
    <w:rsid w:val="00787003"/>
    <w:rsid w:val="0078743D"/>
    <w:rsid w:val="00787DA4"/>
    <w:rsid w:val="00790026"/>
    <w:rsid w:val="00790338"/>
    <w:rsid w:val="007913D3"/>
    <w:rsid w:val="007919CA"/>
    <w:rsid w:val="00791A48"/>
    <w:rsid w:val="00792F21"/>
    <w:rsid w:val="00793472"/>
    <w:rsid w:val="007946D9"/>
    <w:rsid w:val="007950E1"/>
    <w:rsid w:val="00796FE3"/>
    <w:rsid w:val="00797665"/>
    <w:rsid w:val="00797AC2"/>
    <w:rsid w:val="007A01C2"/>
    <w:rsid w:val="007A4D5B"/>
    <w:rsid w:val="007A5C33"/>
    <w:rsid w:val="007A63F0"/>
    <w:rsid w:val="007A651F"/>
    <w:rsid w:val="007A66AC"/>
    <w:rsid w:val="007A6CEE"/>
    <w:rsid w:val="007A7A41"/>
    <w:rsid w:val="007A7AF8"/>
    <w:rsid w:val="007A7E7E"/>
    <w:rsid w:val="007B18AD"/>
    <w:rsid w:val="007B19F4"/>
    <w:rsid w:val="007B2D68"/>
    <w:rsid w:val="007B6028"/>
    <w:rsid w:val="007B779C"/>
    <w:rsid w:val="007C31A9"/>
    <w:rsid w:val="007C3249"/>
    <w:rsid w:val="007C44E2"/>
    <w:rsid w:val="007C4A6A"/>
    <w:rsid w:val="007C5092"/>
    <w:rsid w:val="007C6D51"/>
    <w:rsid w:val="007D01D6"/>
    <w:rsid w:val="007D04EE"/>
    <w:rsid w:val="007D2662"/>
    <w:rsid w:val="007D2EF0"/>
    <w:rsid w:val="007D317E"/>
    <w:rsid w:val="007D4C5F"/>
    <w:rsid w:val="007D5657"/>
    <w:rsid w:val="007D567A"/>
    <w:rsid w:val="007D61FF"/>
    <w:rsid w:val="007D75F8"/>
    <w:rsid w:val="007E06F4"/>
    <w:rsid w:val="007E0783"/>
    <w:rsid w:val="007E0D53"/>
    <w:rsid w:val="007E11DA"/>
    <w:rsid w:val="007E1F05"/>
    <w:rsid w:val="007E2B48"/>
    <w:rsid w:val="007E2BAE"/>
    <w:rsid w:val="007E46B2"/>
    <w:rsid w:val="007E6515"/>
    <w:rsid w:val="007E6B3E"/>
    <w:rsid w:val="007E6DE9"/>
    <w:rsid w:val="007E6DF0"/>
    <w:rsid w:val="007E7E9E"/>
    <w:rsid w:val="007F17A2"/>
    <w:rsid w:val="007F1B8D"/>
    <w:rsid w:val="007F1EB4"/>
    <w:rsid w:val="007F4D77"/>
    <w:rsid w:val="007F5AC3"/>
    <w:rsid w:val="007F6607"/>
    <w:rsid w:val="007F6A38"/>
    <w:rsid w:val="007F6F1E"/>
    <w:rsid w:val="007F769A"/>
    <w:rsid w:val="008007EF"/>
    <w:rsid w:val="00800ACB"/>
    <w:rsid w:val="00800EFA"/>
    <w:rsid w:val="00802848"/>
    <w:rsid w:val="0080340C"/>
    <w:rsid w:val="0080371A"/>
    <w:rsid w:val="008102F7"/>
    <w:rsid w:val="008105C1"/>
    <w:rsid w:val="008107BE"/>
    <w:rsid w:val="00812534"/>
    <w:rsid w:val="00813296"/>
    <w:rsid w:val="0081388B"/>
    <w:rsid w:val="0081596A"/>
    <w:rsid w:val="00816B65"/>
    <w:rsid w:val="00817DF1"/>
    <w:rsid w:val="008219B1"/>
    <w:rsid w:val="00825D81"/>
    <w:rsid w:val="008260BB"/>
    <w:rsid w:val="008264FB"/>
    <w:rsid w:val="008275E1"/>
    <w:rsid w:val="00830E1A"/>
    <w:rsid w:val="0083119B"/>
    <w:rsid w:val="0083121A"/>
    <w:rsid w:val="00833AA8"/>
    <w:rsid w:val="00833EC5"/>
    <w:rsid w:val="008377EA"/>
    <w:rsid w:val="00837935"/>
    <w:rsid w:val="008400EC"/>
    <w:rsid w:val="00840C2E"/>
    <w:rsid w:val="00840DF2"/>
    <w:rsid w:val="0084358F"/>
    <w:rsid w:val="00844306"/>
    <w:rsid w:val="008448EA"/>
    <w:rsid w:val="008453E6"/>
    <w:rsid w:val="00846059"/>
    <w:rsid w:val="008471B3"/>
    <w:rsid w:val="008474EA"/>
    <w:rsid w:val="0085014D"/>
    <w:rsid w:val="008509FF"/>
    <w:rsid w:val="0085146C"/>
    <w:rsid w:val="00852E93"/>
    <w:rsid w:val="00854F8D"/>
    <w:rsid w:val="00860882"/>
    <w:rsid w:val="00860B7B"/>
    <w:rsid w:val="0086113F"/>
    <w:rsid w:val="00861CAB"/>
    <w:rsid w:val="00861EFF"/>
    <w:rsid w:val="008622A7"/>
    <w:rsid w:val="008628C8"/>
    <w:rsid w:val="00862DF6"/>
    <w:rsid w:val="00863285"/>
    <w:rsid w:val="00863CCE"/>
    <w:rsid w:val="00863D89"/>
    <w:rsid w:val="00864D72"/>
    <w:rsid w:val="008658C5"/>
    <w:rsid w:val="00865BA5"/>
    <w:rsid w:val="0086619A"/>
    <w:rsid w:val="00866E72"/>
    <w:rsid w:val="00866F9A"/>
    <w:rsid w:val="00867BA0"/>
    <w:rsid w:val="008741C1"/>
    <w:rsid w:val="0087459B"/>
    <w:rsid w:val="00874E34"/>
    <w:rsid w:val="00875BCD"/>
    <w:rsid w:val="00876E5B"/>
    <w:rsid w:val="00880AA6"/>
    <w:rsid w:val="00880C19"/>
    <w:rsid w:val="00882A99"/>
    <w:rsid w:val="0088344D"/>
    <w:rsid w:val="008843AB"/>
    <w:rsid w:val="00884F0C"/>
    <w:rsid w:val="0089042D"/>
    <w:rsid w:val="008919A9"/>
    <w:rsid w:val="00893312"/>
    <w:rsid w:val="00893D29"/>
    <w:rsid w:val="00895195"/>
    <w:rsid w:val="008969CA"/>
    <w:rsid w:val="008A0AE3"/>
    <w:rsid w:val="008A12DC"/>
    <w:rsid w:val="008A30E0"/>
    <w:rsid w:val="008A654C"/>
    <w:rsid w:val="008B18C7"/>
    <w:rsid w:val="008B1975"/>
    <w:rsid w:val="008B2ABF"/>
    <w:rsid w:val="008B34DB"/>
    <w:rsid w:val="008B3607"/>
    <w:rsid w:val="008B3D4A"/>
    <w:rsid w:val="008B5647"/>
    <w:rsid w:val="008B5B03"/>
    <w:rsid w:val="008B6983"/>
    <w:rsid w:val="008C059B"/>
    <w:rsid w:val="008C1859"/>
    <w:rsid w:val="008C31E6"/>
    <w:rsid w:val="008C48D9"/>
    <w:rsid w:val="008C7800"/>
    <w:rsid w:val="008C7D0F"/>
    <w:rsid w:val="008D12D3"/>
    <w:rsid w:val="008D2285"/>
    <w:rsid w:val="008D3FD4"/>
    <w:rsid w:val="008D51C4"/>
    <w:rsid w:val="008D6261"/>
    <w:rsid w:val="008D7E78"/>
    <w:rsid w:val="008E235A"/>
    <w:rsid w:val="008E392A"/>
    <w:rsid w:val="008E51BC"/>
    <w:rsid w:val="008E573A"/>
    <w:rsid w:val="008E5C14"/>
    <w:rsid w:val="008E5CA3"/>
    <w:rsid w:val="008E7327"/>
    <w:rsid w:val="008E74E2"/>
    <w:rsid w:val="008F0EE2"/>
    <w:rsid w:val="008F2083"/>
    <w:rsid w:val="008F2CB4"/>
    <w:rsid w:val="008F3C51"/>
    <w:rsid w:val="008F4040"/>
    <w:rsid w:val="008F4F62"/>
    <w:rsid w:val="008F6230"/>
    <w:rsid w:val="008F6B0D"/>
    <w:rsid w:val="008F6CA5"/>
    <w:rsid w:val="00900B2C"/>
    <w:rsid w:val="00901B34"/>
    <w:rsid w:val="00901D21"/>
    <w:rsid w:val="00902F1E"/>
    <w:rsid w:val="00903175"/>
    <w:rsid w:val="00903A54"/>
    <w:rsid w:val="009047F5"/>
    <w:rsid w:val="0090545F"/>
    <w:rsid w:val="00905AB3"/>
    <w:rsid w:val="00907CB2"/>
    <w:rsid w:val="009111D8"/>
    <w:rsid w:val="00912AF0"/>
    <w:rsid w:val="00915050"/>
    <w:rsid w:val="009157F5"/>
    <w:rsid w:val="00916465"/>
    <w:rsid w:val="00916B97"/>
    <w:rsid w:val="00916E60"/>
    <w:rsid w:val="00922598"/>
    <w:rsid w:val="009228E2"/>
    <w:rsid w:val="0092328D"/>
    <w:rsid w:val="00923757"/>
    <w:rsid w:val="009251DC"/>
    <w:rsid w:val="0092773C"/>
    <w:rsid w:val="00930F87"/>
    <w:rsid w:val="00933367"/>
    <w:rsid w:val="00935BA5"/>
    <w:rsid w:val="00935C29"/>
    <w:rsid w:val="0093622F"/>
    <w:rsid w:val="009370EE"/>
    <w:rsid w:val="00940454"/>
    <w:rsid w:val="0094046D"/>
    <w:rsid w:val="0094059F"/>
    <w:rsid w:val="009415E0"/>
    <w:rsid w:val="00942E82"/>
    <w:rsid w:val="0094321B"/>
    <w:rsid w:val="00946673"/>
    <w:rsid w:val="00947381"/>
    <w:rsid w:val="00951806"/>
    <w:rsid w:val="0095241B"/>
    <w:rsid w:val="009526F2"/>
    <w:rsid w:val="0095319D"/>
    <w:rsid w:val="00953AA8"/>
    <w:rsid w:val="009540FF"/>
    <w:rsid w:val="00954802"/>
    <w:rsid w:val="0095604A"/>
    <w:rsid w:val="00956151"/>
    <w:rsid w:val="00956CEB"/>
    <w:rsid w:val="00960266"/>
    <w:rsid w:val="00961EBA"/>
    <w:rsid w:val="00962971"/>
    <w:rsid w:val="00962984"/>
    <w:rsid w:val="00965ED4"/>
    <w:rsid w:val="00965F2E"/>
    <w:rsid w:val="0096619A"/>
    <w:rsid w:val="009665D6"/>
    <w:rsid w:val="009700B2"/>
    <w:rsid w:val="00971948"/>
    <w:rsid w:val="00972A60"/>
    <w:rsid w:val="00972F37"/>
    <w:rsid w:val="0097434A"/>
    <w:rsid w:val="009743DC"/>
    <w:rsid w:val="00974E1F"/>
    <w:rsid w:val="00982CBC"/>
    <w:rsid w:val="00984E8F"/>
    <w:rsid w:val="00986DBE"/>
    <w:rsid w:val="009901DF"/>
    <w:rsid w:val="00990567"/>
    <w:rsid w:val="00990C1D"/>
    <w:rsid w:val="009938CF"/>
    <w:rsid w:val="009944FE"/>
    <w:rsid w:val="00994819"/>
    <w:rsid w:val="00994CEF"/>
    <w:rsid w:val="00994DFC"/>
    <w:rsid w:val="0099575B"/>
    <w:rsid w:val="00996D4D"/>
    <w:rsid w:val="009971C4"/>
    <w:rsid w:val="0099787B"/>
    <w:rsid w:val="00997A19"/>
    <w:rsid w:val="00997AB3"/>
    <w:rsid w:val="009A077B"/>
    <w:rsid w:val="009A0DED"/>
    <w:rsid w:val="009A1184"/>
    <w:rsid w:val="009A2652"/>
    <w:rsid w:val="009A291A"/>
    <w:rsid w:val="009A3906"/>
    <w:rsid w:val="009A4DD4"/>
    <w:rsid w:val="009A569B"/>
    <w:rsid w:val="009A5C94"/>
    <w:rsid w:val="009A5FBC"/>
    <w:rsid w:val="009B147C"/>
    <w:rsid w:val="009B1892"/>
    <w:rsid w:val="009B299A"/>
    <w:rsid w:val="009B3771"/>
    <w:rsid w:val="009B389D"/>
    <w:rsid w:val="009B4F89"/>
    <w:rsid w:val="009B55DA"/>
    <w:rsid w:val="009B745D"/>
    <w:rsid w:val="009C0D17"/>
    <w:rsid w:val="009C162E"/>
    <w:rsid w:val="009C18C0"/>
    <w:rsid w:val="009C2803"/>
    <w:rsid w:val="009C496A"/>
    <w:rsid w:val="009C4EFE"/>
    <w:rsid w:val="009C6686"/>
    <w:rsid w:val="009C7BA6"/>
    <w:rsid w:val="009D07D0"/>
    <w:rsid w:val="009D0B5C"/>
    <w:rsid w:val="009D1286"/>
    <w:rsid w:val="009D2A2A"/>
    <w:rsid w:val="009D2D5C"/>
    <w:rsid w:val="009D4018"/>
    <w:rsid w:val="009D4EA3"/>
    <w:rsid w:val="009D4FFB"/>
    <w:rsid w:val="009D6AB2"/>
    <w:rsid w:val="009E027B"/>
    <w:rsid w:val="009E05C0"/>
    <w:rsid w:val="009E0AE1"/>
    <w:rsid w:val="009E0D57"/>
    <w:rsid w:val="009E119D"/>
    <w:rsid w:val="009E33E6"/>
    <w:rsid w:val="009E42FE"/>
    <w:rsid w:val="009F03CE"/>
    <w:rsid w:val="009F0744"/>
    <w:rsid w:val="009F0D40"/>
    <w:rsid w:val="009F29E2"/>
    <w:rsid w:val="009F3FC1"/>
    <w:rsid w:val="009F4148"/>
    <w:rsid w:val="009F5D99"/>
    <w:rsid w:val="009F692E"/>
    <w:rsid w:val="00A00F92"/>
    <w:rsid w:val="00A014D6"/>
    <w:rsid w:val="00A01740"/>
    <w:rsid w:val="00A04BAE"/>
    <w:rsid w:val="00A04CB9"/>
    <w:rsid w:val="00A052DE"/>
    <w:rsid w:val="00A05CBC"/>
    <w:rsid w:val="00A06183"/>
    <w:rsid w:val="00A068D1"/>
    <w:rsid w:val="00A074ED"/>
    <w:rsid w:val="00A07F06"/>
    <w:rsid w:val="00A11190"/>
    <w:rsid w:val="00A11860"/>
    <w:rsid w:val="00A127D2"/>
    <w:rsid w:val="00A139A5"/>
    <w:rsid w:val="00A13D97"/>
    <w:rsid w:val="00A14BE8"/>
    <w:rsid w:val="00A15AB9"/>
    <w:rsid w:val="00A16172"/>
    <w:rsid w:val="00A16643"/>
    <w:rsid w:val="00A17FF7"/>
    <w:rsid w:val="00A20457"/>
    <w:rsid w:val="00A207A5"/>
    <w:rsid w:val="00A20D2F"/>
    <w:rsid w:val="00A21065"/>
    <w:rsid w:val="00A21481"/>
    <w:rsid w:val="00A21DA1"/>
    <w:rsid w:val="00A232D9"/>
    <w:rsid w:val="00A23C36"/>
    <w:rsid w:val="00A262B3"/>
    <w:rsid w:val="00A30FC3"/>
    <w:rsid w:val="00A323C1"/>
    <w:rsid w:val="00A32492"/>
    <w:rsid w:val="00A33425"/>
    <w:rsid w:val="00A3449D"/>
    <w:rsid w:val="00A3621F"/>
    <w:rsid w:val="00A36A4E"/>
    <w:rsid w:val="00A4011A"/>
    <w:rsid w:val="00A406D9"/>
    <w:rsid w:val="00A40AC9"/>
    <w:rsid w:val="00A4279C"/>
    <w:rsid w:val="00A429A0"/>
    <w:rsid w:val="00A4359C"/>
    <w:rsid w:val="00A441D9"/>
    <w:rsid w:val="00A44914"/>
    <w:rsid w:val="00A452DE"/>
    <w:rsid w:val="00A472E7"/>
    <w:rsid w:val="00A52420"/>
    <w:rsid w:val="00A5348F"/>
    <w:rsid w:val="00A53598"/>
    <w:rsid w:val="00A563B6"/>
    <w:rsid w:val="00A5669B"/>
    <w:rsid w:val="00A5678B"/>
    <w:rsid w:val="00A57BF5"/>
    <w:rsid w:val="00A57F79"/>
    <w:rsid w:val="00A62665"/>
    <w:rsid w:val="00A63903"/>
    <w:rsid w:val="00A649DA"/>
    <w:rsid w:val="00A70FF5"/>
    <w:rsid w:val="00A7167B"/>
    <w:rsid w:val="00A73284"/>
    <w:rsid w:val="00A73435"/>
    <w:rsid w:val="00A7385F"/>
    <w:rsid w:val="00A76AAE"/>
    <w:rsid w:val="00A77051"/>
    <w:rsid w:val="00A8075D"/>
    <w:rsid w:val="00A8345F"/>
    <w:rsid w:val="00A853F6"/>
    <w:rsid w:val="00A85994"/>
    <w:rsid w:val="00A85C25"/>
    <w:rsid w:val="00A86965"/>
    <w:rsid w:val="00A87AB6"/>
    <w:rsid w:val="00A87C5E"/>
    <w:rsid w:val="00AA0248"/>
    <w:rsid w:val="00AA13BC"/>
    <w:rsid w:val="00AA32B0"/>
    <w:rsid w:val="00AA3A28"/>
    <w:rsid w:val="00AA3EAB"/>
    <w:rsid w:val="00AB1AC8"/>
    <w:rsid w:val="00AB2E89"/>
    <w:rsid w:val="00AB3102"/>
    <w:rsid w:val="00AB35D6"/>
    <w:rsid w:val="00AB5E52"/>
    <w:rsid w:val="00AB6B69"/>
    <w:rsid w:val="00AB7BCF"/>
    <w:rsid w:val="00AC10A8"/>
    <w:rsid w:val="00AC16A1"/>
    <w:rsid w:val="00AC3503"/>
    <w:rsid w:val="00AC4674"/>
    <w:rsid w:val="00AC7B1D"/>
    <w:rsid w:val="00AD4B9D"/>
    <w:rsid w:val="00AD4E95"/>
    <w:rsid w:val="00AD5B83"/>
    <w:rsid w:val="00AD6F29"/>
    <w:rsid w:val="00AD76DE"/>
    <w:rsid w:val="00AD7702"/>
    <w:rsid w:val="00AE0ECD"/>
    <w:rsid w:val="00AE2F3C"/>
    <w:rsid w:val="00AE34F4"/>
    <w:rsid w:val="00AE61DD"/>
    <w:rsid w:val="00AE750D"/>
    <w:rsid w:val="00AE7BF2"/>
    <w:rsid w:val="00AE7EF3"/>
    <w:rsid w:val="00AE7FF2"/>
    <w:rsid w:val="00AF0B43"/>
    <w:rsid w:val="00AF1682"/>
    <w:rsid w:val="00AF2491"/>
    <w:rsid w:val="00AF2724"/>
    <w:rsid w:val="00AF2868"/>
    <w:rsid w:val="00AF3302"/>
    <w:rsid w:val="00AF62D9"/>
    <w:rsid w:val="00AF6639"/>
    <w:rsid w:val="00AF7A17"/>
    <w:rsid w:val="00AF7FAD"/>
    <w:rsid w:val="00B011FB"/>
    <w:rsid w:val="00B020D4"/>
    <w:rsid w:val="00B02505"/>
    <w:rsid w:val="00B02FA0"/>
    <w:rsid w:val="00B04135"/>
    <w:rsid w:val="00B0442A"/>
    <w:rsid w:val="00B05322"/>
    <w:rsid w:val="00B0532F"/>
    <w:rsid w:val="00B104A5"/>
    <w:rsid w:val="00B123DC"/>
    <w:rsid w:val="00B1261B"/>
    <w:rsid w:val="00B12628"/>
    <w:rsid w:val="00B14169"/>
    <w:rsid w:val="00B156A7"/>
    <w:rsid w:val="00B17D12"/>
    <w:rsid w:val="00B17D13"/>
    <w:rsid w:val="00B22350"/>
    <w:rsid w:val="00B248DA"/>
    <w:rsid w:val="00B258DC"/>
    <w:rsid w:val="00B26058"/>
    <w:rsid w:val="00B27FD3"/>
    <w:rsid w:val="00B30221"/>
    <w:rsid w:val="00B30AEA"/>
    <w:rsid w:val="00B31392"/>
    <w:rsid w:val="00B3338A"/>
    <w:rsid w:val="00B333BD"/>
    <w:rsid w:val="00B3390D"/>
    <w:rsid w:val="00B3495F"/>
    <w:rsid w:val="00B36267"/>
    <w:rsid w:val="00B364DB"/>
    <w:rsid w:val="00B36955"/>
    <w:rsid w:val="00B378ED"/>
    <w:rsid w:val="00B41841"/>
    <w:rsid w:val="00B41EAE"/>
    <w:rsid w:val="00B4350A"/>
    <w:rsid w:val="00B43CC4"/>
    <w:rsid w:val="00B43D65"/>
    <w:rsid w:val="00B45320"/>
    <w:rsid w:val="00B45A3D"/>
    <w:rsid w:val="00B45E24"/>
    <w:rsid w:val="00B47DDA"/>
    <w:rsid w:val="00B50A09"/>
    <w:rsid w:val="00B50A64"/>
    <w:rsid w:val="00B50C1D"/>
    <w:rsid w:val="00B513FE"/>
    <w:rsid w:val="00B525C2"/>
    <w:rsid w:val="00B529B9"/>
    <w:rsid w:val="00B54D61"/>
    <w:rsid w:val="00B569FE"/>
    <w:rsid w:val="00B56A6A"/>
    <w:rsid w:val="00B604BD"/>
    <w:rsid w:val="00B63378"/>
    <w:rsid w:val="00B63F6F"/>
    <w:rsid w:val="00B64FFD"/>
    <w:rsid w:val="00B66475"/>
    <w:rsid w:val="00B667E1"/>
    <w:rsid w:val="00B67892"/>
    <w:rsid w:val="00B67B10"/>
    <w:rsid w:val="00B71479"/>
    <w:rsid w:val="00B73D2C"/>
    <w:rsid w:val="00B74A3D"/>
    <w:rsid w:val="00B74C14"/>
    <w:rsid w:val="00B75CCE"/>
    <w:rsid w:val="00B76669"/>
    <w:rsid w:val="00B76860"/>
    <w:rsid w:val="00B77108"/>
    <w:rsid w:val="00B808FD"/>
    <w:rsid w:val="00B80DE5"/>
    <w:rsid w:val="00B816A7"/>
    <w:rsid w:val="00B821CA"/>
    <w:rsid w:val="00B8347B"/>
    <w:rsid w:val="00B83686"/>
    <w:rsid w:val="00B85388"/>
    <w:rsid w:val="00B86D6E"/>
    <w:rsid w:val="00B87FE5"/>
    <w:rsid w:val="00B900C8"/>
    <w:rsid w:val="00B924F7"/>
    <w:rsid w:val="00B94203"/>
    <w:rsid w:val="00B945CB"/>
    <w:rsid w:val="00B95248"/>
    <w:rsid w:val="00B954C9"/>
    <w:rsid w:val="00B969BF"/>
    <w:rsid w:val="00B9794F"/>
    <w:rsid w:val="00B97F68"/>
    <w:rsid w:val="00BA093C"/>
    <w:rsid w:val="00BA1FD8"/>
    <w:rsid w:val="00BA3596"/>
    <w:rsid w:val="00BA4B04"/>
    <w:rsid w:val="00BA56DD"/>
    <w:rsid w:val="00BA5940"/>
    <w:rsid w:val="00BA6004"/>
    <w:rsid w:val="00BA6596"/>
    <w:rsid w:val="00BA6B12"/>
    <w:rsid w:val="00BB1F09"/>
    <w:rsid w:val="00BB22DD"/>
    <w:rsid w:val="00BB339B"/>
    <w:rsid w:val="00BB4BBA"/>
    <w:rsid w:val="00BB56E1"/>
    <w:rsid w:val="00BB7513"/>
    <w:rsid w:val="00BB7F09"/>
    <w:rsid w:val="00BC00B9"/>
    <w:rsid w:val="00BC1DE2"/>
    <w:rsid w:val="00BC271D"/>
    <w:rsid w:val="00BC30C4"/>
    <w:rsid w:val="00BC345D"/>
    <w:rsid w:val="00BC47C8"/>
    <w:rsid w:val="00BC583F"/>
    <w:rsid w:val="00BC706F"/>
    <w:rsid w:val="00BC74D9"/>
    <w:rsid w:val="00BC7A6D"/>
    <w:rsid w:val="00BC7C49"/>
    <w:rsid w:val="00BD135B"/>
    <w:rsid w:val="00BD1485"/>
    <w:rsid w:val="00BD1DC7"/>
    <w:rsid w:val="00BD2FE7"/>
    <w:rsid w:val="00BD3F55"/>
    <w:rsid w:val="00BD43BC"/>
    <w:rsid w:val="00BD484B"/>
    <w:rsid w:val="00BD4C48"/>
    <w:rsid w:val="00BD51CF"/>
    <w:rsid w:val="00BD5D52"/>
    <w:rsid w:val="00BD6278"/>
    <w:rsid w:val="00BD62A4"/>
    <w:rsid w:val="00BE45A5"/>
    <w:rsid w:val="00BE5174"/>
    <w:rsid w:val="00BE5E78"/>
    <w:rsid w:val="00BE626D"/>
    <w:rsid w:val="00BE72D3"/>
    <w:rsid w:val="00BF299D"/>
    <w:rsid w:val="00BF3151"/>
    <w:rsid w:val="00BF422B"/>
    <w:rsid w:val="00BF43C5"/>
    <w:rsid w:val="00BF46AC"/>
    <w:rsid w:val="00BF4815"/>
    <w:rsid w:val="00BF5A70"/>
    <w:rsid w:val="00C02273"/>
    <w:rsid w:val="00C035D0"/>
    <w:rsid w:val="00C05336"/>
    <w:rsid w:val="00C10EC9"/>
    <w:rsid w:val="00C12C36"/>
    <w:rsid w:val="00C151C8"/>
    <w:rsid w:val="00C15516"/>
    <w:rsid w:val="00C158F9"/>
    <w:rsid w:val="00C162F8"/>
    <w:rsid w:val="00C17CE7"/>
    <w:rsid w:val="00C17E07"/>
    <w:rsid w:val="00C2057D"/>
    <w:rsid w:val="00C213C7"/>
    <w:rsid w:val="00C214D8"/>
    <w:rsid w:val="00C21B54"/>
    <w:rsid w:val="00C25E15"/>
    <w:rsid w:val="00C26483"/>
    <w:rsid w:val="00C27DBF"/>
    <w:rsid w:val="00C31484"/>
    <w:rsid w:val="00C33702"/>
    <w:rsid w:val="00C33EF2"/>
    <w:rsid w:val="00C348AA"/>
    <w:rsid w:val="00C34D30"/>
    <w:rsid w:val="00C3592D"/>
    <w:rsid w:val="00C36481"/>
    <w:rsid w:val="00C3672E"/>
    <w:rsid w:val="00C37090"/>
    <w:rsid w:val="00C37CB4"/>
    <w:rsid w:val="00C4016F"/>
    <w:rsid w:val="00C40284"/>
    <w:rsid w:val="00C43737"/>
    <w:rsid w:val="00C43EDF"/>
    <w:rsid w:val="00C45086"/>
    <w:rsid w:val="00C506C7"/>
    <w:rsid w:val="00C51602"/>
    <w:rsid w:val="00C51752"/>
    <w:rsid w:val="00C54223"/>
    <w:rsid w:val="00C54B21"/>
    <w:rsid w:val="00C554B5"/>
    <w:rsid w:val="00C55C53"/>
    <w:rsid w:val="00C565DC"/>
    <w:rsid w:val="00C57F99"/>
    <w:rsid w:val="00C6007F"/>
    <w:rsid w:val="00C61627"/>
    <w:rsid w:val="00C62927"/>
    <w:rsid w:val="00C62EA9"/>
    <w:rsid w:val="00C636EC"/>
    <w:rsid w:val="00C645DB"/>
    <w:rsid w:val="00C645E7"/>
    <w:rsid w:val="00C64643"/>
    <w:rsid w:val="00C65528"/>
    <w:rsid w:val="00C655B2"/>
    <w:rsid w:val="00C6586E"/>
    <w:rsid w:val="00C661E8"/>
    <w:rsid w:val="00C663C7"/>
    <w:rsid w:val="00C72505"/>
    <w:rsid w:val="00C75A06"/>
    <w:rsid w:val="00C76CAE"/>
    <w:rsid w:val="00C777CE"/>
    <w:rsid w:val="00C83712"/>
    <w:rsid w:val="00C849F8"/>
    <w:rsid w:val="00C87BA7"/>
    <w:rsid w:val="00C90073"/>
    <w:rsid w:val="00C90F4A"/>
    <w:rsid w:val="00C91AC8"/>
    <w:rsid w:val="00C922AF"/>
    <w:rsid w:val="00C928D9"/>
    <w:rsid w:val="00C93FC1"/>
    <w:rsid w:val="00C94495"/>
    <w:rsid w:val="00C94B71"/>
    <w:rsid w:val="00C95EE5"/>
    <w:rsid w:val="00C96E30"/>
    <w:rsid w:val="00C9767B"/>
    <w:rsid w:val="00CA06F6"/>
    <w:rsid w:val="00CA07DA"/>
    <w:rsid w:val="00CA2E04"/>
    <w:rsid w:val="00CA4252"/>
    <w:rsid w:val="00CA5944"/>
    <w:rsid w:val="00CA59D6"/>
    <w:rsid w:val="00CA66B3"/>
    <w:rsid w:val="00CA7B24"/>
    <w:rsid w:val="00CA7DB4"/>
    <w:rsid w:val="00CB0857"/>
    <w:rsid w:val="00CB0C37"/>
    <w:rsid w:val="00CB0ED6"/>
    <w:rsid w:val="00CB0F18"/>
    <w:rsid w:val="00CB3BC9"/>
    <w:rsid w:val="00CB470E"/>
    <w:rsid w:val="00CB542E"/>
    <w:rsid w:val="00CB54B7"/>
    <w:rsid w:val="00CB66D0"/>
    <w:rsid w:val="00CB6FA7"/>
    <w:rsid w:val="00CB7BB2"/>
    <w:rsid w:val="00CC0370"/>
    <w:rsid w:val="00CC0A5E"/>
    <w:rsid w:val="00CC5995"/>
    <w:rsid w:val="00CC70CD"/>
    <w:rsid w:val="00CD25B0"/>
    <w:rsid w:val="00CD2851"/>
    <w:rsid w:val="00CD57A4"/>
    <w:rsid w:val="00CD736A"/>
    <w:rsid w:val="00CD7692"/>
    <w:rsid w:val="00CE233A"/>
    <w:rsid w:val="00CE2ECC"/>
    <w:rsid w:val="00CE314F"/>
    <w:rsid w:val="00CE33CA"/>
    <w:rsid w:val="00CE4913"/>
    <w:rsid w:val="00CE732D"/>
    <w:rsid w:val="00CF456D"/>
    <w:rsid w:val="00CF4E62"/>
    <w:rsid w:val="00CF5D99"/>
    <w:rsid w:val="00CF749A"/>
    <w:rsid w:val="00D01B79"/>
    <w:rsid w:val="00D02651"/>
    <w:rsid w:val="00D02D7F"/>
    <w:rsid w:val="00D03DE7"/>
    <w:rsid w:val="00D056BE"/>
    <w:rsid w:val="00D07FC2"/>
    <w:rsid w:val="00D107C7"/>
    <w:rsid w:val="00D12351"/>
    <w:rsid w:val="00D1268F"/>
    <w:rsid w:val="00D1292F"/>
    <w:rsid w:val="00D12DFB"/>
    <w:rsid w:val="00D143CC"/>
    <w:rsid w:val="00D14EA6"/>
    <w:rsid w:val="00D155FA"/>
    <w:rsid w:val="00D16433"/>
    <w:rsid w:val="00D172BB"/>
    <w:rsid w:val="00D17A7B"/>
    <w:rsid w:val="00D22CE3"/>
    <w:rsid w:val="00D26573"/>
    <w:rsid w:val="00D26B39"/>
    <w:rsid w:val="00D27B72"/>
    <w:rsid w:val="00D32B10"/>
    <w:rsid w:val="00D3307D"/>
    <w:rsid w:val="00D335A7"/>
    <w:rsid w:val="00D34C86"/>
    <w:rsid w:val="00D34CF7"/>
    <w:rsid w:val="00D358B4"/>
    <w:rsid w:val="00D35C4F"/>
    <w:rsid w:val="00D40FE3"/>
    <w:rsid w:val="00D42693"/>
    <w:rsid w:val="00D46006"/>
    <w:rsid w:val="00D512DE"/>
    <w:rsid w:val="00D51DA3"/>
    <w:rsid w:val="00D5261B"/>
    <w:rsid w:val="00D54852"/>
    <w:rsid w:val="00D5701D"/>
    <w:rsid w:val="00D61DB9"/>
    <w:rsid w:val="00D628BE"/>
    <w:rsid w:val="00D62B40"/>
    <w:rsid w:val="00D642B3"/>
    <w:rsid w:val="00D643B4"/>
    <w:rsid w:val="00D64C4E"/>
    <w:rsid w:val="00D64E76"/>
    <w:rsid w:val="00D651D2"/>
    <w:rsid w:val="00D66594"/>
    <w:rsid w:val="00D70B80"/>
    <w:rsid w:val="00D7161C"/>
    <w:rsid w:val="00D72801"/>
    <w:rsid w:val="00D7303E"/>
    <w:rsid w:val="00D73180"/>
    <w:rsid w:val="00D768C9"/>
    <w:rsid w:val="00D76E4A"/>
    <w:rsid w:val="00D770C7"/>
    <w:rsid w:val="00D82A9C"/>
    <w:rsid w:val="00D837DF"/>
    <w:rsid w:val="00D85D05"/>
    <w:rsid w:val="00D938DD"/>
    <w:rsid w:val="00D93F68"/>
    <w:rsid w:val="00D94225"/>
    <w:rsid w:val="00D94444"/>
    <w:rsid w:val="00D94872"/>
    <w:rsid w:val="00D95278"/>
    <w:rsid w:val="00D965DE"/>
    <w:rsid w:val="00D96EC1"/>
    <w:rsid w:val="00DA065C"/>
    <w:rsid w:val="00DA0CAE"/>
    <w:rsid w:val="00DA10F1"/>
    <w:rsid w:val="00DA13FB"/>
    <w:rsid w:val="00DA5091"/>
    <w:rsid w:val="00DA6CB0"/>
    <w:rsid w:val="00DB08A2"/>
    <w:rsid w:val="00DB21C5"/>
    <w:rsid w:val="00DB34CC"/>
    <w:rsid w:val="00DB5DF2"/>
    <w:rsid w:val="00DB6CC7"/>
    <w:rsid w:val="00DB71AF"/>
    <w:rsid w:val="00DB72C9"/>
    <w:rsid w:val="00DB753B"/>
    <w:rsid w:val="00DC2D3D"/>
    <w:rsid w:val="00DC4FC3"/>
    <w:rsid w:val="00DC6833"/>
    <w:rsid w:val="00DD10B9"/>
    <w:rsid w:val="00DD1AF4"/>
    <w:rsid w:val="00DD4741"/>
    <w:rsid w:val="00DD477C"/>
    <w:rsid w:val="00DD5CB8"/>
    <w:rsid w:val="00DD6524"/>
    <w:rsid w:val="00DD7491"/>
    <w:rsid w:val="00DD74D2"/>
    <w:rsid w:val="00DD776E"/>
    <w:rsid w:val="00DE22D8"/>
    <w:rsid w:val="00DE2526"/>
    <w:rsid w:val="00DE2C0A"/>
    <w:rsid w:val="00DE39D7"/>
    <w:rsid w:val="00DE4AAA"/>
    <w:rsid w:val="00DE5845"/>
    <w:rsid w:val="00DE59ED"/>
    <w:rsid w:val="00DE64F0"/>
    <w:rsid w:val="00DF2044"/>
    <w:rsid w:val="00DF24AA"/>
    <w:rsid w:val="00DF37A3"/>
    <w:rsid w:val="00DF6DBC"/>
    <w:rsid w:val="00E007FB"/>
    <w:rsid w:val="00E01118"/>
    <w:rsid w:val="00E016C3"/>
    <w:rsid w:val="00E02469"/>
    <w:rsid w:val="00E0305D"/>
    <w:rsid w:val="00E05465"/>
    <w:rsid w:val="00E05B93"/>
    <w:rsid w:val="00E068CC"/>
    <w:rsid w:val="00E06B55"/>
    <w:rsid w:val="00E06D9D"/>
    <w:rsid w:val="00E10209"/>
    <w:rsid w:val="00E11384"/>
    <w:rsid w:val="00E115A9"/>
    <w:rsid w:val="00E12D11"/>
    <w:rsid w:val="00E12EC5"/>
    <w:rsid w:val="00E14521"/>
    <w:rsid w:val="00E159CC"/>
    <w:rsid w:val="00E15C31"/>
    <w:rsid w:val="00E1737D"/>
    <w:rsid w:val="00E174A8"/>
    <w:rsid w:val="00E2045C"/>
    <w:rsid w:val="00E209ED"/>
    <w:rsid w:val="00E213B6"/>
    <w:rsid w:val="00E225E0"/>
    <w:rsid w:val="00E232F5"/>
    <w:rsid w:val="00E256F9"/>
    <w:rsid w:val="00E25AD3"/>
    <w:rsid w:val="00E2683C"/>
    <w:rsid w:val="00E26B1C"/>
    <w:rsid w:val="00E27927"/>
    <w:rsid w:val="00E31A07"/>
    <w:rsid w:val="00E330A8"/>
    <w:rsid w:val="00E34A06"/>
    <w:rsid w:val="00E36C66"/>
    <w:rsid w:val="00E40033"/>
    <w:rsid w:val="00E40565"/>
    <w:rsid w:val="00E41D19"/>
    <w:rsid w:val="00E41E73"/>
    <w:rsid w:val="00E41FC8"/>
    <w:rsid w:val="00E438C3"/>
    <w:rsid w:val="00E44931"/>
    <w:rsid w:val="00E44A0D"/>
    <w:rsid w:val="00E460E4"/>
    <w:rsid w:val="00E469C0"/>
    <w:rsid w:val="00E47951"/>
    <w:rsid w:val="00E47A3A"/>
    <w:rsid w:val="00E5104A"/>
    <w:rsid w:val="00E51602"/>
    <w:rsid w:val="00E52B02"/>
    <w:rsid w:val="00E52BC8"/>
    <w:rsid w:val="00E54CB0"/>
    <w:rsid w:val="00E56456"/>
    <w:rsid w:val="00E56868"/>
    <w:rsid w:val="00E56985"/>
    <w:rsid w:val="00E57D68"/>
    <w:rsid w:val="00E61071"/>
    <w:rsid w:val="00E617DC"/>
    <w:rsid w:val="00E62038"/>
    <w:rsid w:val="00E632D1"/>
    <w:rsid w:val="00E63AE4"/>
    <w:rsid w:val="00E6416A"/>
    <w:rsid w:val="00E646F0"/>
    <w:rsid w:val="00E6503F"/>
    <w:rsid w:val="00E6675E"/>
    <w:rsid w:val="00E70127"/>
    <w:rsid w:val="00E705FD"/>
    <w:rsid w:val="00E70CEC"/>
    <w:rsid w:val="00E71596"/>
    <w:rsid w:val="00E71989"/>
    <w:rsid w:val="00E72003"/>
    <w:rsid w:val="00E7236A"/>
    <w:rsid w:val="00E74538"/>
    <w:rsid w:val="00E753C9"/>
    <w:rsid w:val="00E76BBA"/>
    <w:rsid w:val="00E82124"/>
    <w:rsid w:val="00E85E52"/>
    <w:rsid w:val="00E86365"/>
    <w:rsid w:val="00E86D40"/>
    <w:rsid w:val="00E910CA"/>
    <w:rsid w:val="00E91673"/>
    <w:rsid w:val="00E91CFF"/>
    <w:rsid w:val="00E92927"/>
    <w:rsid w:val="00E93A6B"/>
    <w:rsid w:val="00E959B5"/>
    <w:rsid w:val="00E95B41"/>
    <w:rsid w:val="00EA0051"/>
    <w:rsid w:val="00EA08DD"/>
    <w:rsid w:val="00EA16CD"/>
    <w:rsid w:val="00EA244F"/>
    <w:rsid w:val="00EA26BB"/>
    <w:rsid w:val="00EA45CC"/>
    <w:rsid w:val="00EA6E74"/>
    <w:rsid w:val="00EA705A"/>
    <w:rsid w:val="00EB0A91"/>
    <w:rsid w:val="00EB1670"/>
    <w:rsid w:val="00EB21C7"/>
    <w:rsid w:val="00EB2DF0"/>
    <w:rsid w:val="00EB5710"/>
    <w:rsid w:val="00EB750B"/>
    <w:rsid w:val="00EC00BC"/>
    <w:rsid w:val="00EC0418"/>
    <w:rsid w:val="00EC06EE"/>
    <w:rsid w:val="00EC19E5"/>
    <w:rsid w:val="00EC1C01"/>
    <w:rsid w:val="00EC3793"/>
    <w:rsid w:val="00EC3D07"/>
    <w:rsid w:val="00EC4021"/>
    <w:rsid w:val="00EC449A"/>
    <w:rsid w:val="00EC4F75"/>
    <w:rsid w:val="00EC698A"/>
    <w:rsid w:val="00EC7A7C"/>
    <w:rsid w:val="00EC7AB4"/>
    <w:rsid w:val="00ED1592"/>
    <w:rsid w:val="00ED2499"/>
    <w:rsid w:val="00ED2D4A"/>
    <w:rsid w:val="00ED7885"/>
    <w:rsid w:val="00EE09F0"/>
    <w:rsid w:val="00EE3173"/>
    <w:rsid w:val="00EE4B30"/>
    <w:rsid w:val="00EE5540"/>
    <w:rsid w:val="00EE70CE"/>
    <w:rsid w:val="00EE765E"/>
    <w:rsid w:val="00EF39AC"/>
    <w:rsid w:val="00EF3BB8"/>
    <w:rsid w:val="00EF5C25"/>
    <w:rsid w:val="00EF6D50"/>
    <w:rsid w:val="00EF76CC"/>
    <w:rsid w:val="00EF76E7"/>
    <w:rsid w:val="00F00C29"/>
    <w:rsid w:val="00F02E57"/>
    <w:rsid w:val="00F03194"/>
    <w:rsid w:val="00F03668"/>
    <w:rsid w:val="00F03FED"/>
    <w:rsid w:val="00F04E45"/>
    <w:rsid w:val="00F066E3"/>
    <w:rsid w:val="00F07111"/>
    <w:rsid w:val="00F12666"/>
    <w:rsid w:val="00F13EAB"/>
    <w:rsid w:val="00F1405A"/>
    <w:rsid w:val="00F14781"/>
    <w:rsid w:val="00F16005"/>
    <w:rsid w:val="00F178B8"/>
    <w:rsid w:val="00F209E3"/>
    <w:rsid w:val="00F21BFD"/>
    <w:rsid w:val="00F2440E"/>
    <w:rsid w:val="00F25D6F"/>
    <w:rsid w:val="00F26F9F"/>
    <w:rsid w:val="00F343F9"/>
    <w:rsid w:val="00F34D91"/>
    <w:rsid w:val="00F35CA3"/>
    <w:rsid w:val="00F35CD9"/>
    <w:rsid w:val="00F35FD8"/>
    <w:rsid w:val="00F37CF8"/>
    <w:rsid w:val="00F37FEF"/>
    <w:rsid w:val="00F41278"/>
    <w:rsid w:val="00F416F9"/>
    <w:rsid w:val="00F4190A"/>
    <w:rsid w:val="00F429DB"/>
    <w:rsid w:val="00F43915"/>
    <w:rsid w:val="00F44148"/>
    <w:rsid w:val="00F45A4F"/>
    <w:rsid w:val="00F45EB9"/>
    <w:rsid w:val="00F504F0"/>
    <w:rsid w:val="00F50C31"/>
    <w:rsid w:val="00F51D17"/>
    <w:rsid w:val="00F52ACC"/>
    <w:rsid w:val="00F53020"/>
    <w:rsid w:val="00F531B8"/>
    <w:rsid w:val="00F54EF1"/>
    <w:rsid w:val="00F550D4"/>
    <w:rsid w:val="00F55894"/>
    <w:rsid w:val="00F56832"/>
    <w:rsid w:val="00F60F84"/>
    <w:rsid w:val="00F61ED4"/>
    <w:rsid w:val="00F64629"/>
    <w:rsid w:val="00F67268"/>
    <w:rsid w:val="00F72336"/>
    <w:rsid w:val="00F72F47"/>
    <w:rsid w:val="00F73751"/>
    <w:rsid w:val="00F7536E"/>
    <w:rsid w:val="00F759B1"/>
    <w:rsid w:val="00F75F3E"/>
    <w:rsid w:val="00F7796C"/>
    <w:rsid w:val="00F832EA"/>
    <w:rsid w:val="00F83FB3"/>
    <w:rsid w:val="00F8549A"/>
    <w:rsid w:val="00F85752"/>
    <w:rsid w:val="00F87F67"/>
    <w:rsid w:val="00F90702"/>
    <w:rsid w:val="00F90794"/>
    <w:rsid w:val="00F91196"/>
    <w:rsid w:val="00F928EC"/>
    <w:rsid w:val="00F942D5"/>
    <w:rsid w:val="00F95B5E"/>
    <w:rsid w:val="00F95C3E"/>
    <w:rsid w:val="00F95F91"/>
    <w:rsid w:val="00F96016"/>
    <w:rsid w:val="00F96104"/>
    <w:rsid w:val="00FA2AB4"/>
    <w:rsid w:val="00FA2C28"/>
    <w:rsid w:val="00FA3B4C"/>
    <w:rsid w:val="00FA42C8"/>
    <w:rsid w:val="00FA65D3"/>
    <w:rsid w:val="00FA7EEF"/>
    <w:rsid w:val="00FB0F6F"/>
    <w:rsid w:val="00FB30C0"/>
    <w:rsid w:val="00FB3356"/>
    <w:rsid w:val="00FB60FF"/>
    <w:rsid w:val="00FB7ABF"/>
    <w:rsid w:val="00FC0117"/>
    <w:rsid w:val="00FC1D26"/>
    <w:rsid w:val="00FC42F8"/>
    <w:rsid w:val="00FC445F"/>
    <w:rsid w:val="00FC4DCA"/>
    <w:rsid w:val="00FC58AA"/>
    <w:rsid w:val="00FC58DE"/>
    <w:rsid w:val="00FC6A44"/>
    <w:rsid w:val="00FD08A0"/>
    <w:rsid w:val="00FD1E12"/>
    <w:rsid w:val="00FD2363"/>
    <w:rsid w:val="00FD2D4B"/>
    <w:rsid w:val="00FD5060"/>
    <w:rsid w:val="00FD657C"/>
    <w:rsid w:val="00FD6E05"/>
    <w:rsid w:val="00FD7832"/>
    <w:rsid w:val="00FE00EB"/>
    <w:rsid w:val="00FE106F"/>
    <w:rsid w:val="00FE1A4B"/>
    <w:rsid w:val="00FE3F8D"/>
    <w:rsid w:val="00FE5845"/>
    <w:rsid w:val="00FE787A"/>
    <w:rsid w:val="00FE7EB5"/>
    <w:rsid w:val="00FF4EF1"/>
    <w:rsid w:val="00FF6520"/>
    <w:rsid w:val="00FF7E35"/>
    <w:rsid w:val="0E4D6447"/>
    <w:rsid w:val="2261BACF"/>
    <w:rsid w:val="22DD7149"/>
    <w:rsid w:val="3E1249A3"/>
    <w:rsid w:val="3E91BE75"/>
    <w:rsid w:val="3FA4696D"/>
    <w:rsid w:val="3FA945DB"/>
    <w:rsid w:val="52FA9EED"/>
    <w:rsid w:val="580AB40B"/>
    <w:rsid w:val="5D4A00CD"/>
    <w:rsid w:val="639EB589"/>
    <w:rsid w:val="74C3DC2F"/>
    <w:rsid w:val="7ED911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E81BB3"/>
  <w15:docId w15:val="{A168049E-12AA-4380-8928-E5B3D6253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line="278"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4815"/>
    <w:rPr>
      <w:rFonts w:ascii="Times New Roman" w:eastAsia="Times New Roman" w:hAnsi="Times New Roman" w:cs="Times New Roman"/>
      <w:kern w:val="0"/>
      <w:sz w:val="28"/>
      <w:szCs w:val="20"/>
      <w:lang w:val="es-ES"/>
      <w14:ligatures w14:val="none"/>
    </w:rPr>
  </w:style>
  <w:style w:type="paragraph" w:styleId="Heading1">
    <w:name w:val="heading 1"/>
    <w:basedOn w:val="Normal"/>
    <w:next w:val="Normal"/>
    <w:link w:val="Heading1Char"/>
    <w:uiPriority w:val="9"/>
    <w:qFormat/>
    <w:rsid w:val="00BF4815"/>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BF4815"/>
    <w:pPr>
      <w:keepNext/>
      <w:spacing w:before="240"/>
      <w:jc w:val="center"/>
      <w:outlineLvl w:val="1"/>
    </w:pPr>
    <w:rPr>
      <w:rFonts w:eastAsia="MS Mincho"/>
      <w:bCs/>
      <w:lang w:val="es-ES_tradnl"/>
    </w:rPr>
  </w:style>
  <w:style w:type="paragraph" w:styleId="Heading3">
    <w:name w:val="heading 3"/>
    <w:basedOn w:val="Normal"/>
    <w:next w:val="Normal"/>
    <w:link w:val="Heading3Char"/>
    <w:uiPriority w:val="9"/>
    <w:semiHidden/>
    <w:unhideWhenUsed/>
    <w:qFormat/>
    <w:rsid w:val="00BA5940"/>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BF4815"/>
    <w:pPr>
      <w:tabs>
        <w:tab w:val="left" w:pos="648"/>
        <w:tab w:val="right" w:pos="7776"/>
        <w:tab w:val="left" w:pos="7848"/>
      </w:tabs>
    </w:pPr>
    <w:rPr>
      <w:sz w:val="24"/>
      <w:lang w:val="en-US"/>
    </w:rPr>
  </w:style>
  <w:style w:type="paragraph" w:styleId="BodyText">
    <w:name w:val="Body Text"/>
    <w:basedOn w:val="Normal"/>
    <w:link w:val="BodyTextChar"/>
    <w:rsid w:val="00BF4815"/>
    <w:pPr>
      <w:spacing w:line="480" w:lineRule="auto"/>
    </w:pPr>
    <w:rPr>
      <w:sz w:val="24"/>
    </w:rPr>
  </w:style>
  <w:style w:type="character" w:customStyle="1" w:styleId="BodyTextChar">
    <w:name w:val="Body Text Char"/>
    <w:basedOn w:val="DefaultParagraphFont"/>
    <w:link w:val="BodyText"/>
    <w:rsid w:val="00BF4815"/>
    <w:rPr>
      <w:rFonts w:ascii="Times New Roman" w:eastAsia="Times New Roman" w:hAnsi="Times New Roman" w:cs="Times New Roman"/>
      <w:kern w:val="0"/>
      <w:sz w:val="24"/>
      <w:szCs w:val="20"/>
      <w:lang w:val="es-ES"/>
      <w14:ligatures w14:val="none"/>
    </w:rPr>
  </w:style>
  <w:style w:type="paragraph" w:styleId="Title">
    <w:name w:val="Title"/>
    <w:basedOn w:val="Normal"/>
    <w:link w:val="TitleChar"/>
    <w:qFormat/>
    <w:rsid w:val="00BF4815"/>
    <w:pPr>
      <w:jc w:val="center"/>
    </w:pPr>
    <w:rPr>
      <w:b/>
      <w:bCs/>
      <w:sz w:val="36"/>
      <w:szCs w:val="24"/>
      <w:lang w:val="es-PR"/>
    </w:rPr>
  </w:style>
  <w:style w:type="character" w:customStyle="1" w:styleId="TitleChar">
    <w:name w:val="Title Char"/>
    <w:basedOn w:val="DefaultParagraphFont"/>
    <w:link w:val="Title"/>
    <w:rsid w:val="00BF4815"/>
    <w:rPr>
      <w:rFonts w:ascii="Times New Roman" w:eastAsia="Times New Roman" w:hAnsi="Times New Roman" w:cs="Times New Roman"/>
      <w:b/>
      <w:bCs/>
      <w:kern w:val="0"/>
      <w:sz w:val="36"/>
      <w:szCs w:val="24"/>
      <w:lang w:val="es-PR"/>
      <w14:ligatures w14:val="none"/>
    </w:rPr>
  </w:style>
  <w:style w:type="paragraph" w:styleId="HTMLPreformatted">
    <w:name w:val="HTML Preformatted"/>
    <w:basedOn w:val="Normal"/>
    <w:link w:val="HTMLPreformattedChar"/>
    <w:uiPriority w:val="99"/>
    <w:rsid w:val="00BF4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4"/>
      <w:szCs w:val="24"/>
      <w:lang w:val="en-US"/>
    </w:rPr>
  </w:style>
  <w:style w:type="character" w:customStyle="1" w:styleId="HTMLPreformattedChar">
    <w:name w:val="HTML Preformatted Char"/>
    <w:basedOn w:val="DefaultParagraphFont"/>
    <w:link w:val="HTMLPreformatted"/>
    <w:uiPriority w:val="99"/>
    <w:rsid w:val="00BF4815"/>
    <w:rPr>
      <w:rFonts w:ascii="Courier New" w:eastAsia="Times New Roman" w:hAnsi="Courier New" w:cs="Courier New"/>
      <w:kern w:val="0"/>
      <w:sz w:val="24"/>
      <w:szCs w:val="24"/>
      <w14:ligatures w14:val="none"/>
    </w:rPr>
  </w:style>
  <w:style w:type="character" w:customStyle="1" w:styleId="Heading1Char">
    <w:name w:val="Heading 1 Char"/>
    <w:basedOn w:val="DefaultParagraphFont"/>
    <w:link w:val="Heading1"/>
    <w:uiPriority w:val="9"/>
    <w:rsid w:val="00BF4815"/>
    <w:rPr>
      <w:rFonts w:ascii="Cambria" w:eastAsia="Times New Roman" w:hAnsi="Cambria" w:cs="Times New Roman"/>
      <w:b/>
      <w:bCs/>
      <w:kern w:val="32"/>
      <w:sz w:val="32"/>
      <w:szCs w:val="32"/>
      <w:lang w:val="es-ES"/>
      <w14:ligatures w14:val="none"/>
    </w:rPr>
  </w:style>
  <w:style w:type="character" w:customStyle="1" w:styleId="Heading2Char">
    <w:name w:val="Heading 2 Char"/>
    <w:basedOn w:val="DefaultParagraphFont"/>
    <w:link w:val="Heading2"/>
    <w:rsid w:val="00BF4815"/>
    <w:rPr>
      <w:rFonts w:ascii="Times New Roman" w:eastAsia="MS Mincho" w:hAnsi="Times New Roman" w:cs="Times New Roman"/>
      <w:bCs/>
      <w:kern w:val="0"/>
      <w:sz w:val="28"/>
      <w:szCs w:val="20"/>
      <w:lang w:val="es-ES_tradnl"/>
      <w14:ligatures w14:val="none"/>
    </w:rPr>
  </w:style>
  <w:style w:type="paragraph" w:styleId="Header">
    <w:name w:val="header"/>
    <w:basedOn w:val="Normal"/>
    <w:link w:val="HeaderChar"/>
    <w:uiPriority w:val="99"/>
    <w:rsid w:val="00BF4815"/>
    <w:pPr>
      <w:tabs>
        <w:tab w:val="center" w:pos="4320"/>
        <w:tab w:val="right" w:pos="8640"/>
      </w:tabs>
    </w:pPr>
  </w:style>
  <w:style w:type="character" w:customStyle="1" w:styleId="HeaderChar">
    <w:name w:val="Header Char"/>
    <w:basedOn w:val="DefaultParagraphFont"/>
    <w:link w:val="Header"/>
    <w:uiPriority w:val="99"/>
    <w:rsid w:val="00BF4815"/>
    <w:rPr>
      <w:rFonts w:ascii="Times New Roman" w:eastAsia="Times New Roman" w:hAnsi="Times New Roman" w:cs="Times New Roman"/>
      <w:kern w:val="0"/>
      <w:sz w:val="28"/>
      <w:szCs w:val="20"/>
      <w:lang w:val="es-ES"/>
      <w14:ligatures w14:val="none"/>
    </w:rPr>
  </w:style>
  <w:style w:type="character" w:styleId="PageNumber">
    <w:name w:val="page number"/>
    <w:basedOn w:val="DefaultParagraphFont"/>
    <w:rsid w:val="00BF4815"/>
  </w:style>
  <w:style w:type="paragraph" w:styleId="NormalWeb">
    <w:name w:val="Normal (Web)"/>
    <w:basedOn w:val="Normal"/>
    <w:uiPriority w:val="99"/>
    <w:rsid w:val="00BF4815"/>
    <w:pPr>
      <w:spacing w:before="100" w:beforeAutospacing="1" w:after="100" w:afterAutospacing="1"/>
    </w:pPr>
    <w:rPr>
      <w:sz w:val="24"/>
      <w:szCs w:val="24"/>
      <w:lang w:val="en-US"/>
    </w:rPr>
  </w:style>
  <w:style w:type="paragraph" w:styleId="FootnoteText">
    <w:name w:val="footnote text"/>
    <w:basedOn w:val="Normal"/>
    <w:link w:val="FootnoteTextChar"/>
    <w:rsid w:val="00BF4815"/>
    <w:rPr>
      <w:sz w:val="20"/>
    </w:rPr>
  </w:style>
  <w:style w:type="character" w:customStyle="1" w:styleId="FootnoteTextChar">
    <w:name w:val="Footnote Text Char"/>
    <w:basedOn w:val="DefaultParagraphFont"/>
    <w:link w:val="FootnoteText"/>
    <w:rsid w:val="00BF4815"/>
    <w:rPr>
      <w:rFonts w:ascii="Times New Roman" w:eastAsia="Times New Roman" w:hAnsi="Times New Roman" w:cs="Times New Roman"/>
      <w:kern w:val="0"/>
      <w:sz w:val="20"/>
      <w:szCs w:val="20"/>
      <w:lang w:val="es-ES"/>
      <w14:ligatures w14:val="none"/>
    </w:rPr>
  </w:style>
  <w:style w:type="character" w:styleId="FootnoteReference">
    <w:name w:val="footnote reference"/>
    <w:rsid w:val="00BF4815"/>
    <w:rPr>
      <w:vertAlign w:val="superscript"/>
    </w:rPr>
  </w:style>
  <w:style w:type="paragraph" w:styleId="Footer">
    <w:name w:val="footer"/>
    <w:basedOn w:val="Normal"/>
    <w:link w:val="FooterChar"/>
    <w:uiPriority w:val="99"/>
    <w:rsid w:val="00BF4815"/>
    <w:pPr>
      <w:tabs>
        <w:tab w:val="center" w:pos="4320"/>
        <w:tab w:val="right" w:pos="8640"/>
      </w:tabs>
    </w:pPr>
  </w:style>
  <w:style w:type="character" w:customStyle="1" w:styleId="FooterChar">
    <w:name w:val="Footer Char"/>
    <w:basedOn w:val="DefaultParagraphFont"/>
    <w:link w:val="Footer"/>
    <w:uiPriority w:val="99"/>
    <w:rsid w:val="00BF4815"/>
    <w:rPr>
      <w:rFonts w:ascii="Times New Roman" w:eastAsia="Times New Roman" w:hAnsi="Times New Roman" w:cs="Times New Roman"/>
      <w:kern w:val="0"/>
      <w:sz w:val="28"/>
      <w:szCs w:val="20"/>
      <w:lang w:val="es-ES"/>
      <w14:ligatures w14:val="none"/>
    </w:rPr>
  </w:style>
  <w:style w:type="paragraph" w:styleId="BalloonText">
    <w:name w:val="Balloon Text"/>
    <w:basedOn w:val="Normal"/>
    <w:link w:val="BalloonTextChar"/>
    <w:semiHidden/>
    <w:rsid w:val="00BF4815"/>
    <w:rPr>
      <w:rFonts w:ascii="Tahoma" w:hAnsi="Tahoma" w:cs="Tahoma"/>
      <w:sz w:val="16"/>
      <w:szCs w:val="16"/>
    </w:rPr>
  </w:style>
  <w:style w:type="character" w:customStyle="1" w:styleId="BalloonTextChar">
    <w:name w:val="Balloon Text Char"/>
    <w:basedOn w:val="DefaultParagraphFont"/>
    <w:link w:val="BalloonText"/>
    <w:semiHidden/>
    <w:rsid w:val="00BF4815"/>
    <w:rPr>
      <w:rFonts w:ascii="Tahoma" w:eastAsia="Times New Roman" w:hAnsi="Tahoma" w:cs="Tahoma"/>
      <w:kern w:val="0"/>
      <w:sz w:val="16"/>
      <w:szCs w:val="16"/>
      <w:lang w:val="es-ES"/>
      <w14:ligatures w14:val="none"/>
    </w:rPr>
  </w:style>
  <w:style w:type="character" w:customStyle="1" w:styleId="Char3">
    <w:name w:val="Char3"/>
    <w:rsid w:val="00BF4815"/>
    <w:rPr>
      <w:lang w:val="es-ES" w:eastAsia="en-US" w:bidi="ar-SA"/>
    </w:rPr>
  </w:style>
  <w:style w:type="paragraph" w:styleId="BodyTextIndent">
    <w:name w:val="Body Text Indent"/>
    <w:basedOn w:val="Normal"/>
    <w:link w:val="BodyTextIndentChar"/>
    <w:uiPriority w:val="99"/>
    <w:unhideWhenUsed/>
    <w:rsid w:val="00BF4815"/>
    <w:pPr>
      <w:spacing w:after="120"/>
      <w:ind w:left="360"/>
    </w:pPr>
  </w:style>
  <w:style w:type="character" w:customStyle="1" w:styleId="BodyTextIndentChar">
    <w:name w:val="Body Text Indent Char"/>
    <w:basedOn w:val="DefaultParagraphFont"/>
    <w:link w:val="BodyTextIndent"/>
    <w:uiPriority w:val="99"/>
    <w:rsid w:val="00BF4815"/>
    <w:rPr>
      <w:rFonts w:ascii="Times New Roman" w:eastAsia="Times New Roman" w:hAnsi="Times New Roman" w:cs="Times New Roman"/>
      <w:kern w:val="0"/>
      <w:sz w:val="28"/>
      <w:szCs w:val="20"/>
      <w:lang w:val="es-ES"/>
      <w14:ligatures w14:val="none"/>
    </w:rPr>
  </w:style>
  <w:style w:type="paragraph" w:customStyle="1" w:styleId="Style">
    <w:name w:val="Style"/>
    <w:rsid w:val="00BF4815"/>
    <w:pPr>
      <w:widowControl w:val="0"/>
      <w:autoSpaceDE w:val="0"/>
      <w:autoSpaceDN w:val="0"/>
      <w:adjustRightInd w:val="0"/>
      <w:spacing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link w:val="ListParagraphChar"/>
    <w:uiPriority w:val="34"/>
    <w:qFormat/>
    <w:rsid w:val="00BF4815"/>
    <w:pPr>
      <w:spacing w:after="200" w:line="276" w:lineRule="auto"/>
      <w:ind w:left="720"/>
      <w:contextualSpacing/>
    </w:pPr>
    <w:rPr>
      <w:rFonts w:ascii="Calibri" w:eastAsia="Calibri" w:hAnsi="Calibri"/>
      <w:sz w:val="22"/>
      <w:szCs w:val="22"/>
      <w:lang w:val="es-PR" w:eastAsia="x-none"/>
    </w:rPr>
  </w:style>
  <w:style w:type="character" w:customStyle="1" w:styleId="ListParagraphChar">
    <w:name w:val="List Paragraph Char"/>
    <w:link w:val="ListParagraph"/>
    <w:uiPriority w:val="34"/>
    <w:rsid w:val="00BF4815"/>
    <w:rPr>
      <w:rFonts w:ascii="Calibri" w:eastAsia="Calibri" w:hAnsi="Calibri" w:cs="Times New Roman"/>
      <w:kern w:val="0"/>
      <w:lang w:val="es-PR" w:eastAsia="x-none"/>
      <w14:ligatures w14:val="none"/>
    </w:rPr>
  </w:style>
  <w:style w:type="table" w:styleId="TableGrid">
    <w:name w:val="Table Grid"/>
    <w:basedOn w:val="TableNormal"/>
    <w:uiPriority w:val="39"/>
    <w:rsid w:val="00BF4815"/>
    <w:pPr>
      <w:spacing w:line="240" w:lineRule="auto"/>
    </w:pPr>
    <w:rPr>
      <w:rFonts w:ascii="Times New Roman" w:eastAsia="Times New Roman"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lorfulList-Accent11">
    <w:name w:val="Colorful List - Accent 11"/>
    <w:basedOn w:val="Normal"/>
    <w:link w:val="ColorfulList-Accent1Char"/>
    <w:uiPriority w:val="99"/>
    <w:qFormat/>
    <w:rsid w:val="00BF4815"/>
    <w:pPr>
      <w:ind w:left="708"/>
    </w:pPr>
    <w:rPr>
      <w:sz w:val="24"/>
      <w:szCs w:val="24"/>
      <w:lang w:val="es-PR"/>
    </w:rPr>
  </w:style>
  <w:style w:type="character" w:customStyle="1" w:styleId="ColorfulList-Accent1Char">
    <w:name w:val="Colorful List - Accent 1 Char"/>
    <w:link w:val="ColorfulList-Accent11"/>
    <w:uiPriority w:val="99"/>
    <w:rsid w:val="00BF4815"/>
    <w:rPr>
      <w:rFonts w:ascii="Times New Roman" w:eastAsia="Times New Roman" w:hAnsi="Times New Roman" w:cs="Times New Roman"/>
      <w:kern w:val="0"/>
      <w:sz w:val="24"/>
      <w:szCs w:val="24"/>
      <w:lang w:val="es-PR"/>
      <w14:ligatures w14:val="none"/>
    </w:rPr>
  </w:style>
  <w:style w:type="character" w:customStyle="1" w:styleId="shorttext">
    <w:name w:val="short_text"/>
    <w:rsid w:val="00BF4815"/>
  </w:style>
  <w:style w:type="character" w:customStyle="1" w:styleId="hps">
    <w:name w:val="hps"/>
    <w:rsid w:val="00BF4815"/>
  </w:style>
  <w:style w:type="paragraph" w:customStyle="1" w:styleId="Default">
    <w:name w:val="Default"/>
    <w:rsid w:val="00BF4815"/>
    <w:pPr>
      <w:autoSpaceDE w:val="0"/>
      <w:autoSpaceDN w:val="0"/>
      <w:adjustRightInd w:val="0"/>
      <w:spacing w:line="240" w:lineRule="auto"/>
    </w:pPr>
    <w:rPr>
      <w:rFonts w:ascii="Cambria" w:eastAsia="Calibri" w:hAnsi="Cambria" w:cs="Cambria"/>
      <w:color w:val="000000"/>
      <w:kern w:val="0"/>
      <w:sz w:val="24"/>
      <w:szCs w:val="24"/>
      <w14:ligatures w14:val="none"/>
    </w:rPr>
  </w:style>
  <w:style w:type="table" w:customStyle="1" w:styleId="TableGrid0">
    <w:name w:val="TableGrid"/>
    <w:rsid w:val="00BF4815"/>
    <w:pPr>
      <w:spacing w:line="240" w:lineRule="auto"/>
    </w:pPr>
    <w:rPr>
      <w:rFonts w:ascii="Century Gothic" w:eastAsia="Times New Roman" w:hAnsi="Century Gothic" w:cs="Times New Roman"/>
      <w:kern w:val="0"/>
      <w14:ligatures w14:val="none"/>
    </w:rPr>
    <w:tblPr>
      <w:tblCellMar>
        <w:top w:w="0" w:type="dxa"/>
        <w:left w:w="0" w:type="dxa"/>
        <w:bottom w:w="0" w:type="dxa"/>
        <w:right w:w="0" w:type="dxa"/>
      </w:tblCellMar>
    </w:tblPr>
  </w:style>
  <w:style w:type="paragraph" w:customStyle="1" w:styleId="articlebody">
    <w:name w:val="article__body"/>
    <w:basedOn w:val="Normal"/>
    <w:rsid w:val="00BF4815"/>
    <w:pPr>
      <w:spacing w:before="100" w:beforeAutospacing="1" w:after="100" w:afterAutospacing="1"/>
    </w:pPr>
    <w:rPr>
      <w:sz w:val="24"/>
      <w:szCs w:val="24"/>
      <w:lang w:val="en-US"/>
    </w:rPr>
  </w:style>
  <w:style w:type="paragraph" w:customStyle="1" w:styleId="defaultstyledtext-xb1qmn-0">
    <w:name w:val="default__styledtext-xb1qmn-0"/>
    <w:basedOn w:val="Normal"/>
    <w:rsid w:val="00BF4815"/>
    <w:pPr>
      <w:spacing w:before="100" w:beforeAutospacing="1" w:after="100" w:afterAutospacing="1"/>
    </w:pPr>
    <w:rPr>
      <w:sz w:val="24"/>
      <w:szCs w:val="24"/>
      <w:lang w:val="en-US"/>
    </w:rPr>
  </w:style>
  <w:style w:type="character" w:styleId="Hyperlink">
    <w:name w:val="Hyperlink"/>
    <w:uiPriority w:val="99"/>
    <w:semiHidden/>
    <w:unhideWhenUsed/>
    <w:rsid w:val="00BF4815"/>
    <w:rPr>
      <w:color w:val="0000FF"/>
      <w:u w:val="single"/>
    </w:rPr>
  </w:style>
  <w:style w:type="character" w:customStyle="1" w:styleId="bumpedfont15">
    <w:name w:val="bumpedfont15"/>
    <w:basedOn w:val="DefaultParagraphFont"/>
    <w:rsid w:val="009B147C"/>
  </w:style>
  <w:style w:type="paragraph" w:customStyle="1" w:styleId="s5">
    <w:name w:val="s5"/>
    <w:basedOn w:val="Normal"/>
    <w:rsid w:val="00EB2DF0"/>
    <w:pPr>
      <w:spacing w:before="100" w:beforeAutospacing="1" w:after="100" w:afterAutospacing="1"/>
    </w:pPr>
    <w:rPr>
      <w:sz w:val="24"/>
      <w:szCs w:val="24"/>
      <w:lang w:val="en-US"/>
    </w:rPr>
  </w:style>
  <w:style w:type="paragraph" w:styleId="NoSpacing">
    <w:name w:val="No Spacing"/>
    <w:uiPriority w:val="1"/>
    <w:qFormat/>
    <w:rsid w:val="00E959B5"/>
    <w:pPr>
      <w:spacing w:line="240" w:lineRule="auto"/>
    </w:pPr>
    <w:rPr>
      <w:rFonts w:ascii="Calibri" w:eastAsia="Calibri" w:hAnsi="Calibri" w:cs="Times New Roman"/>
      <w:kern w:val="0"/>
      <w14:ligatures w14:val="none"/>
    </w:rPr>
  </w:style>
  <w:style w:type="character" w:customStyle="1" w:styleId="Heading3Char">
    <w:name w:val="Heading 3 Char"/>
    <w:basedOn w:val="DefaultParagraphFont"/>
    <w:link w:val="Heading3"/>
    <w:uiPriority w:val="9"/>
    <w:semiHidden/>
    <w:rsid w:val="00BA5940"/>
    <w:rPr>
      <w:rFonts w:asciiTheme="majorHAnsi" w:eastAsiaTheme="majorEastAsia" w:hAnsiTheme="majorHAnsi" w:cstheme="majorBidi"/>
      <w:color w:val="1F3763" w:themeColor="accent1" w:themeShade="7F"/>
      <w:kern w:val="0"/>
      <w:sz w:val="24"/>
      <w:szCs w:val="24"/>
      <w:lang w:val="es-ES"/>
      <w14:ligatures w14:val="none"/>
    </w:rPr>
  </w:style>
  <w:style w:type="paragraph" w:styleId="Revision">
    <w:name w:val="Revision"/>
    <w:hidden/>
    <w:uiPriority w:val="99"/>
    <w:semiHidden/>
    <w:rsid w:val="007358D5"/>
    <w:pPr>
      <w:spacing w:line="240" w:lineRule="auto"/>
    </w:pPr>
    <w:rPr>
      <w:rFonts w:ascii="Times New Roman" w:eastAsia="Times New Roman" w:hAnsi="Times New Roman" w:cs="Times New Roman"/>
      <w:kern w:val="0"/>
      <w:sz w:val="28"/>
      <w:szCs w:val="20"/>
      <w:lang w:val="es-ES"/>
      <w14:ligatures w14:val="none"/>
    </w:rPr>
  </w:style>
  <w:style w:type="character" w:styleId="CommentReference">
    <w:name w:val="annotation reference"/>
    <w:basedOn w:val="DefaultParagraphFont"/>
    <w:uiPriority w:val="99"/>
    <w:semiHidden/>
    <w:unhideWhenUsed/>
    <w:rsid w:val="003A061D"/>
    <w:rPr>
      <w:sz w:val="16"/>
      <w:szCs w:val="16"/>
    </w:rPr>
  </w:style>
  <w:style w:type="paragraph" w:styleId="CommentText">
    <w:name w:val="annotation text"/>
    <w:basedOn w:val="Normal"/>
    <w:link w:val="CommentTextChar"/>
    <w:uiPriority w:val="99"/>
    <w:unhideWhenUsed/>
    <w:rsid w:val="003A061D"/>
    <w:rPr>
      <w:sz w:val="20"/>
    </w:rPr>
  </w:style>
  <w:style w:type="character" w:customStyle="1" w:styleId="CommentTextChar">
    <w:name w:val="Comment Text Char"/>
    <w:basedOn w:val="DefaultParagraphFont"/>
    <w:link w:val="CommentText"/>
    <w:uiPriority w:val="99"/>
    <w:rsid w:val="003A061D"/>
    <w:rPr>
      <w:rFonts w:ascii="Times New Roman" w:eastAsia="Times New Roman" w:hAnsi="Times New Roman" w:cs="Times New Roman"/>
      <w:kern w:val="0"/>
      <w:sz w:val="20"/>
      <w:szCs w:val="20"/>
      <w:lang w:val="es-ES"/>
      <w14:ligatures w14:val="none"/>
    </w:rPr>
  </w:style>
  <w:style w:type="paragraph" w:styleId="CommentSubject">
    <w:name w:val="annotation subject"/>
    <w:basedOn w:val="CommentText"/>
    <w:next w:val="CommentText"/>
    <w:link w:val="CommentSubjectChar"/>
    <w:uiPriority w:val="99"/>
    <w:semiHidden/>
    <w:unhideWhenUsed/>
    <w:rsid w:val="003A061D"/>
    <w:rPr>
      <w:b/>
      <w:bCs/>
    </w:rPr>
  </w:style>
  <w:style w:type="character" w:customStyle="1" w:styleId="CommentSubjectChar">
    <w:name w:val="Comment Subject Char"/>
    <w:basedOn w:val="CommentTextChar"/>
    <w:link w:val="CommentSubject"/>
    <w:uiPriority w:val="99"/>
    <w:semiHidden/>
    <w:rsid w:val="003A061D"/>
    <w:rPr>
      <w:rFonts w:ascii="Times New Roman" w:eastAsia="Times New Roman" w:hAnsi="Times New Roman" w:cs="Times New Roman"/>
      <w:b/>
      <w:bCs/>
      <w:kern w:val="0"/>
      <w:sz w:val="20"/>
      <w:szCs w:val="20"/>
      <w:lang w:val="es-ES"/>
      <w14:ligatures w14:val="none"/>
    </w:rPr>
  </w:style>
  <w:style w:type="paragraph" w:customStyle="1" w:styleId="footnotedescription">
    <w:name w:val="footnote description"/>
    <w:next w:val="Normal"/>
    <w:link w:val="footnotedescriptionChar"/>
    <w:hidden/>
    <w:rsid w:val="006B5E87"/>
    <w:pPr>
      <w:spacing w:line="216" w:lineRule="auto"/>
      <w:ind w:left="62" w:right="45" w:hanging="6"/>
    </w:pPr>
    <w:rPr>
      <w:rFonts w:ascii="Calibri" w:eastAsia="Calibri" w:hAnsi="Calibri" w:cs="Calibri"/>
      <w:color w:val="000000"/>
      <w:sz w:val="24"/>
      <w:szCs w:val="24"/>
    </w:rPr>
  </w:style>
  <w:style w:type="character" w:customStyle="1" w:styleId="footnotedescriptionChar">
    <w:name w:val="footnote description Char"/>
    <w:link w:val="footnotedescription"/>
    <w:rsid w:val="006B5E87"/>
    <w:rPr>
      <w:rFonts w:ascii="Calibri" w:eastAsia="Calibri" w:hAnsi="Calibri" w:cs="Calibri"/>
      <w:color w:val="000000"/>
      <w:sz w:val="24"/>
      <w:szCs w:val="24"/>
    </w:rPr>
  </w:style>
  <w:style w:type="character" w:customStyle="1" w:styleId="footnotemark">
    <w:name w:val="footnote mark"/>
    <w:hidden/>
    <w:rsid w:val="006B5E87"/>
    <w:rPr>
      <w:rFonts w:ascii="Calibri" w:eastAsia="Calibri" w:hAnsi="Calibri" w:cs="Calibri"/>
      <w:color w:val="000000"/>
      <w:sz w:val="14"/>
      <w:vertAlign w:val="superscript"/>
    </w:rPr>
  </w:style>
  <w:style w:type="numbering" w:customStyle="1" w:styleId="CurrentList1">
    <w:name w:val="Current List1"/>
    <w:uiPriority w:val="99"/>
    <w:rsid w:val="00185B73"/>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924684">
      <w:bodyDiv w:val="1"/>
      <w:marLeft w:val="0"/>
      <w:marRight w:val="0"/>
      <w:marTop w:val="0"/>
      <w:marBottom w:val="0"/>
      <w:divBdr>
        <w:top w:val="none" w:sz="0" w:space="0" w:color="auto"/>
        <w:left w:val="none" w:sz="0" w:space="0" w:color="auto"/>
        <w:bottom w:val="none" w:sz="0" w:space="0" w:color="auto"/>
        <w:right w:val="none" w:sz="0" w:space="0" w:color="auto"/>
      </w:divBdr>
    </w:div>
    <w:div w:id="372730273">
      <w:bodyDiv w:val="1"/>
      <w:marLeft w:val="0"/>
      <w:marRight w:val="0"/>
      <w:marTop w:val="0"/>
      <w:marBottom w:val="0"/>
      <w:divBdr>
        <w:top w:val="none" w:sz="0" w:space="0" w:color="auto"/>
        <w:left w:val="none" w:sz="0" w:space="0" w:color="auto"/>
        <w:bottom w:val="none" w:sz="0" w:space="0" w:color="auto"/>
        <w:right w:val="none" w:sz="0" w:space="0" w:color="auto"/>
      </w:divBdr>
    </w:div>
    <w:div w:id="528639153">
      <w:bodyDiv w:val="1"/>
      <w:marLeft w:val="0"/>
      <w:marRight w:val="0"/>
      <w:marTop w:val="0"/>
      <w:marBottom w:val="0"/>
      <w:divBdr>
        <w:top w:val="none" w:sz="0" w:space="0" w:color="auto"/>
        <w:left w:val="none" w:sz="0" w:space="0" w:color="auto"/>
        <w:bottom w:val="none" w:sz="0" w:space="0" w:color="auto"/>
        <w:right w:val="none" w:sz="0" w:space="0" w:color="auto"/>
      </w:divBdr>
    </w:div>
    <w:div w:id="677586559">
      <w:bodyDiv w:val="1"/>
      <w:marLeft w:val="0"/>
      <w:marRight w:val="0"/>
      <w:marTop w:val="0"/>
      <w:marBottom w:val="0"/>
      <w:divBdr>
        <w:top w:val="none" w:sz="0" w:space="0" w:color="auto"/>
        <w:left w:val="none" w:sz="0" w:space="0" w:color="auto"/>
        <w:bottom w:val="none" w:sz="0" w:space="0" w:color="auto"/>
        <w:right w:val="none" w:sz="0" w:space="0" w:color="auto"/>
      </w:divBdr>
    </w:div>
    <w:div w:id="927275951">
      <w:bodyDiv w:val="1"/>
      <w:marLeft w:val="0"/>
      <w:marRight w:val="0"/>
      <w:marTop w:val="0"/>
      <w:marBottom w:val="0"/>
      <w:divBdr>
        <w:top w:val="none" w:sz="0" w:space="0" w:color="auto"/>
        <w:left w:val="none" w:sz="0" w:space="0" w:color="auto"/>
        <w:bottom w:val="none" w:sz="0" w:space="0" w:color="auto"/>
        <w:right w:val="none" w:sz="0" w:space="0" w:color="auto"/>
      </w:divBdr>
    </w:div>
    <w:div w:id="955991133">
      <w:bodyDiv w:val="1"/>
      <w:marLeft w:val="0"/>
      <w:marRight w:val="0"/>
      <w:marTop w:val="0"/>
      <w:marBottom w:val="0"/>
      <w:divBdr>
        <w:top w:val="none" w:sz="0" w:space="0" w:color="auto"/>
        <w:left w:val="none" w:sz="0" w:space="0" w:color="auto"/>
        <w:bottom w:val="none" w:sz="0" w:space="0" w:color="auto"/>
        <w:right w:val="none" w:sz="0" w:space="0" w:color="auto"/>
      </w:divBdr>
    </w:div>
    <w:div w:id="994575155">
      <w:bodyDiv w:val="1"/>
      <w:marLeft w:val="0"/>
      <w:marRight w:val="0"/>
      <w:marTop w:val="0"/>
      <w:marBottom w:val="0"/>
      <w:divBdr>
        <w:top w:val="none" w:sz="0" w:space="0" w:color="auto"/>
        <w:left w:val="none" w:sz="0" w:space="0" w:color="auto"/>
        <w:bottom w:val="none" w:sz="0" w:space="0" w:color="auto"/>
        <w:right w:val="none" w:sz="0" w:space="0" w:color="auto"/>
      </w:divBdr>
    </w:div>
    <w:div w:id="1016232719">
      <w:bodyDiv w:val="1"/>
      <w:marLeft w:val="0"/>
      <w:marRight w:val="0"/>
      <w:marTop w:val="0"/>
      <w:marBottom w:val="0"/>
      <w:divBdr>
        <w:top w:val="none" w:sz="0" w:space="0" w:color="auto"/>
        <w:left w:val="none" w:sz="0" w:space="0" w:color="auto"/>
        <w:bottom w:val="none" w:sz="0" w:space="0" w:color="auto"/>
        <w:right w:val="none" w:sz="0" w:space="0" w:color="auto"/>
      </w:divBdr>
    </w:div>
    <w:div w:id="1091123350">
      <w:bodyDiv w:val="1"/>
      <w:marLeft w:val="0"/>
      <w:marRight w:val="0"/>
      <w:marTop w:val="0"/>
      <w:marBottom w:val="0"/>
      <w:divBdr>
        <w:top w:val="none" w:sz="0" w:space="0" w:color="auto"/>
        <w:left w:val="none" w:sz="0" w:space="0" w:color="auto"/>
        <w:bottom w:val="none" w:sz="0" w:space="0" w:color="auto"/>
        <w:right w:val="none" w:sz="0" w:space="0" w:color="auto"/>
      </w:divBdr>
    </w:div>
    <w:div w:id="1124617661">
      <w:bodyDiv w:val="1"/>
      <w:marLeft w:val="0"/>
      <w:marRight w:val="0"/>
      <w:marTop w:val="0"/>
      <w:marBottom w:val="0"/>
      <w:divBdr>
        <w:top w:val="none" w:sz="0" w:space="0" w:color="auto"/>
        <w:left w:val="none" w:sz="0" w:space="0" w:color="auto"/>
        <w:bottom w:val="none" w:sz="0" w:space="0" w:color="auto"/>
        <w:right w:val="none" w:sz="0" w:space="0" w:color="auto"/>
      </w:divBdr>
    </w:div>
    <w:div w:id="1404840581">
      <w:bodyDiv w:val="1"/>
      <w:marLeft w:val="0"/>
      <w:marRight w:val="0"/>
      <w:marTop w:val="0"/>
      <w:marBottom w:val="0"/>
      <w:divBdr>
        <w:top w:val="none" w:sz="0" w:space="0" w:color="auto"/>
        <w:left w:val="none" w:sz="0" w:space="0" w:color="auto"/>
        <w:bottom w:val="none" w:sz="0" w:space="0" w:color="auto"/>
        <w:right w:val="none" w:sz="0" w:space="0" w:color="auto"/>
      </w:divBdr>
    </w:div>
    <w:div w:id="1610812388">
      <w:bodyDiv w:val="1"/>
      <w:marLeft w:val="0"/>
      <w:marRight w:val="0"/>
      <w:marTop w:val="0"/>
      <w:marBottom w:val="0"/>
      <w:divBdr>
        <w:top w:val="none" w:sz="0" w:space="0" w:color="auto"/>
        <w:left w:val="none" w:sz="0" w:space="0" w:color="auto"/>
        <w:bottom w:val="none" w:sz="0" w:space="0" w:color="auto"/>
        <w:right w:val="none" w:sz="0" w:space="0" w:color="auto"/>
      </w:divBdr>
    </w:div>
    <w:div w:id="18438103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6" ma:contentTypeDescription="Create a new document." ma:contentTypeScope="" ma:versionID="808425edd055231915859d82ec6cfe30">
  <xsd:schema xmlns:xsd="http://www.w3.org/2001/XMLSchema" xmlns:xs="http://www.w3.org/2001/XMLSchema" xmlns:p="http://schemas.microsoft.com/office/2006/metadata/properties" xmlns:ns3="92f57704-3039-4ebf-ac81-f8b12810bd0e" targetNamespace="http://schemas.microsoft.com/office/2006/metadata/properties" ma:root="true" ma:fieldsID="715f930afe9848a4654b61b5f87f18e7" ns3:_="">
    <xsd:import namespace="92f57704-3039-4ebf-ac81-f8b12810bd0e"/>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Props1.xml><?xml version="1.0" encoding="utf-8"?>
<ds:datastoreItem xmlns:ds="http://schemas.openxmlformats.org/officeDocument/2006/customXml" ds:itemID="{AA063523-0333-437D-9D3A-1C3ACBE22B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EEEAD4-31F3-4B56-B400-A2184855A1CB}">
  <ds:schemaRefs>
    <ds:schemaRef ds:uri="http://schemas.openxmlformats.org/officeDocument/2006/bibliography"/>
  </ds:schemaRefs>
</ds:datastoreItem>
</file>

<file path=customXml/itemProps3.xml><?xml version="1.0" encoding="utf-8"?>
<ds:datastoreItem xmlns:ds="http://schemas.openxmlformats.org/officeDocument/2006/customXml" ds:itemID="{47186E71-7D28-4B71-B119-BD0F13D787BB}">
  <ds:schemaRefs>
    <ds:schemaRef ds:uri="http://schemas.microsoft.com/sharepoint/v3/contenttype/forms"/>
  </ds:schemaRefs>
</ds:datastoreItem>
</file>

<file path=customXml/itemProps4.xml><?xml version="1.0" encoding="utf-8"?>
<ds:datastoreItem xmlns:ds="http://schemas.openxmlformats.org/officeDocument/2006/customXml" ds:itemID="{DA3D4A00-9E21-4FA1-AC69-5B94673AB593}">
  <ds:schemaRefs>
    <ds:schemaRef ds:uri="http://schemas.microsoft.com/office/2006/metadata/properties"/>
    <ds:schemaRef ds:uri="http://schemas.microsoft.com/office/infopath/2007/PartnerControls"/>
    <ds:schemaRef ds:uri="92f57704-3039-4ebf-ac81-f8b12810bd0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1829</Words>
  <Characters>10428</Characters>
  <Application>Microsoft Office Word</Application>
  <DocSecurity>4</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12233</CharactersWithSpaces>
  <SharedDoc>false</SharedDoc>
  <HLinks>
    <vt:vector size="18" baseType="variant">
      <vt:variant>
        <vt:i4>1245184</vt:i4>
      </vt:variant>
      <vt:variant>
        <vt:i4>6</vt:i4>
      </vt:variant>
      <vt:variant>
        <vt:i4>0</vt:i4>
      </vt:variant>
      <vt:variant>
        <vt:i4>5</vt:i4>
      </vt:variant>
      <vt:variant>
        <vt:lpwstr>https://www.elnuevodia.com/topicos/ases/</vt:lpwstr>
      </vt:variant>
      <vt:variant>
        <vt:lpwstr/>
      </vt:variant>
      <vt:variant>
        <vt:i4>1245184</vt:i4>
      </vt:variant>
      <vt:variant>
        <vt:i4>3</vt:i4>
      </vt:variant>
      <vt:variant>
        <vt:i4>0</vt:i4>
      </vt:variant>
      <vt:variant>
        <vt:i4>5</vt:i4>
      </vt:variant>
      <vt:variant>
        <vt:lpwstr>https://www.elnuevodia.com/topicos/ases/</vt:lpwstr>
      </vt:variant>
      <vt:variant>
        <vt:lpwstr/>
      </vt:variant>
      <vt:variant>
        <vt:i4>1835012</vt:i4>
      </vt:variant>
      <vt:variant>
        <vt:i4>0</vt:i4>
      </vt:variant>
      <vt:variant>
        <vt:i4>0</vt:i4>
      </vt:variant>
      <vt:variant>
        <vt:i4>5</vt:i4>
      </vt:variant>
      <vt:variant>
        <vt:lpwstr>https://www.elnuevodia.com/topicos/dtop/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R. Negrón Alicea</dc:creator>
  <cp:keywords/>
  <dc:description/>
  <cp:lastModifiedBy>Camyl Moreno Pantojas</cp:lastModifiedBy>
  <cp:revision>2</cp:revision>
  <cp:lastPrinted>2026-06-22T20:36:00Z</cp:lastPrinted>
  <dcterms:created xsi:type="dcterms:W3CDTF">2026-06-23T18:31:00Z</dcterms:created>
  <dcterms:modified xsi:type="dcterms:W3CDTF">2026-06-23T18:31:00Z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