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5A4E" w14:textId="77777777" w:rsidR="006602BE" w:rsidRPr="00E26C0C" w:rsidRDefault="006602BE" w:rsidP="00D3363F">
      <w:pPr>
        <w:suppressLineNumbers/>
        <w:jc w:val="center"/>
        <w:rPr>
          <w:rFonts w:ascii="Book Antiqua" w:hAnsi="Book Antiqua"/>
          <w:lang w:val="es-ES_tradnl"/>
        </w:rPr>
      </w:pPr>
      <w:r>
        <w:rPr>
          <w:rFonts w:ascii="Book Antiqua" w:hAnsi="Book Antiqua"/>
          <w:sz w:val="28"/>
          <w:szCs w:val="28"/>
          <w:lang w:val="es-ES_tradnl"/>
        </w:rPr>
        <w:t>GOBIERNO</w:t>
      </w:r>
      <w:r w:rsidRPr="00E26C0C">
        <w:rPr>
          <w:rFonts w:ascii="Book Antiqua" w:hAnsi="Book Antiqua"/>
          <w:sz w:val="28"/>
          <w:szCs w:val="28"/>
          <w:lang w:val="es-ES_tradnl"/>
        </w:rPr>
        <w:t xml:space="preserve"> DE PUERTO RICO</w:t>
      </w:r>
    </w:p>
    <w:p w14:paraId="43E93641" w14:textId="77777777" w:rsidR="006602BE" w:rsidRPr="00E26C0C" w:rsidRDefault="006602BE" w:rsidP="00D3363F">
      <w:pPr>
        <w:suppressLineNumbers/>
        <w:jc w:val="center"/>
        <w:rPr>
          <w:rFonts w:ascii="Book Antiqua" w:hAnsi="Book Antiqua"/>
          <w:lang w:val="es-ES_tradnl"/>
        </w:rPr>
      </w:pPr>
    </w:p>
    <w:p w14:paraId="64D3463C" w14:textId="77777777" w:rsidR="006602BE" w:rsidRPr="00EE67A6" w:rsidRDefault="006602BE" w:rsidP="00D3363F">
      <w:pPr>
        <w:pStyle w:val="Title2"/>
        <w:suppressLineNumbers/>
        <w:tabs>
          <w:tab w:val="clear" w:pos="648"/>
          <w:tab w:val="clear" w:pos="7776"/>
          <w:tab w:val="clear" w:pos="7848"/>
        </w:tabs>
        <w:rPr>
          <w:rFonts w:ascii="Book Antiqua" w:hAnsi="Book Antiqua"/>
          <w:szCs w:val="24"/>
          <w:lang w:val="es-PR"/>
        </w:rPr>
      </w:pPr>
      <w:r w:rsidRPr="00EE67A6">
        <w:rPr>
          <w:rFonts w:ascii="Book Antiqua" w:hAnsi="Book Antiqua"/>
          <w:szCs w:val="24"/>
          <w:lang w:val="es-PR"/>
        </w:rPr>
        <w:t>20ma.</w:t>
      </w:r>
      <w:r w:rsidRPr="00EE67A6">
        <w:rPr>
          <w:rFonts w:ascii="Book Antiqua" w:hAnsi="Book Antiqua"/>
          <w:szCs w:val="24"/>
          <w:lang w:val="es-PR"/>
        </w:rPr>
        <w:tab/>
        <w:t>Asamblea</w:t>
      </w:r>
      <w:r w:rsidRPr="00EE67A6">
        <w:rPr>
          <w:rFonts w:ascii="Book Antiqua" w:hAnsi="Book Antiqua"/>
          <w:szCs w:val="24"/>
          <w:lang w:val="es-PR"/>
        </w:rPr>
        <w:tab/>
        <w:t xml:space="preserve">                                                                                               3ra. Sesión</w:t>
      </w:r>
    </w:p>
    <w:p w14:paraId="183A57D9" w14:textId="77777777" w:rsidR="006602BE" w:rsidRPr="00EE67A6" w:rsidRDefault="006602BE" w:rsidP="00D3363F">
      <w:pPr>
        <w:pStyle w:val="Title2"/>
        <w:suppressLineNumbers/>
        <w:tabs>
          <w:tab w:val="clear" w:pos="648"/>
          <w:tab w:val="clear" w:pos="7776"/>
          <w:tab w:val="clear" w:pos="7848"/>
        </w:tabs>
        <w:rPr>
          <w:rFonts w:ascii="Book Antiqua" w:hAnsi="Book Antiqua"/>
          <w:szCs w:val="24"/>
          <w:lang w:val="es-PR"/>
        </w:rPr>
      </w:pPr>
      <w:r w:rsidRPr="00EE67A6">
        <w:rPr>
          <w:rFonts w:ascii="Book Antiqua" w:hAnsi="Book Antiqua"/>
          <w:szCs w:val="24"/>
          <w:lang w:val="es-PR"/>
        </w:rPr>
        <w:tab/>
        <w:t>Legislativa</w:t>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t xml:space="preserve">      Ordinaria</w:t>
      </w:r>
    </w:p>
    <w:p w14:paraId="1148D077" w14:textId="77777777" w:rsidR="006602BE" w:rsidRPr="00EE67A6" w:rsidRDefault="006602BE" w:rsidP="00D3363F">
      <w:pPr>
        <w:suppressLineNumbers/>
        <w:jc w:val="center"/>
        <w:rPr>
          <w:rFonts w:ascii="Book Antiqua" w:hAnsi="Book Antiqua"/>
          <w:lang w:val="es-PR"/>
        </w:rPr>
      </w:pPr>
    </w:p>
    <w:p w14:paraId="31721449" w14:textId="77777777" w:rsidR="006602BE" w:rsidRPr="00E26C0C" w:rsidRDefault="006602BE" w:rsidP="00D3363F">
      <w:pPr>
        <w:suppressLineNumbers/>
        <w:jc w:val="center"/>
        <w:rPr>
          <w:rFonts w:ascii="Book Antiqua" w:hAnsi="Book Antiqua"/>
          <w:b/>
          <w:sz w:val="36"/>
          <w:lang w:val="es-ES_tradnl"/>
        </w:rPr>
      </w:pPr>
      <w:r w:rsidRPr="00E26C0C">
        <w:rPr>
          <w:rFonts w:ascii="Book Antiqua" w:hAnsi="Book Antiqua"/>
          <w:b/>
          <w:sz w:val="36"/>
          <w:lang w:val="es-ES_tradnl"/>
        </w:rPr>
        <w:t>CÁMARA DE REPRESENTANTES</w:t>
      </w:r>
    </w:p>
    <w:p w14:paraId="0081110F" w14:textId="77777777" w:rsidR="006602BE" w:rsidRPr="00E26C0C" w:rsidRDefault="006602BE" w:rsidP="00D3363F">
      <w:pPr>
        <w:suppressLineNumbers/>
        <w:jc w:val="center"/>
        <w:rPr>
          <w:rFonts w:ascii="Book Antiqua" w:hAnsi="Book Antiqua"/>
          <w:lang w:val="es-ES_tradnl"/>
        </w:rPr>
      </w:pPr>
    </w:p>
    <w:p w14:paraId="72782C6F" w14:textId="1FD61AF4" w:rsidR="006602BE" w:rsidRPr="00E26C0C" w:rsidRDefault="006602BE" w:rsidP="00D3363F">
      <w:pPr>
        <w:suppressLineNumbers/>
        <w:jc w:val="center"/>
        <w:rPr>
          <w:rFonts w:ascii="Book Antiqua" w:hAnsi="Book Antiqua"/>
          <w:b/>
          <w:sz w:val="52"/>
          <w:lang w:val="es-ES_tradnl"/>
        </w:rPr>
      </w:pPr>
      <w:r w:rsidRPr="00E26C0C">
        <w:rPr>
          <w:rFonts w:ascii="Book Antiqua" w:hAnsi="Book Antiqua"/>
          <w:b/>
          <w:sz w:val="52"/>
          <w:lang w:val="es-ES_tradnl"/>
        </w:rPr>
        <w:t xml:space="preserve">P. </w:t>
      </w:r>
      <w:bookmarkStart w:id="0" w:name="_Hlk138151090"/>
      <w:r w:rsidRPr="00E26C0C">
        <w:rPr>
          <w:rFonts w:ascii="Book Antiqua" w:hAnsi="Book Antiqua"/>
          <w:b/>
          <w:sz w:val="52"/>
          <w:lang w:val="es-ES_tradnl"/>
        </w:rPr>
        <w:t>de la C.</w:t>
      </w:r>
      <w:bookmarkEnd w:id="0"/>
      <w:r w:rsidRPr="00E26C0C">
        <w:rPr>
          <w:rFonts w:ascii="Book Antiqua" w:hAnsi="Book Antiqua"/>
          <w:b/>
          <w:sz w:val="52"/>
          <w:lang w:val="es-ES_tradnl"/>
        </w:rPr>
        <w:t xml:space="preserve"> </w:t>
      </w:r>
      <w:r w:rsidR="00992145">
        <w:rPr>
          <w:rFonts w:ascii="Book Antiqua" w:hAnsi="Book Antiqua"/>
          <w:b/>
          <w:sz w:val="52"/>
          <w:lang w:val="es-ES_tradnl"/>
        </w:rPr>
        <w:t>1312</w:t>
      </w:r>
    </w:p>
    <w:p w14:paraId="074DA32D" w14:textId="77777777" w:rsidR="006602BE" w:rsidRPr="00E26C0C" w:rsidRDefault="006602BE" w:rsidP="00D3363F">
      <w:pPr>
        <w:suppressLineNumbers/>
        <w:jc w:val="center"/>
        <w:rPr>
          <w:rFonts w:ascii="Book Antiqua" w:hAnsi="Book Antiqua"/>
          <w:lang w:val="es-ES_tradnl"/>
        </w:rPr>
      </w:pPr>
    </w:p>
    <w:p w14:paraId="4879B629" w14:textId="0249BE30" w:rsidR="006602BE" w:rsidRPr="00E26C0C" w:rsidRDefault="006602BE" w:rsidP="00D3363F">
      <w:pPr>
        <w:suppressLineNumbers/>
        <w:jc w:val="center"/>
        <w:rPr>
          <w:rFonts w:ascii="Book Antiqua" w:hAnsi="Book Antiqua"/>
          <w:lang w:val="es-ES_tradnl"/>
        </w:rPr>
      </w:pPr>
      <w:r>
        <w:rPr>
          <w:rFonts w:ascii="Book Antiqua" w:hAnsi="Book Antiqua"/>
          <w:lang w:val="es-ES_tradnl"/>
        </w:rPr>
        <w:t>11</w:t>
      </w:r>
      <w:r w:rsidRPr="00E26C0C">
        <w:rPr>
          <w:rFonts w:ascii="Book Antiqua" w:hAnsi="Book Antiqua"/>
          <w:lang w:val="es-ES_tradnl"/>
        </w:rPr>
        <w:t xml:space="preserve"> </w:t>
      </w:r>
      <w:r>
        <w:rPr>
          <w:rFonts w:ascii="Book Antiqua" w:hAnsi="Book Antiqua"/>
          <w:lang w:val="es-ES_tradnl"/>
        </w:rPr>
        <w:t>de junio de</w:t>
      </w:r>
      <w:r w:rsidRPr="00E26C0C">
        <w:rPr>
          <w:rFonts w:ascii="Book Antiqua" w:hAnsi="Book Antiqua"/>
          <w:lang w:val="es-ES_tradnl"/>
        </w:rPr>
        <w:t xml:space="preserve"> 202</w:t>
      </w:r>
      <w:r>
        <w:rPr>
          <w:rFonts w:ascii="Book Antiqua" w:hAnsi="Book Antiqua"/>
          <w:lang w:val="es-ES_tradnl"/>
        </w:rPr>
        <w:t>6</w:t>
      </w:r>
    </w:p>
    <w:p w14:paraId="747EB864" w14:textId="77777777" w:rsidR="00AB78DB" w:rsidRPr="00992145" w:rsidRDefault="00AB78DB" w:rsidP="00D3363F">
      <w:pPr>
        <w:suppressLineNumbers/>
        <w:jc w:val="center"/>
        <w:rPr>
          <w:lang w:val="es-ES"/>
        </w:rPr>
      </w:pPr>
    </w:p>
    <w:p w14:paraId="6323538D" w14:textId="5804C2CA" w:rsidR="006602BE" w:rsidRDefault="006602BE" w:rsidP="00D3363F">
      <w:pPr>
        <w:suppressLineNumbers/>
        <w:jc w:val="center"/>
        <w:rPr>
          <w:rFonts w:ascii="Book Antiqua" w:hAnsi="Book Antiqua"/>
          <w:i/>
          <w:iCs/>
          <w:lang w:val="es-ES_tradnl"/>
        </w:rPr>
      </w:pPr>
      <w:r w:rsidRPr="00E26C0C">
        <w:rPr>
          <w:rFonts w:ascii="Book Antiqua" w:hAnsi="Book Antiqua"/>
          <w:lang w:val="es-ES_tradnl"/>
        </w:rPr>
        <w:t xml:space="preserve">Presentado por </w:t>
      </w:r>
      <w:r w:rsidR="00C33C6F">
        <w:rPr>
          <w:rFonts w:ascii="Book Antiqua" w:hAnsi="Book Antiqua"/>
          <w:lang w:val="es-ES_tradnl"/>
        </w:rPr>
        <w:t xml:space="preserve">los </w:t>
      </w:r>
      <w:r w:rsidR="00C33C6F" w:rsidRPr="00E26C0C">
        <w:rPr>
          <w:rFonts w:ascii="Book Antiqua" w:hAnsi="Book Antiqua"/>
          <w:lang w:val="es-ES_tradnl"/>
        </w:rPr>
        <w:t>representantes</w:t>
      </w:r>
      <w:r>
        <w:rPr>
          <w:rFonts w:ascii="Book Antiqua" w:hAnsi="Book Antiqua"/>
          <w:lang w:val="es-ES_tradnl"/>
        </w:rPr>
        <w:t xml:space="preserve"> </w:t>
      </w:r>
      <w:r w:rsidRPr="006602BE">
        <w:rPr>
          <w:rFonts w:ascii="Book Antiqua" w:hAnsi="Book Antiqua"/>
          <w:i/>
          <w:iCs/>
          <w:lang w:val="es-ES_tradnl"/>
        </w:rPr>
        <w:t>Torres García</w:t>
      </w:r>
      <w:r w:rsidR="00C33C6F">
        <w:rPr>
          <w:rFonts w:ascii="Book Antiqua" w:hAnsi="Book Antiqua"/>
          <w:i/>
          <w:iCs/>
          <w:lang w:val="es-ES_tradnl"/>
        </w:rPr>
        <w:t xml:space="preserve"> y Ferrer Santiago</w:t>
      </w:r>
    </w:p>
    <w:p w14:paraId="0671D587" w14:textId="77777777" w:rsidR="006602BE" w:rsidRDefault="006602BE" w:rsidP="00D3363F">
      <w:pPr>
        <w:suppressLineNumbers/>
        <w:jc w:val="center"/>
        <w:rPr>
          <w:rFonts w:ascii="Book Antiqua" w:hAnsi="Book Antiqua"/>
          <w:i/>
          <w:iCs/>
          <w:lang w:val="es-ES_tradnl"/>
        </w:rPr>
      </w:pPr>
    </w:p>
    <w:p w14:paraId="601D5B31" w14:textId="450F1398" w:rsidR="006602BE" w:rsidRDefault="006602BE" w:rsidP="00D3363F">
      <w:pPr>
        <w:suppressLineNumbers/>
        <w:jc w:val="center"/>
        <w:rPr>
          <w:rFonts w:ascii="Book Antiqua" w:hAnsi="Book Antiqua"/>
          <w:lang w:val="es-ES_tradnl"/>
        </w:rPr>
      </w:pPr>
      <w:r>
        <w:rPr>
          <w:rFonts w:ascii="Book Antiqua" w:hAnsi="Book Antiqua"/>
          <w:lang w:val="es-ES_tradnl"/>
        </w:rPr>
        <w:t xml:space="preserve">Referido a </w:t>
      </w:r>
      <w:r w:rsidR="005E5548">
        <w:rPr>
          <w:rFonts w:ascii="Book Antiqua" w:hAnsi="Book Antiqua"/>
          <w:lang w:val="es-ES_tradnl"/>
        </w:rPr>
        <w:t>la Comisión de Hacienda</w:t>
      </w:r>
    </w:p>
    <w:p w14:paraId="07D25D2D" w14:textId="77777777" w:rsidR="006602BE" w:rsidRDefault="006602BE" w:rsidP="00D3363F">
      <w:pPr>
        <w:suppressLineNumbers/>
        <w:ind w:left="1440" w:firstLine="720"/>
        <w:jc w:val="center"/>
        <w:rPr>
          <w:rFonts w:ascii="Book Antiqua" w:hAnsi="Book Antiqua"/>
          <w:lang w:val="es-ES_tradnl"/>
        </w:rPr>
      </w:pPr>
    </w:p>
    <w:p w14:paraId="2C93E2C5" w14:textId="789139B3" w:rsidR="006602BE" w:rsidRPr="005E5548" w:rsidRDefault="006602BE" w:rsidP="00D3363F">
      <w:pPr>
        <w:suppressLineNumbers/>
        <w:jc w:val="center"/>
        <w:rPr>
          <w:rFonts w:ascii="Book Antiqua" w:hAnsi="Book Antiqua"/>
          <w:b/>
          <w:bCs/>
          <w:sz w:val="28"/>
          <w:szCs w:val="28"/>
          <w:lang w:val="es-ES_tradnl"/>
        </w:rPr>
      </w:pPr>
      <w:r w:rsidRPr="005E5548">
        <w:rPr>
          <w:rFonts w:ascii="Book Antiqua" w:hAnsi="Book Antiqua"/>
          <w:b/>
          <w:bCs/>
          <w:sz w:val="28"/>
          <w:szCs w:val="28"/>
          <w:lang w:val="es-ES_tradnl"/>
        </w:rPr>
        <w:t xml:space="preserve">LEY </w:t>
      </w:r>
    </w:p>
    <w:p w14:paraId="4A394E56" w14:textId="77777777" w:rsidR="006602BE" w:rsidRDefault="006602BE" w:rsidP="00D3363F">
      <w:pPr>
        <w:suppressLineNumbers/>
        <w:ind w:left="1440" w:firstLine="720"/>
        <w:jc w:val="both"/>
        <w:rPr>
          <w:rFonts w:ascii="Book Antiqua" w:hAnsi="Book Antiqua"/>
          <w:lang w:val="es-ES_tradnl"/>
        </w:rPr>
      </w:pPr>
    </w:p>
    <w:p w14:paraId="0BF22AFA" w14:textId="005AE1A7" w:rsidR="006602BE" w:rsidRDefault="006602BE" w:rsidP="00D3363F">
      <w:pPr>
        <w:suppressLineNumbers/>
        <w:ind w:left="630" w:hanging="630"/>
        <w:jc w:val="both"/>
        <w:rPr>
          <w:rFonts w:ascii="Book Antiqua" w:hAnsi="Book Antiqua"/>
          <w:lang w:val="es-ES_tradnl"/>
        </w:rPr>
      </w:pPr>
      <w:r>
        <w:rPr>
          <w:rFonts w:ascii="Book Antiqua" w:hAnsi="Book Antiqua"/>
          <w:lang w:val="es-ES_tradnl"/>
        </w:rPr>
        <w:t xml:space="preserve">Para añadir una nueva sección </w:t>
      </w:r>
      <w:r w:rsidR="00550C42">
        <w:rPr>
          <w:rFonts w:ascii="Book Antiqua" w:hAnsi="Book Antiqua"/>
          <w:lang w:val="es-ES_tradnl"/>
        </w:rPr>
        <w:t xml:space="preserve">4030.29 </w:t>
      </w:r>
      <w:r>
        <w:rPr>
          <w:rFonts w:ascii="Book Antiqua" w:hAnsi="Book Antiqua"/>
          <w:lang w:val="es-ES_tradnl"/>
        </w:rPr>
        <w:t>a</w:t>
      </w:r>
      <w:r w:rsidR="00550C42">
        <w:rPr>
          <w:rFonts w:ascii="Book Antiqua" w:hAnsi="Book Antiqua"/>
          <w:lang w:val="es-ES_tradnl"/>
        </w:rPr>
        <w:t xml:space="preserve"> la Ley 1-2011, según enmendada, conocida como “Código de Rentas Internas de Puerto Rico”, </w:t>
      </w:r>
      <w:r>
        <w:rPr>
          <w:rFonts w:ascii="Book Antiqua" w:hAnsi="Book Antiqua"/>
          <w:lang w:val="es-ES_tradnl"/>
        </w:rPr>
        <w:t xml:space="preserve">a los fines de disponer que en declaraciones de emergencia decretadas por el Gobernador o Gobernadora </w:t>
      </w:r>
      <w:r w:rsidR="001563FF">
        <w:rPr>
          <w:rFonts w:ascii="Book Antiqua" w:hAnsi="Book Antiqua"/>
          <w:lang w:val="es-ES_tradnl"/>
        </w:rPr>
        <w:t>de Puerto</w:t>
      </w:r>
      <w:r>
        <w:rPr>
          <w:rFonts w:ascii="Book Antiqua" w:hAnsi="Book Antiqua"/>
          <w:lang w:val="es-ES_tradnl"/>
        </w:rPr>
        <w:t xml:space="preserve"> Rico se podrá suspender el Impuesto sobre Ventas y Uso por el término que se disponga mediante Orden Ejecutiva</w:t>
      </w:r>
      <w:r w:rsidR="00550C42">
        <w:rPr>
          <w:rFonts w:ascii="Book Antiqua" w:hAnsi="Book Antiqua"/>
          <w:lang w:val="es-ES_tradnl"/>
        </w:rPr>
        <w:t>;</w:t>
      </w:r>
      <w:r>
        <w:rPr>
          <w:rFonts w:ascii="Book Antiqua" w:hAnsi="Book Antiqua"/>
          <w:lang w:val="es-ES_tradnl"/>
        </w:rPr>
        <w:t xml:space="preserve"> y para otros fines relacionados. </w:t>
      </w:r>
    </w:p>
    <w:p w14:paraId="42E564B7" w14:textId="77777777" w:rsidR="006602BE" w:rsidRPr="00550C42" w:rsidRDefault="006602BE" w:rsidP="00D3363F">
      <w:pPr>
        <w:suppressLineNumbers/>
        <w:ind w:left="630" w:hanging="630"/>
        <w:jc w:val="both"/>
        <w:rPr>
          <w:rFonts w:ascii="Book Antiqua" w:hAnsi="Book Antiqua"/>
          <w:b/>
          <w:bCs/>
          <w:lang w:val="es-ES_tradnl"/>
        </w:rPr>
      </w:pPr>
    </w:p>
    <w:p w14:paraId="7675EFFB" w14:textId="5ABD520D" w:rsidR="006602BE" w:rsidRPr="005E5548" w:rsidRDefault="006602BE" w:rsidP="00D3363F">
      <w:pPr>
        <w:suppressLineNumbers/>
        <w:jc w:val="center"/>
        <w:rPr>
          <w:rFonts w:ascii="Book Antiqua" w:hAnsi="Book Antiqua"/>
          <w:lang w:val="es-ES_tradnl"/>
        </w:rPr>
      </w:pPr>
      <w:r w:rsidRPr="005E5548">
        <w:rPr>
          <w:rFonts w:ascii="Book Antiqua" w:hAnsi="Book Antiqua"/>
          <w:lang w:val="es-ES_tradnl"/>
        </w:rPr>
        <w:t>EXPOSICIÓN DE MOTIVOS</w:t>
      </w:r>
    </w:p>
    <w:p w14:paraId="54B4BB94" w14:textId="77777777" w:rsidR="001563FF" w:rsidRPr="001563FF" w:rsidRDefault="001563FF" w:rsidP="00D3363F">
      <w:pPr>
        <w:suppressLineNumbers/>
        <w:jc w:val="center"/>
        <w:rPr>
          <w:rFonts w:ascii="Book Antiqua" w:hAnsi="Book Antiqua"/>
          <w:b/>
          <w:bCs/>
          <w:lang w:val="es-ES_tradnl"/>
        </w:rPr>
      </w:pPr>
    </w:p>
    <w:p w14:paraId="50D5FA74" w14:textId="5F82AB8C" w:rsidR="00540FAD" w:rsidRDefault="001563FF" w:rsidP="00D3363F">
      <w:pPr>
        <w:suppressLineNumbers/>
        <w:shd w:val="clear" w:color="auto" w:fill="FFFFFF"/>
        <w:spacing w:after="100" w:afterAutospacing="1"/>
        <w:jc w:val="both"/>
        <w:rPr>
          <w:rFonts w:ascii="Book Antiqua" w:hAnsi="Book Antiqua"/>
          <w:iCs/>
          <w:lang w:val="es-ES_tradnl"/>
        </w:rPr>
      </w:pPr>
      <w:r w:rsidRPr="001563FF">
        <w:rPr>
          <w:rFonts w:ascii="Book Antiqua" w:hAnsi="Book Antiqua"/>
          <w:iCs/>
          <w:lang w:val="es-ES_tradnl"/>
        </w:rPr>
        <w:tab/>
        <w:t xml:space="preserve">En Puerto Rico </w:t>
      </w:r>
      <w:r>
        <w:rPr>
          <w:rFonts w:ascii="Book Antiqua" w:hAnsi="Book Antiqua"/>
          <w:iCs/>
          <w:lang w:val="es-ES_tradnl"/>
        </w:rPr>
        <w:t xml:space="preserve">se enfrenta una dura realidad social y económica que se agrava ante circunstancias imprevistas y de emergencias. Al tener la condición de Isla, dependemos de la importación de productos que ante efectos globales impactan sustancialmente el bolsillo de los puertorriqueños y puertorriqueñas. Como es conocido, Puerto Rico tiene uno de los impuestos al consumo más altos de la jurisdicción americana que limitan el poder adquisitivo. Actualmente, el Impuesto sobre Ventas y Uso (IVU) es de 11.5%, lo que encarece y limita las posibilidades de adquirir productos. </w:t>
      </w:r>
    </w:p>
    <w:p w14:paraId="071CE791" w14:textId="49EC5878" w:rsidR="001563FF" w:rsidRDefault="001563FF" w:rsidP="00D3363F">
      <w:pPr>
        <w:suppressLineNumbers/>
        <w:shd w:val="clear" w:color="auto" w:fill="FFFFFF"/>
        <w:spacing w:after="100" w:afterAutospacing="1"/>
        <w:jc w:val="both"/>
        <w:rPr>
          <w:rFonts w:ascii="Book Antiqua" w:hAnsi="Book Antiqua"/>
          <w:iCs/>
          <w:lang w:val="es-ES_tradnl"/>
        </w:rPr>
      </w:pPr>
      <w:r>
        <w:rPr>
          <w:rFonts w:ascii="Book Antiqua" w:hAnsi="Book Antiqua"/>
          <w:iCs/>
          <w:lang w:val="es-ES_tradnl"/>
        </w:rPr>
        <w:tab/>
        <w:t xml:space="preserve">Como si fuera poco, Puerto Rico enfrenta múltiples emergencias constantemente, ya bien sea por falta de acceso a agua potable, falta de generación eléctrica, altos costos de combustible, huracanes y entre otros factores. Lamentablemente, Puerto Rico no cuenta con suficientes herramientas para combatir los costos inflacionarios, los efectos de las guerras, el paso de huracanes y otras emergencias que ponen de manifiesto las vulnerabilidades que enfrentamos. </w:t>
      </w:r>
    </w:p>
    <w:p w14:paraId="75236F77" w14:textId="6B781EC4" w:rsidR="00805963" w:rsidRDefault="001563FF" w:rsidP="00D3363F">
      <w:pPr>
        <w:suppressLineNumbers/>
        <w:shd w:val="clear" w:color="auto" w:fill="FFFFFF"/>
        <w:spacing w:after="100" w:afterAutospacing="1"/>
        <w:jc w:val="both"/>
        <w:rPr>
          <w:rFonts w:ascii="Book Antiqua" w:hAnsi="Book Antiqua"/>
          <w:iCs/>
          <w:lang w:val="es-ES_tradnl"/>
        </w:rPr>
      </w:pPr>
      <w:r>
        <w:rPr>
          <w:rFonts w:ascii="Book Antiqua" w:hAnsi="Book Antiqua"/>
          <w:iCs/>
          <w:lang w:val="es-ES_tradnl"/>
        </w:rPr>
        <w:lastRenderedPageBreak/>
        <w:tab/>
        <w:t xml:space="preserve">Ante lo anterior, resulta necesario pensar en medidas que permitan agilidad en el Gobierno para que en momentos imprevisibles y de emergencias se puedan llevar a cabo alivios que permitan disminuir la carga de quienes necesitan bienes para salir a sostener sus empresas, y sostener a sus familias. </w:t>
      </w:r>
      <w:r w:rsidR="00805963">
        <w:rPr>
          <w:rFonts w:ascii="Book Antiqua" w:hAnsi="Book Antiqua"/>
          <w:iCs/>
          <w:lang w:val="es-ES_tradnl"/>
        </w:rPr>
        <w:t xml:space="preserve">Por lo anterior, esta Asamblea Legislativa entiende la necesidad de conferirle al Primer Ejecutivo del país una medida ágil y diligente que le permita aliviar la carga en momentos de emergencia. </w:t>
      </w:r>
    </w:p>
    <w:p w14:paraId="48D4BFE4" w14:textId="6AC8B612" w:rsidR="00540FAD" w:rsidRPr="00095186" w:rsidRDefault="00805963" w:rsidP="00D3363F">
      <w:pPr>
        <w:suppressLineNumbers/>
        <w:shd w:val="clear" w:color="auto" w:fill="FFFFFF"/>
        <w:spacing w:after="100" w:afterAutospacing="1"/>
        <w:jc w:val="both"/>
        <w:rPr>
          <w:rFonts w:ascii="Book Antiqua" w:hAnsi="Book Antiqua"/>
          <w:iCs/>
          <w:lang w:val="es-ES_tradnl"/>
        </w:rPr>
      </w:pPr>
      <w:r>
        <w:rPr>
          <w:rFonts w:ascii="Book Antiqua" w:hAnsi="Book Antiqua"/>
          <w:iCs/>
          <w:lang w:val="es-ES_tradnl"/>
        </w:rPr>
        <w:tab/>
        <w:t xml:space="preserve">Por lo anterior, esta Ley tiene el propósito de </w:t>
      </w:r>
      <w:r w:rsidR="00095186">
        <w:rPr>
          <w:rFonts w:ascii="Book Antiqua" w:hAnsi="Book Antiqua"/>
          <w:iCs/>
          <w:lang w:val="es-ES_tradnl"/>
        </w:rPr>
        <w:t>añadir una nueva sección</w:t>
      </w:r>
      <w:r>
        <w:rPr>
          <w:rFonts w:ascii="Book Antiqua" w:hAnsi="Book Antiqua"/>
          <w:iCs/>
          <w:lang w:val="es-ES_tradnl"/>
        </w:rPr>
        <w:t xml:space="preserve"> a la Ley 1-2011, según enmendada, para conferir facultad de exención del IVU </w:t>
      </w:r>
      <w:r w:rsidR="00095186">
        <w:rPr>
          <w:rFonts w:ascii="Book Antiqua" w:hAnsi="Book Antiqua"/>
          <w:iCs/>
          <w:lang w:val="es-ES_tradnl"/>
        </w:rPr>
        <w:t xml:space="preserve">al Gobernador o Gobernadora </w:t>
      </w:r>
      <w:r>
        <w:rPr>
          <w:rFonts w:ascii="Book Antiqua" w:hAnsi="Book Antiqua"/>
          <w:iCs/>
          <w:lang w:val="es-ES_tradnl"/>
        </w:rPr>
        <w:t xml:space="preserve">en casos de emergencias. Esta pieza legislativa establece límites claros a esta facultad para delimitar el alcance </w:t>
      </w:r>
      <w:r w:rsidR="00095186">
        <w:rPr>
          <w:rFonts w:ascii="Book Antiqua" w:hAnsi="Book Antiqua"/>
          <w:iCs/>
          <w:lang w:val="es-ES_tradnl"/>
        </w:rPr>
        <w:t xml:space="preserve">y para disponer el término que puede durar la exención. </w:t>
      </w:r>
    </w:p>
    <w:p w14:paraId="258458B6" w14:textId="77777777" w:rsidR="006602BE" w:rsidRDefault="006602BE" w:rsidP="00D3363F">
      <w:pPr>
        <w:suppressLineNumbers/>
        <w:shd w:val="clear" w:color="auto" w:fill="FFFFFF"/>
        <w:spacing w:after="100" w:afterAutospacing="1"/>
        <w:jc w:val="both"/>
        <w:rPr>
          <w:rFonts w:ascii="Book Antiqua" w:hAnsi="Book Antiqua"/>
          <w:i/>
          <w:lang w:val="es-ES_tradnl"/>
        </w:rPr>
      </w:pPr>
      <w:r w:rsidRPr="008C4617">
        <w:rPr>
          <w:rFonts w:ascii="Book Antiqua" w:hAnsi="Book Antiqua"/>
          <w:i/>
          <w:lang w:val="es-ES_tradnl"/>
        </w:rPr>
        <w:t>DECRÉTASE POR LA ASAMBLEA LEGISLATIVA DE PUERTO RICO</w:t>
      </w:r>
      <w:r>
        <w:rPr>
          <w:rFonts w:ascii="Book Antiqua" w:hAnsi="Book Antiqua"/>
          <w:i/>
          <w:lang w:val="es-ES_tradnl"/>
        </w:rPr>
        <w:t xml:space="preserve">: </w:t>
      </w:r>
    </w:p>
    <w:p w14:paraId="583F4DE4" w14:textId="415347D4" w:rsidR="00550C42" w:rsidRDefault="00550C42" w:rsidP="00540FAD">
      <w:pPr>
        <w:shd w:val="clear" w:color="auto" w:fill="FFFFFF"/>
        <w:spacing w:after="100" w:afterAutospacing="1" w:line="480" w:lineRule="auto"/>
        <w:ind w:firstLine="720"/>
        <w:jc w:val="both"/>
        <w:rPr>
          <w:rFonts w:ascii="Book Antiqua" w:hAnsi="Book Antiqua"/>
          <w:iCs/>
          <w:lang w:val="es-ES_tradnl"/>
        </w:rPr>
      </w:pPr>
      <w:r w:rsidRPr="00550C42">
        <w:rPr>
          <w:rFonts w:ascii="Book Antiqua" w:hAnsi="Book Antiqua"/>
          <w:iCs/>
          <w:lang w:val="es-ES_tradnl"/>
        </w:rPr>
        <w:t xml:space="preserve">Artículo 1.- Se añade </w:t>
      </w:r>
      <w:r>
        <w:rPr>
          <w:rFonts w:ascii="Book Antiqua" w:hAnsi="Book Antiqua"/>
          <w:iCs/>
          <w:lang w:val="es-ES_tradnl"/>
        </w:rPr>
        <w:t>una nueva Sección 4030.29 a la Ley 1-2011, según enmendada para que lea como sigue:</w:t>
      </w:r>
    </w:p>
    <w:p w14:paraId="5A5F7450" w14:textId="3AC0C421" w:rsidR="00550C42" w:rsidRPr="00FF24CE" w:rsidRDefault="00550C42" w:rsidP="00540FAD">
      <w:pPr>
        <w:shd w:val="clear" w:color="auto" w:fill="FFFFFF"/>
        <w:spacing w:after="100" w:afterAutospacing="1" w:line="480" w:lineRule="auto"/>
        <w:ind w:firstLine="720"/>
        <w:jc w:val="both"/>
        <w:rPr>
          <w:rFonts w:ascii="Book Antiqua" w:hAnsi="Book Antiqua"/>
          <w:i/>
          <w:lang w:val="es-ES_tradnl"/>
        </w:rPr>
      </w:pPr>
      <w:r w:rsidRPr="00FF24CE">
        <w:rPr>
          <w:rFonts w:ascii="Book Antiqua" w:hAnsi="Book Antiqua"/>
          <w:i/>
          <w:lang w:val="es-ES_tradnl"/>
        </w:rPr>
        <w:t xml:space="preserve">“Sección 4030.29 – Exención </w:t>
      </w:r>
      <w:r w:rsidR="00540FAD" w:rsidRPr="00FF24CE">
        <w:rPr>
          <w:rFonts w:ascii="Book Antiqua" w:hAnsi="Book Antiqua"/>
          <w:i/>
          <w:lang w:val="es-ES_tradnl"/>
        </w:rPr>
        <w:t>en Casos de Declaraciones de Emergencia decretadas por el Gobernador o Gobernadora de Puerto Rico</w:t>
      </w:r>
    </w:p>
    <w:p w14:paraId="5CF35BF2" w14:textId="1E5FB762" w:rsidR="00FF24CE" w:rsidRDefault="00FF24CE" w:rsidP="00FF24CE">
      <w:pPr>
        <w:pStyle w:val="Prrafodelista"/>
        <w:numPr>
          <w:ilvl w:val="0"/>
          <w:numId w:val="1"/>
        </w:numPr>
        <w:shd w:val="clear" w:color="auto" w:fill="FFFFFF"/>
        <w:spacing w:after="100" w:afterAutospacing="1" w:line="480" w:lineRule="auto"/>
        <w:ind w:right="720"/>
        <w:jc w:val="both"/>
        <w:rPr>
          <w:rFonts w:ascii="Book Antiqua" w:hAnsi="Book Antiqua"/>
          <w:i/>
          <w:lang w:val="es-ES_tradnl"/>
        </w:rPr>
      </w:pPr>
      <w:r>
        <w:rPr>
          <w:rFonts w:ascii="Book Antiqua" w:hAnsi="Book Antiqua"/>
          <w:i/>
          <w:lang w:val="es-ES_tradnl"/>
        </w:rPr>
        <w:t xml:space="preserve">Exención en Casos de Declaraciones de Emergencia - </w:t>
      </w:r>
      <w:r w:rsidR="00540FAD" w:rsidRPr="00FF24CE">
        <w:rPr>
          <w:rFonts w:ascii="Book Antiqua" w:hAnsi="Book Antiqua"/>
          <w:i/>
          <w:lang w:val="es-ES_tradnl"/>
        </w:rPr>
        <w:t xml:space="preserve">En casos de emergencias, decretadas formalmente mediante Orden Ejecutiva por el Gobernador o Gobernadora de Puerto Rico, estarán exentos del pago de impuesto sobre ventas y uso (IVU) los bienes y productos que se decreten por Orden Ejecutiva. </w:t>
      </w:r>
    </w:p>
    <w:p w14:paraId="1AED249D" w14:textId="23D71A9C" w:rsidR="00FF24CE" w:rsidRDefault="00FF24CE" w:rsidP="00FF24CE">
      <w:pPr>
        <w:pStyle w:val="Prrafodelista"/>
        <w:numPr>
          <w:ilvl w:val="0"/>
          <w:numId w:val="1"/>
        </w:numPr>
        <w:shd w:val="clear" w:color="auto" w:fill="FFFFFF"/>
        <w:spacing w:after="100" w:afterAutospacing="1" w:line="480" w:lineRule="auto"/>
        <w:ind w:right="720"/>
        <w:jc w:val="both"/>
        <w:rPr>
          <w:rFonts w:ascii="Book Antiqua" w:hAnsi="Book Antiqua"/>
          <w:i/>
          <w:lang w:val="es-ES_tradnl"/>
        </w:rPr>
      </w:pPr>
      <w:r>
        <w:rPr>
          <w:rFonts w:ascii="Book Antiqua" w:hAnsi="Book Antiqua"/>
          <w:i/>
          <w:lang w:val="es-ES_tradnl"/>
        </w:rPr>
        <w:t xml:space="preserve">Bienes exentos - </w:t>
      </w:r>
      <w:r w:rsidRPr="00FF24CE">
        <w:rPr>
          <w:rFonts w:ascii="Book Antiqua" w:hAnsi="Book Antiqua"/>
          <w:i/>
          <w:lang w:val="es-ES_tradnl"/>
        </w:rPr>
        <w:t>Se dispone que los bienes y productos que estén exentos tendrán que estar estrechamente relacionados con la declaración de emergencia decretada por Orden Ejecutiva.</w:t>
      </w:r>
      <w:r>
        <w:rPr>
          <w:rFonts w:ascii="Book Antiqua" w:hAnsi="Book Antiqua"/>
          <w:i/>
          <w:lang w:val="es-ES_tradnl"/>
        </w:rPr>
        <w:t xml:space="preserve"> </w:t>
      </w:r>
      <w:r w:rsidR="006F0454">
        <w:rPr>
          <w:rFonts w:ascii="Book Antiqua" w:hAnsi="Book Antiqua"/>
          <w:i/>
          <w:lang w:val="es-ES_tradnl"/>
        </w:rPr>
        <w:t xml:space="preserve">Estos bienes tendrán que recaer sobre categorías específicas de bienes identificados mediante Orden Ejecutiva. Se entenderá que la lista de bienes exentos mediante orden ejecutiva será taxativa. </w:t>
      </w:r>
    </w:p>
    <w:p w14:paraId="4FECE128" w14:textId="0775520C" w:rsidR="00FF24CE" w:rsidRDefault="00FF24CE" w:rsidP="00FF24CE">
      <w:pPr>
        <w:pStyle w:val="Prrafodelista"/>
        <w:numPr>
          <w:ilvl w:val="0"/>
          <w:numId w:val="1"/>
        </w:numPr>
        <w:shd w:val="clear" w:color="auto" w:fill="FFFFFF"/>
        <w:spacing w:after="100" w:afterAutospacing="1" w:line="480" w:lineRule="auto"/>
        <w:ind w:right="720"/>
        <w:jc w:val="both"/>
        <w:rPr>
          <w:rFonts w:ascii="Book Antiqua" w:hAnsi="Book Antiqua"/>
          <w:i/>
          <w:lang w:val="es-ES_tradnl"/>
        </w:rPr>
      </w:pPr>
      <w:r>
        <w:rPr>
          <w:rFonts w:ascii="Book Antiqua" w:hAnsi="Book Antiqua"/>
          <w:i/>
          <w:lang w:val="es-ES_tradnl"/>
        </w:rPr>
        <w:lastRenderedPageBreak/>
        <w:t xml:space="preserve">Término – La Orden Ejecutiva emitida para eximir de impuestos bajo esta sección tendrá una vigencia máxima de cuarenta y cinco (45) días calendario contados a partir de la promulgación de la Orden Ejecutiva o por el término que dure la emergencia, lo que sea menor. </w:t>
      </w:r>
      <w:r w:rsidR="006F0454">
        <w:rPr>
          <w:rFonts w:ascii="Book Antiqua" w:hAnsi="Book Antiqua"/>
          <w:i/>
          <w:lang w:val="es-ES_tradnl"/>
        </w:rPr>
        <w:t xml:space="preserve">Transcurrido el término, la exención quedará extinta. El término podrá ser extendido sujeto a lo dispuesto en el 4030.29 (d). </w:t>
      </w:r>
    </w:p>
    <w:p w14:paraId="3F49C26D" w14:textId="7DB60F73" w:rsidR="00540FAD" w:rsidRPr="006F0454" w:rsidRDefault="00FF24CE" w:rsidP="006F0454">
      <w:pPr>
        <w:pStyle w:val="Prrafodelista"/>
        <w:numPr>
          <w:ilvl w:val="0"/>
          <w:numId w:val="1"/>
        </w:numPr>
        <w:shd w:val="clear" w:color="auto" w:fill="FFFFFF"/>
        <w:spacing w:after="100" w:afterAutospacing="1" w:line="480" w:lineRule="auto"/>
        <w:ind w:right="720"/>
        <w:jc w:val="both"/>
        <w:rPr>
          <w:rFonts w:ascii="Book Antiqua" w:hAnsi="Book Antiqua"/>
          <w:i/>
          <w:lang w:val="es-ES_tradnl"/>
        </w:rPr>
      </w:pPr>
      <w:r>
        <w:rPr>
          <w:rFonts w:ascii="Book Antiqua" w:hAnsi="Book Antiqua"/>
          <w:i/>
          <w:lang w:val="es-ES_tradnl"/>
        </w:rPr>
        <w:t xml:space="preserve">Extensión </w:t>
      </w:r>
      <w:r w:rsidR="006F0454">
        <w:rPr>
          <w:rFonts w:ascii="Book Antiqua" w:hAnsi="Book Antiqua"/>
          <w:i/>
          <w:lang w:val="es-ES_tradnl"/>
        </w:rPr>
        <w:t>–</w:t>
      </w:r>
      <w:r>
        <w:rPr>
          <w:rFonts w:ascii="Book Antiqua" w:hAnsi="Book Antiqua"/>
          <w:i/>
          <w:lang w:val="es-ES_tradnl"/>
        </w:rPr>
        <w:t xml:space="preserve"> </w:t>
      </w:r>
      <w:r w:rsidR="006F0454">
        <w:rPr>
          <w:rFonts w:ascii="Book Antiqua" w:hAnsi="Book Antiqua"/>
          <w:i/>
          <w:lang w:val="es-ES_tradnl"/>
        </w:rPr>
        <w:t>Se podrá extender la vigencia de la Orden Ejecutiva en un término de diez (10) días que quede extinta la principal. Se podrá extender el término por un término adicional de treinta (30) días siempre que se le notifique a la Asamblea Legislativa formalmente y se acredite mediante informe escrito las circunstancias que motivaron la exención</w:t>
      </w:r>
      <w:r w:rsidR="00540FAD" w:rsidRPr="006F0454">
        <w:rPr>
          <w:rFonts w:ascii="Book Antiqua" w:hAnsi="Book Antiqua"/>
          <w:i/>
          <w:lang w:val="es-ES_tradnl"/>
        </w:rPr>
        <w:t>”.</w:t>
      </w:r>
    </w:p>
    <w:p w14:paraId="023DCB99" w14:textId="05008A7E" w:rsidR="00540FAD" w:rsidRDefault="00540FAD" w:rsidP="00540FAD">
      <w:pPr>
        <w:shd w:val="clear" w:color="auto" w:fill="FFFFFF"/>
        <w:spacing w:after="100" w:afterAutospacing="1"/>
        <w:ind w:left="720" w:right="720" w:hanging="270"/>
        <w:jc w:val="both"/>
        <w:rPr>
          <w:rFonts w:ascii="Book Antiqua" w:hAnsi="Book Antiqua"/>
          <w:iCs/>
          <w:lang w:val="es-ES_tradnl"/>
        </w:rPr>
      </w:pPr>
      <w:r>
        <w:rPr>
          <w:rFonts w:ascii="Book Antiqua" w:hAnsi="Book Antiqua"/>
          <w:iCs/>
          <w:lang w:val="es-ES_tradnl"/>
        </w:rPr>
        <w:t xml:space="preserve">Artículo 2.- Informe a la Asamblea Legislativa </w:t>
      </w:r>
    </w:p>
    <w:p w14:paraId="0CFB4E8B" w14:textId="7B888F64" w:rsidR="00550C42" w:rsidRPr="001563FF" w:rsidRDefault="00FF24CE" w:rsidP="001563FF">
      <w:pPr>
        <w:shd w:val="clear" w:color="auto" w:fill="FFFFFF"/>
        <w:spacing w:after="100" w:afterAutospacing="1" w:line="480" w:lineRule="auto"/>
        <w:ind w:firstLine="450"/>
        <w:jc w:val="both"/>
        <w:rPr>
          <w:rFonts w:ascii="Book Antiqua" w:hAnsi="Book Antiqua"/>
          <w:iCs/>
          <w:lang w:val="es-ES_tradnl"/>
        </w:rPr>
      </w:pPr>
      <w:r>
        <w:rPr>
          <w:rFonts w:ascii="Book Antiqua" w:hAnsi="Book Antiqua"/>
          <w:iCs/>
          <w:lang w:val="es-ES_tradnl"/>
        </w:rPr>
        <w:t>E</w:t>
      </w:r>
      <w:r w:rsidR="00540FAD">
        <w:rPr>
          <w:rFonts w:ascii="Book Antiqua" w:hAnsi="Book Antiqua"/>
          <w:iCs/>
          <w:lang w:val="es-ES_tradnl"/>
        </w:rPr>
        <w:t xml:space="preserve">l Gobernador o Gobernadora de Puerto Rico, que exima del pago de impuesto sobre ventas y uso (IVU) mediante </w:t>
      </w:r>
      <w:r>
        <w:rPr>
          <w:rFonts w:ascii="Book Antiqua" w:hAnsi="Book Antiqua"/>
          <w:iCs/>
          <w:lang w:val="es-ES_tradnl"/>
        </w:rPr>
        <w:t>O</w:t>
      </w:r>
      <w:r w:rsidR="00540FAD">
        <w:rPr>
          <w:rFonts w:ascii="Book Antiqua" w:hAnsi="Book Antiqua"/>
          <w:iCs/>
          <w:lang w:val="es-ES_tradnl"/>
        </w:rPr>
        <w:t xml:space="preserve">rden </w:t>
      </w:r>
      <w:r>
        <w:rPr>
          <w:rFonts w:ascii="Book Antiqua" w:hAnsi="Book Antiqua"/>
          <w:iCs/>
          <w:lang w:val="es-ES_tradnl"/>
        </w:rPr>
        <w:t>E</w:t>
      </w:r>
      <w:r w:rsidR="00540FAD">
        <w:rPr>
          <w:rFonts w:ascii="Book Antiqua" w:hAnsi="Book Antiqua"/>
          <w:iCs/>
          <w:lang w:val="es-ES_tradnl"/>
        </w:rPr>
        <w:t xml:space="preserve">jecutiva decretada ante una Declaración de Emergencia vendrá obligada a someter un informe a la Asamblea Legislativa en un término </w:t>
      </w:r>
      <w:r w:rsidR="006F0454">
        <w:rPr>
          <w:rFonts w:ascii="Book Antiqua" w:hAnsi="Book Antiqua"/>
          <w:iCs/>
          <w:lang w:val="es-ES_tradnl"/>
        </w:rPr>
        <w:t xml:space="preserve">no mayor </w:t>
      </w:r>
      <w:r w:rsidR="00540FAD">
        <w:rPr>
          <w:rFonts w:ascii="Book Antiqua" w:hAnsi="Book Antiqua"/>
          <w:iCs/>
          <w:lang w:val="es-ES_tradnl"/>
        </w:rPr>
        <w:t xml:space="preserve">de treinta (30) días </w:t>
      </w:r>
      <w:r w:rsidR="001563FF">
        <w:rPr>
          <w:rFonts w:ascii="Book Antiqua" w:hAnsi="Book Antiqua"/>
          <w:iCs/>
          <w:lang w:val="es-ES_tradnl"/>
        </w:rPr>
        <w:t>a partir del</w:t>
      </w:r>
      <w:r w:rsidR="00540FAD">
        <w:rPr>
          <w:rFonts w:ascii="Book Antiqua" w:hAnsi="Book Antiqua"/>
          <w:iCs/>
          <w:lang w:val="es-ES_tradnl"/>
        </w:rPr>
        <w:t xml:space="preserve"> cese de</w:t>
      </w:r>
      <w:r w:rsidR="006F0454">
        <w:rPr>
          <w:rFonts w:ascii="Book Antiqua" w:hAnsi="Book Antiqua"/>
          <w:iCs/>
          <w:lang w:val="es-ES_tradnl"/>
        </w:rPr>
        <w:t xml:space="preserve"> los efectos de la Orden Ejecutiva</w:t>
      </w:r>
      <w:r w:rsidR="001563FF">
        <w:rPr>
          <w:rFonts w:ascii="Book Antiqua" w:hAnsi="Book Antiqua"/>
          <w:iCs/>
          <w:lang w:val="es-ES_tradnl"/>
        </w:rPr>
        <w:t xml:space="preserve"> emitida al amparo de la Sección 4030.29 a la Ley 1-2011. </w:t>
      </w:r>
    </w:p>
    <w:p w14:paraId="3C6B7A2E" w14:textId="1922F3F8" w:rsidR="006602BE" w:rsidRPr="0088219A" w:rsidRDefault="00540FAD" w:rsidP="006602BE">
      <w:pPr>
        <w:pStyle w:val="p1"/>
        <w:spacing w:line="480" w:lineRule="auto"/>
        <w:ind w:firstLine="720"/>
        <w:jc w:val="both"/>
        <w:rPr>
          <w:rFonts w:ascii="Book Antiqua" w:hAnsi="Book Antiqua"/>
          <w:sz w:val="24"/>
          <w:szCs w:val="24"/>
          <w:lang w:val="es-PR"/>
        </w:rPr>
      </w:pPr>
      <w:r>
        <w:rPr>
          <w:rFonts w:ascii="Book Antiqua" w:hAnsi="Book Antiqua"/>
          <w:sz w:val="24"/>
          <w:szCs w:val="24"/>
          <w:lang w:val="es-PR"/>
        </w:rPr>
        <w:t>Artícul</w:t>
      </w:r>
      <w:r w:rsidR="001563FF">
        <w:rPr>
          <w:rFonts w:ascii="Book Antiqua" w:hAnsi="Book Antiqua"/>
          <w:sz w:val="24"/>
          <w:szCs w:val="24"/>
          <w:lang w:val="es-PR"/>
        </w:rPr>
        <w:t xml:space="preserve">o 3 </w:t>
      </w:r>
      <w:r w:rsidR="006602BE" w:rsidRPr="0088219A">
        <w:rPr>
          <w:rFonts w:ascii="Book Antiqua" w:hAnsi="Book Antiqua"/>
          <w:sz w:val="24"/>
          <w:szCs w:val="24"/>
          <w:lang w:val="es-PR"/>
        </w:rPr>
        <w:t>. — Cláusula de Separabilidad.</w:t>
      </w:r>
    </w:p>
    <w:p w14:paraId="23F9ACEB" w14:textId="6EB37D11" w:rsidR="006602BE" w:rsidRPr="001563FF" w:rsidRDefault="006602BE" w:rsidP="001563FF">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88219A">
        <w:rPr>
          <w:rFonts w:ascii="Book Antiqua" w:hAnsi="Book Antiqua"/>
          <w:sz w:val="24"/>
          <w:szCs w:val="24"/>
          <w:lang w:val="es-PR"/>
        </w:rPr>
        <w:lastRenderedPageBreak/>
        <w:t>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1D2F8307" w14:textId="3A7E1FDB" w:rsidR="006602BE" w:rsidRDefault="00540FAD" w:rsidP="006602BE">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1563FF">
        <w:rPr>
          <w:rFonts w:ascii="Book Antiqua" w:hAnsi="Book Antiqua"/>
          <w:color w:val="000000"/>
          <w:lang w:val="es-PR"/>
        </w:rPr>
        <w:t xml:space="preserve"> 4</w:t>
      </w:r>
      <w:r w:rsidR="006602BE">
        <w:rPr>
          <w:rFonts w:ascii="Book Antiqua" w:hAnsi="Book Antiqua"/>
          <w:color w:val="000000"/>
          <w:lang w:val="es-PR"/>
        </w:rPr>
        <w:t xml:space="preserve"> .</w:t>
      </w:r>
      <w:r w:rsidR="006602BE" w:rsidRPr="00D0274C">
        <w:rPr>
          <w:rFonts w:ascii="Book Antiqua" w:hAnsi="Book Antiqua"/>
          <w:color w:val="000000"/>
          <w:lang w:val="es-PR"/>
        </w:rPr>
        <w:t>- Cláusula de Supremacía</w:t>
      </w:r>
    </w:p>
    <w:p w14:paraId="42C270F2" w14:textId="77777777" w:rsidR="006602BE" w:rsidRDefault="006602BE" w:rsidP="006602BE">
      <w:pPr>
        <w:spacing w:line="480" w:lineRule="auto"/>
        <w:ind w:firstLine="720"/>
        <w:jc w:val="both"/>
        <w:rPr>
          <w:rFonts w:ascii="Book Antiqua" w:hAnsi="Book Antiqua"/>
          <w:color w:val="000000"/>
          <w:lang w:val="es-PR"/>
        </w:rPr>
      </w:pPr>
      <w:r w:rsidRPr="00D0274C">
        <w:rPr>
          <w:rFonts w:ascii="Book Antiqua" w:hAnsi="Book Antiqua"/>
          <w:color w:val="000000"/>
          <w:lang w:val="es-PR"/>
        </w:rPr>
        <w:t>En caso de que las disposiciones de esta Ley estén en conflicto con las</w:t>
      </w:r>
      <w:r>
        <w:rPr>
          <w:rFonts w:ascii="Book Antiqua" w:hAnsi="Book Antiqua"/>
          <w:color w:val="000000"/>
          <w:lang w:val="es-PR"/>
        </w:rPr>
        <w:t xml:space="preserve"> </w:t>
      </w:r>
      <w:r w:rsidRPr="00D0274C">
        <w:rPr>
          <w:rFonts w:ascii="Book Antiqua" w:hAnsi="Book Antiqua"/>
          <w:color w:val="000000"/>
          <w:lang w:val="es-PR"/>
        </w:rPr>
        <w:t>disposiciones de cualquier otra ley estatal, las disposiciones de esta Ley prevalecerán.</w:t>
      </w:r>
    </w:p>
    <w:p w14:paraId="3873BFBE" w14:textId="1398F9CA" w:rsidR="006602BE" w:rsidRDefault="00540FAD" w:rsidP="006602BE">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6602BE">
        <w:rPr>
          <w:rFonts w:ascii="Book Antiqua" w:hAnsi="Book Antiqua"/>
          <w:color w:val="000000"/>
          <w:lang w:val="es-PR"/>
        </w:rPr>
        <w:t xml:space="preserve"> </w:t>
      </w:r>
      <w:r w:rsidR="001563FF">
        <w:rPr>
          <w:rFonts w:ascii="Book Antiqua" w:hAnsi="Book Antiqua"/>
          <w:color w:val="000000"/>
          <w:lang w:val="es-PR"/>
        </w:rPr>
        <w:t>5</w:t>
      </w:r>
      <w:r w:rsidR="006602BE" w:rsidRPr="00D0274C">
        <w:rPr>
          <w:rFonts w:ascii="Book Antiqua" w:hAnsi="Book Antiqua"/>
          <w:color w:val="000000"/>
          <w:lang w:val="es-PR"/>
        </w:rPr>
        <w:t>.- Vigencia</w:t>
      </w:r>
    </w:p>
    <w:p w14:paraId="718F3C21" w14:textId="64DD5B06" w:rsidR="006602BE" w:rsidRPr="001634D6" w:rsidRDefault="006602BE" w:rsidP="001634D6">
      <w:pPr>
        <w:spacing w:line="480" w:lineRule="auto"/>
        <w:ind w:firstLine="720"/>
        <w:jc w:val="both"/>
        <w:rPr>
          <w:rFonts w:ascii="Book Antiqua" w:hAnsi="Book Antiqua"/>
          <w:color w:val="000000"/>
          <w:lang w:val="es-PR"/>
        </w:rPr>
      </w:pPr>
      <w:r w:rsidRPr="00D0274C">
        <w:rPr>
          <w:rFonts w:ascii="Book Antiqua" w:hAnsi="Book Antiqua"/>
          <w:color w:val="000000"/>
          <w:lang w:val="es-PR"/>
        </w:rPr>
        <w:t>Esta Ley entrará en vigor inmediatamente después de su aproba</w:t>
      </w:r>
      <w:r>
        <w:rPr>
          <w:rFonts w:ascii="Book Antiqua" w:hAnsi="Book Antiqua"/>
          <w:color w:val="000000"/>
          <w:lang w:val="es-PR"/>
        </w:rPr>
        <w:t>ción.</w:t>
      </w:r>
    </w:p>
    <w:sectPr w:rsidR="006602BE" w:rsidRPr="001634D6" w:rsidSect="001A57F2">
      <w:headerReference w:type="default" r:id="rId8"/>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F3C95" w14:textId="77777777" w:rsidR="008B112D" w:rsidRDefault="008B112D" w:rsidP="00540FAD">
      <w:r>
        <w:separator/>
      </w:r>
    </w:p>
  </w:endnote>
  <w:endnote w:type="continuationSeparator" w:id="0">
    <w:p w14:paraId="18C9FBCD" w14:textId="77777777" w:rsidR="008B112D" w:rsidRDefault="008B112D" w:rsidP="00540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10199" w14:textId="77777777" w:rsidR="008B112D" w:rsidRDefault="008B112D" w:rsidP="00540FAD">
      <w:r>
        <w:separator/>
      </w:r>
    </w:p>
  </w:footnote>
  <w:footnote w:type="continuationSeparator" w:id="0">
    <w:p w14:paraId="01FBF6CB" w14:textId="77777777" w:rsidR="008B112D" w:rsidRDefault="008B112D" w:rsidP="00540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899070"/>
      <w:docPartObj>
        <w:docPartGallery w:val="Page Numbers (Top of Page)"/>
        <w:docPartUnique/>
      </w:docPartObj>
    </w:sdtPr>
    <w:sdtEndPr>
      <w:rPr>
        <w:noProof/>
      </w:rPr>
    </w:sdtEndPr>
    <w:sdtContent>
      <w:p w14:paraId="198CD4BC" w14:textId="691D03C6" w:rsidR="001A57F2" w:rsidRDefault="001A57F2">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032DF767" w14:textId="77777777" w:rsidR="001A57F2" w:rsidRDefault="001A57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B4D5C"/>
    <w:multiLevelType w:val="hybridMultilevel"/>
    <w:tmpl w:val="CB62138A"/>
    <w:lvl w:ilvl="0" w:tplc="38CC35D0">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16cid:durableId="1251622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2BE"/>
    <w:rsid w:val="00095186"/>
    <w:rsid w:val="001563FF"/>
    <w:rsid w:val="001634D6"/>
    <w:rsid w:val="00174C00"/>
    <w:rsid w:val="001A57F2"/>
    <w:rsid w:val="002B778E"/>
    <w:rsid w:val="0031746D"/>
    <w:rsid w:val="00327C68"/>
    <w:rsid w:val="003E6BA6"/>
    <w:rsid w:val="00540FAD"/>
    <w:rsid w:val="00550C42"/>
    <w:rsid w:val="005C0DE4"/>
    <w:rsid w:val="005E5548"/>
    <w:rsid w:val="00600D81"/>
    <w:rsid w:val="006602BE"/>
    <w:rsid w:val="006F0454"/>
    <w:rsid w:val="007436A3"/>
    <w:rsid w:val="00805963"/>
    <w:rsid w:val="008B112D"/>
    <w:rsid w:val="00992145"/>
    <w:rsid w:val="00A2585B"/>
    <w:rsid w:val="00AB78DB"/>
    <w:rsid w:val="00C33C6F"/>
    <w:rsid w:val="00D3363F"/>
    <w:rsid w:val="00E86A23"/>
    <w:rsid w:val="00F64373"/>
    <w:rsid w:val="00FF2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78B9"/>
  <w15:chartTrackingRefBased/>
  <w15:docId w15:val="{A752F32E-1FB0-064B-BD62-1C753B5D8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2BE"/>
    <w:pPr>
      <w:spacing w:after="0" w:line="240" w:lineRule="auto"/>
    </w:pPr>
    <w:rPr>
      <w:rFonts w:ascii="Times New Roman" w:eastAsia="Times New Roman" w:hAnsi="Times New Roman" w:cs="Times New Roman"/>
      <w:kern w:val="0"/>
      <w14:ligatures w14:val="none"/>
    </w:rPr>
  </w:style>
  <w:style w:type="paragraph" w:styleId="Ttulo1">
    <w:name w:val="heading 1"/>
    <w:basedOn w:val="Normal"/>
    <w:next w:val="Normal"/>
    <w:link w:val="Ttulo1Car"/>
    <w:uiPriority w:val="9"/>
    <w:qFormat/>
    <w:rsid w:val="006602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602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602B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602B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602B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602B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02B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02B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02B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02B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02B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02B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02B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02B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02B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02B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02B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02BE"/>
    <w:rPr>
      <w:rFonts w:eastAsiaTheme="majorEastAsia" w:cstheme="majorBidi"/>
      <w:color w:val="272727" w:themeColor="text1" w:themeTint="D8"/>
    </w:rPr>
  </w:style>
  <w:style w:type="paragraph" w:styleId="Ttulo">
    <w:name w:val="Title"/>
    <w:basedOn w:val="Normal"/>
    <w:next w:val="Normal"/>
    <w:link w:val="TtuloCar"/>
    <w:uiPriority w:val="10"/>
    <w:qFormat/>
    <w:rsid w:val="006602B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02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02B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02B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02BE"/>
    <w:pPr>
      <w:spacing w:before="160"/>
      <w:jc w:val="center"/>
    </w:pPr>
    <w:rPr>
      <w:i/>
      <w:iCs/>
      <w:color w:val="404040" w:themeColor="text1" w:themeTint="BF"/>
    </w:rPr>
  </w:style>
  <w:style w:type="character" w:customStyle="1" w:styleId="CitaCar">
    <w:name w:val="Cita Car"/>
    <w:basedOn w:val="Fuentedeprrafopredeter"/>
    <w:link w:val="Cita"/>
    <w:uiPriority w:val="29"/>
    <w:rsid w:val="006602BE"/>
    <w:rPr>
      <w:i/>
      <w:iCs/>
      <w:color w:val="404040" w:themeColor="text1" w:themeTint="BF"/>
    </w:rPr>
  </w:style>
  <w:style w:type="paragraph" w:styleId="Prrafodelista">
    <w:name w:val="List Paragraph"/>
    <w:basedOn w:val="Normal"/>
    <w:uiPriority w:val="34"/>
    <w:qFormat/>
    <w:rsid w:val="006602BE"/>
    <w:pPr>
      <w:ind w:left="720"/>
      <w:contextualSpacing/>
    </w:pPr>
  </w:style>
  <w:style w:type="character" w:styleId="nfasisintenso">
    <w:name w:val="Intense Emphasis"/>
    <w:basedOn w:val="Fuentedeprrafopredeter"/>
    <w:uiPriority w:val="21"/>
    <w:qFormat/>
    <w:rsid w:val="006602BE"/>
    <w:rPr>
      <w:i/>
      <w:iCs/>
      <w:color w:val="0F4761" w:themeColor="accent1" w:themeShade="BF"/>
    </w:rPr>
  </w:style>
  <w:style w:type="paragraph" w:styleId="Citadestacada">
    <w:name w:val="Intense Quote"/>
    <w:basedOn w:val="Normal"/>
    <w:next w:val="Normal"/>
    <w:link w:val="CitadestacadaCar"/>
    <w:uiPriority w:val="30"/>
    <w:qFormat/>
    <w:rsid w:val="006602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602BE"/>
    <w:rPr>
      <w:i/>
      <w:iCs/>
      <w:color w:val="0F4761" w:themeColor="accent1" w:themeShade="BF"/>
    </w:rPr>
  </w:style>
  <w:style w:type="character" w:styleId="Referenciaintensa">
    <w:name w:val="Intense Reference"/>
    <w:basedOn w:val="Fuentedeprrafopredeter"/>
    <w:uiPriority w:val="32"/>
    <w:qFormat/>
    <w:rsid w:val="006602BE"/>
    <w:rPr>
      <w:b/>
      <w:bCs/>
      <w:smallCaps/>
      <w:color w:val="0F4761" w:themeColor="accent1" w:themeShade="BF"/>
      <w:spacing w:val="5"/>
    </w:rPr>
  </w:style>
  <w:style w:type="paragraph" w:customStyle="1" w:styleId="Title2">
    <w:name w:val="Title2"/>
    <w:basedOn w:val="Normal"/>
    <w:next w:val="Normal"/>
    <w:rsid w:val="006602BE"/>
    <w:pPr>
      <w:tabs>
        <w:tab w:val="left" w:pos="648"/>
        <w:tab w:val="right" w:pos="7776"/>
        <w:tab w:val="left" w:pos="7848"/>
      </w:tabs>
    </w:pPr>
    <w:rPr>
      <w:szCs w:val="20"/>
    </w:rPr>
  </w:style>
  <w:style w:type="paragraph" w:customStyle="1" w:styleId="p1">
    <w:name w:val="p1"/>
    <w:basedOn w:val="Normal"/>
    <w:rsid w:val="006602BE"/>
    <w:rPr>
      <w:color w:val="000000"/>
      <w:sz w:val="18"/>
      <w:szCs w:val="18"/>
    </w:rPr>
  </w:style>
  <w:style w:type="paragraph" w:styleId="Encabezado">
    <w:name w:val="header"/>
    <w:basedOn w:val="Normal"/>
    <w:link w:val="EncabezadoCar"/>
    <w:uiPriority w:val="99"/>
    <w:unhideWhenUsed/>
    <w:rsid w:val="00540FAD"/>
    <w:pPr>
      <w:tabs>
        <w:tab w:val="center" w:pos="4680"/>
        <w:tab w:val="right" w:pos="9360"/>
      </w:tabs>
    </w:pPr>
  </w:style>
  <w:style w:type="character" w:customStyle="1" w:styleId="EncabezadoCar">
    <w:name w:val="Encabezado Car"/>
    <w:basedOn w:val="Fuentedeprrafopredeter"/>
    <w:link w:val="Encabezado"/>
    <w:uiPriority w:val="99"/>
    <w:rsid w:val="00540FAD"/>
    <w:rPr>
      <w:rFonts w:ascii="Times New Roman" w:eastAsia="Times New Roman" w:hAnsi="Times New Roman" w:cs="Times New Roman"/>
      <w:kern w:val="0"/>
      <w14:ligatures w14:val="none"/>
    </w:rPr>
  </w:style>
  <w:style w:type="paragraph" w:styleId="Piedepgina">
    <w:name w:val="footer"/>
    <w:basedOn w:val="Normal"/>
    <w:link w:val="PiedepginaCar"/>
    <w:uiPriority w:val="99"/>
    <w:unhideWhenUsed/>
    <w:rsid w:val="00540FAD"/>
    <w:pPr>
      <w:tabs>
        <w:tab w:val="center" w:pos="4680"/>
        <w:tab w:val="right" w:pos="9360"/>
      </w:tabs>
    </w:pPr>
  </w:style>
  <w:style w:type="character" w:customStyle="1" w:styleId="PiedepginaCar">
    <w:name w:val="Pie de página Car"/>
    <w:basedOn w:val="Fuentedeprrafopredeter"/>
    <w:link w:val="Piedepgina"/>
    <w:uiPriority w:val="99"/>
    <w:rsid w:val="00540FAD"/>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095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B5279-03A3-5546-9590-61CF591C5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Marín</dc:creator>
  <cp:keywords/>
  <dc:description/>
  <cp:lastModifiedBy>Rocío Alayón Morell</cp:lastModifiedBy>
  <cp:revision>3</cp:revision>
  <cp:lastPrinted>2026-06-11T18:33:00Z</cp:lastPrinted>
  <dcterms:created xsi:type="dcterms:W3CDTF">2026-06-11T18:41:00Z</dcterms:created>
  <dcterms:modified xsi:type="dcterms:W3CDTF">2026-06-12T14:58:00Z</dcterms:modified>
</cp:coreProperties>
</file>